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A3080E" w14:textId="77777777" w:rsidR="00AB0445" w:rsidRPr="00AB0445" w:rsidRDefault="00AB0445" w:rsidP="00AB0445">
      <w:pPr>
        <w:keepNext/>
        <w:spacing w:before="240" w:after="0" w:line="240" w:lineRule="auto"/>
        <w:outlineLvl w:val="0"/>
        <w:rPr>
          <w:rFonts w:ascii="Century Gothic" w:eastAsia="MS Mincho" w:hAnsi="Century Gothic" w:cs="Times New Roman"/>
          <w:b/>
          <w:bCs/>
          <w:caps/>
          <w:color w:val="013366"/>
          <w:sz w:val="42"/>
          <w:szCs w:val="40"/>
          <w:lang w:val="en-GB"/>
        </w:rPr>
      </w:pPr>
      <w:bookmarkStart w:id="0" w:name="_Toc521003449"/>
      <w:r w:rsidRPr="00AB0445">
        <w:rPr>
          <w:rFonts w:ascii="Century Gothic" w:eastAsia="MS Mincho" w:hAnsi="Century Gothic" w:cs="Times New Roman"/>
          <w:b/>
          <w:bCs/>
          <w:caps/>
          <w:color w:val="013366"/>
          <w:sz w:val="40"/>
          <w:szCs w:val="40"/>
          <w:lang w:val="en-GB"/>
        </w:rPr>
        <w:t>2022 Prepare california jumpstart Notice of Funding Opportunity</w:t>
      </w:r>
    </w:p>
    <w:p w14:paraId="0378DFB9" w14:textId="77777777" w:rsidR="00AB0445" w:rsidRP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The California Governor’s Office of Emergency Services (Cal OES) is pleased to announce a second round of the state-funded Prepare California initiative to help socially vulnerable and high hazard risk communities—which are impacted disproportionately by disasters and experience longer and more challenging economic and structural recoveries—jumpstart their progress toward greater resilience through advanced outreach, technical assistance, and funds to augment local staffing.  </w:t>
      </w:r>
    </w:p>
    <w:p w14:paraId="4F2B7F7E" w14:textId="77777777" w:rsidR="00AB0445" w:rsidRPr="00AB0445" w:rsidRDefault="00AB0445" w:rsidP="00AB0445">
      <w:pPr>
        <w:spacing w:after="0" w:line="240" w:lineRule="auto"/>
        <w:rPr>
          <w:rFonts w:ascii="Century Gothic" w:eastAsia="Times New Roman" w:hAnsi="Century Gothic" w:cs="Arial"/>
          <w:b/>
          <w:bCs/>
          <w:sz w:val="24"/>
          <w:szCs w:val="24"/>
        </w:rPr>
      </w:pPr>
    </w:p>
    <w:p w14:paraId="52C6E2F5" w14:textId="663328C9" w:rsidR="00AB0445" w:rsidRPr="00AB0445" w:rsidRDefault="00AB0445" w:rsidP="00AB0445">
      <w:pPr>
        <w:spacing w:after="0" w:line="257"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Prepare California JumpStart is a competitive grant program that provides State funding to eligible socially vulnerable and high hazard risk communities. Through this grant program, eligible communities can augment staffing by funding a Chief Resilience Officer, or a position of similar scope and title, thereby increasing capacity to develop local initiatives that foster </w:t>
      </w:r>
      <w:r w:rsidR="00834385" w:rsidRPr="00AB0445">
        <w:rPr>
          <w:rFonts w:ascii="Century Gothic" w:eastAsia="Meiryo" w:hAnsi="Century Gothic" w:cs="Arial"/>
          <w:sz w:val="24"/>
          <w:szCs w:val="21"/>
          <w:lang w:val="en-GB"/>
        </w:rPr>
        <w:t>mitigation</w:t>
      </w:r>
      <w:r w:rsidR="00834385">
        <w:rPr>
          <w:rFonts w:ascii="Century Gothic" w:eastAsia="Meiryo" w:hAnsi="Century Gothic" w:cs="Arial"/>
          <w:sz w:val="24"/>
          <w:szCs w:val="21"/>
          <w:lang w:val="en-GB"/>
        </w:rPr>
        <w:t>,</w:t>
      </w:r>
      <w:r w:rsidR="00834385" w:rsidRPr="00AB0445">
        <w:rPr>
          <w:rFonts w:ascii="Century Gothic" w:eastAsia="Meiryo" w:hAnsi="Century Gothic" w:cs="Arial"/>
          <w:sz w:val="24"/>
          <w:szCs w:val="21"/>
          <w:lang w:val="en-GB"/>
        </w:rPr>
        <w:t xml:space="preserve"> preparedness</w:t>
      </w:r>
      <w:r w:rsidR="00834385">
        <w:rPr>
          <w:rFonts w:ascii="Century Gothic" w:eastAsia="Meiryo" w:hAnsi="Century Gothic" w:cs="Arial"/>
          <w:sz w:val="24"/>
          <w:szCs w:val="21"/>
          <w:lang w:val="en-GB"/>
        </w:rPr>
        <w:t>, and recovery</w:t>
      </w:r>
      <w:r w:rsidR="00834385" w:rsidRPr="00AB0445">
        <w:rPr>
          <w:rFonts w:ascii="Century Gothic" w:eastAsia="Meiryo" w:hAnsi="Century Gothic" w:cs="Arial"/>
          <w:sz w:val="24"/>
          <w:szCs w:val="21"/>
          <w:lang w:val="en-GB"/>
        </w:rPr>
        <w:t xml:space="preserve"> activities, and </w:t>
      </w:r>
      <w:r w:rsidR="00834385">
        <w:rPr>
          <w:rFonts w:ascii="Century Gothic" w:eastAsia="Meiryo" w:hAnsi="Century Gothic" w:cs="Arial"/>
          <w:sz w:val="24"/>
          <w:szCs w:val="21"/>
          <w:lang w:val="en-GB"/>
        </w:rPr>
        <w:t xml:space="preserve">mitigation </w:t>
      </w:r>
      <w:r w:rsidR="00834385" w:rsidRPr="00AB0445">
        <w:rPr>
          <w:rFonts w:ascii="Century Gothic" w:eastAsia="Meiryo" w:hAnsi="Century Gothic" w:cs="Arial"/>
          <w:sz w:val="24"/>
          <w:szCs w:val="21"/>
          <w:lang w:val="en-GB"/>
        </w:rPr>
        <w:t>project scoping</w:t>
      </w:r>
      <w:r w:rsidRPr="00AB0445">
        <w:rPr>
          <w:rFonts w:ascii="Century Gothic" w:eastAsia="Times New Roman" w:hAnsi="Century Gothic" w:cs="Arial"/>
          <w:sz w:val="24"/>
          <w:szCs w:val="24"/>
        </w:rPr>
        <w:t xml:space="preserve">. Each application may be up to $1 million dollars in State funds. </w:t>
      </w:r>
    </w:p>
    <w:p w14:paraId="32FDB735" w14:textId="77777777" w:rsidR="00AB0445" w:rsidRPr="00AB0445" w:rsidRDefault="00AB0445" w:rsidP="00AB0445">
      <w:pPr>
        <w:spacing w:after="0" w:line="257" w:lineRule="auto"/>
        <w:rPr>
          <w:rFonts w:ascii="Century Gothic" w:eastAsia="Times New Roman" w:hAnsi="Century Gothic" w:cs="Arial"/>
          <w:sz w:val="24"/>
          <w:szCs w:val="24"/>
        </w:rPr>
      </w:pPr>
    </w:p>
    <w:p w14:paraId="4A6A3CCD" w14:textId="77777777" w:rsidR="00AB0445" w:rsidRPr="00AB0445" w:rsidRDefault="00AB0445" w:rsidP="00AB0445">
      <w:pPr>
        <w:keepNext/>
        <w:spacing w:after="120" w:line="240" w:lineRule="auto"/>
        <w:jc w:val="center"/>
        <w:rPr>
          <w:rFonts w:ascii="Century Gothic" w:eastAsia="Times New Roman" w:hAnsi="Century Gothic" w:cs="Arial"/>
          <w:b/>
          <w:i/>
          <w:iCs/>
          <w:sz w:val="24"/>
          <w:szCs w:val="18"/>
        </w:rPr>
      </w:pPr>
      <w:r w:rsidRPr="00AB0445">
        <w:rPr>
          <w:rFonts w:ascii="Century Gothic" w:eastAsia="Meiryo" w:hAnsi="Century Gothic" w:cs="Arial"/>
          <w:b/>
          <w:i/>
          <w:iCs/>
          <w:sz w:val="24"/>
          <w:szCs w:val="18"/>
        </w:rPr>
        <w:t xml:space="preserve">Table </w:t>
      </w:r>
      <w:r w:rsidRPr="00AB0445">
        <w:rPr>
          <w:rFonts w:ascii="Century Gothic" w:eastAsia="Meiryo" w:hAnsi="Century Gothic" w:cs="Arial"/>
          <w:b/>
          <w:i/>
          <w:iCs/>
          <w:noProof/>
          <w:sz w:val="24"/>
          <w:szCs w:val="18"/>
        </w:rPr>
        <w:t>1</w:t>
      </w:r>
      <w:r w:rsidRPr="00AB0445">
        <w:rPr>
          <w:rFonts w:ascii="Century Gothic" w:eastAsia="Meiryo" w:hAnsi="Century Gothic" w:cs="Arial"/>
          <w:b/>
          <w:i/>
          <w:iCs/>
          <w:sz w:val="24"/>
          <w:szCs w:val="18"/>
        </w:rPr>
        <w:t>: 2022 Prepare California JumpStart Snapshot</w:t>
      </w:r>
    </w:p>
    <w:tbl>
      <w:tblPr>
        <w:tblStyle w:val="GridTable41"/>
        <w:tblW w:w="9399" w:type="dxa"/>
        <w:tblLayout w:type="fixed"/>
        <w:tblCellMar>
          <w:left w:w="115" w:type="dxa"/>
          <w:right w:w="115" w:type="dxa"/>
        </w:tblCellMar>
        <w:tblLook w:val="04A0" w:firstRow="1" w:lastRow="0" w:firstColumn="1" w:lastColumn="0" w:noHBand="0" w:noVBand="1"/>
      </w:tblPr>
      <w:tblGrid>
        <w:gridCol w:w="3067"/>
        <w:gridCol w:w="6332"/>
      </w:tblGrid>
      <w:tr w:rsidR="00AB0445" w:rsidRPr="00AB0445" w14:paraId="595789D7" w14:textId="77777777" w:rsidTr="00191630">
        <w:trPr>
          <w:cnfStyle w:val="100000000000" w:firstRow="1" w:lastRow="0" w:firstColumn="0" w:lastColumn="0" w:oddVBand="0" w:evenVBand="0" w:oddHBand="0" w:evenHBand="0" w:firstRowFirstColumn="0" w:firstRowLastColumn="0" w:lastRowFirstColumn="0" w:lastRowLastColumn="0"/>
          <w:cantSplit/>
          <w:trHeight w:val="102"/>
          <w:tblHeader/>
        </w:trPr>
        <w:tc>
          <w:tcPr>
            <w:cnfStyle w:val="001000000000" w:firstRow="0" w:lastRow="0" w:firstColumn="1" w:lastColumn="0" w:oddVBand="0" w:evenVBand="0" w:oddHBand="0" w:evenHBand="0" w:firstRowFirstColumn="0" w:firstRowLastColumn="0" w:lastRowFirstColumn="0" w:lastRowLastColumn="0"/>
            <w:tcW w:w="3067" w:type="dxa"/>
          </w:tcPr>
          <w:p w14:paraId="16CF72DB" w14:textId="77777777" w:rsidR="00AB0445" w:rsidRPr="00AB0445" w:rsidRDefault="00AB0445" w:rsidP="00FF68CE">
            <w:pPr>
              <w:spacing w:before="40"/>
              <w:rPr>
                <w:rFonts w:ascii="Century Gothic" w:eastAsia="Times New Roman" w:hAnsi="Century Gothic" w:cs="Arial"/>
                <w:sz w:val="24"/>
                <w:szCs w:val="24"/>
              </w:rPr>
            </w:pPr>
            <w:r w:rsidRPr="00AB0445">
              <w:rPr>
                <w:rFonts w:ascii="Century Gothic" w:eastAsia="Times New Roman" w:hAnsi="Century Gothic" w:cs="Arial"/>
                <w:sz w:val="24"/>
                <w:szCs w:val="24"/>
              </w:rPr>
              <w:t>Topic</w:t>
            </w:r>
          </w:p>
        </w:tc>
        <w:tc>
          <w:tcPr>
            <w:tcW w:w="6332" w:type="dxa"/>
          </w:tcPr>
          <w:p w14:paraId="2F75E824" w14:textId="77777777" w:rsidR="00AB0445" w:rsidRPr="00AB0445" w:rsidRDefault="00AB0445" w:rsidP="00FF68CE">
            <w:pPr>
              <w:spacing w:before="40"/>
              <w:cnfStyle w:val="100000000000" w:firstRow="1" w:lastRow="0" w:firstColumn="0" w:lastColumn="0" w:oddVBand="0" w:evenVBand="0" w:oddHBand="0" w:evenHBand="0" w:firstRowFirstColumn="0" w:firstRowLastColumn="0" w:lastRowFirstColumn="0" w:lastRowLastColumn="0"/>
              <w:rPr>
                <w:rFonts w:ascii="Century Gothic" w:eastAsia="Times New Roman" w:hAnsi="Century Gothic" w:cs="Arial"/>
                <w:sz w:val="24"/>
                <w:szCs w:val="24"/>
              </w:rPr>
            </w:pPr>
            <w:r w:rsidRPr="00AB0445">
              <w:rPr>
                <w:rFonts w:ascii="Century Gothic" w:eastAsia="Times New Roman" w:hAnsi="Century Gothic" w:cs="Arial"/>
                <w:sz w:val="24"/>
                <w:szCs w:val="24"/>
              </w:rPr>
              <w:t>Program Criteria</w:t>
            </w:r>
          </w:p>
        </w:tc>
      </w:tr>
      <w:tr w:rsidR="00AB0445" w:rsidRPr="00AB0445" w14:paraId="2E9BAE19" w14:textId="77777777" w:rsidTr="00191630">
        <w:trPr>
          <w:cnfStyle w:val="000000100000" w:firstRow="0" w:lastRow="0" w:firstColumn="0" w:lastColumn="0" w:oddVBand="0" w:evenVBand="0" w:oddHBand="1" w:evenHBand="0" w:firstRowFirstColumn="0" w:firstRowLastColumn="0" w:lastRowFirstColumn="0" w:lastRowLastColumn="0"/>
          <w:cantSplit/>
          <w:trHeight w:val="369"/>
        </w:trPr>
        <w:tc>
          <w:tcPr>
            <w:cnfStyle w:val="001000000000" w:firstRow="0" w:lastRow="0" w:firstColumn="1" w:lastColumn="0" w:oddVBand="0" w:evenVBand="0" w:oddHBand="0" w:evenHBand="0" w:firstRowFirstColumn="0" w:firstRowLastColumn="0" w:lastRowFirstColumn="0" w:lastRowLastColumn="0"/>
            <w:tcW w:w="3067" w:type="dxa"/>
          </w:tcPr>
          <w:p w14:paraId="0E4FD201"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Funding agency</w:t>
            </w:r>
          </w:p>
        </w:tc>
        <w:tc>
          <w:tcPr>
            <w:tcW w:w="6332" w:type="dxa"/>
          </w:tcPr>
          <w:p w14:paraId="27381C20" w14:textId="77777777" w:rsidR="00AB0445" w:rsidRPr="00AB0445" w:rsidRDefault="00AB0445"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Cal OES</w:t>
            </w:r>
          </w:p>
        </w:tc>
      </w:tr>
      <w:tr w:rsidR="00AB0445" w:rsidRPr="00AB0445" w14:paraId="1F3E6B39" w14:textId="77777777" w:rsidTr="00191630">
        <w:trPr>
          <w:cnfStyle w:val="000000010000" w:firstRow="0" w:lastRow="0" w:firstColumn="0" w:lastColumn="0" w:oddVBand="0" w:evenVBand="0" w:oddHBand="0" w:evenHBand="1" w:firstRowFirstColumn="0" w:firstRowLastColumn="0" w:lastRowFirstColumn="0" w:lastRowLastColumn="0"/>
          <w:cantSplit/>
          <w:trHeight w:val="319"/>
        </w:trPr>
        <w:tc>
          <w:tcPr>
            <w:cnfStyle w:val="001000000000" w:firstRow="0" w:lastRow="0" w:firstColumn="1" w:lastColumn="0" w:oddVBand="0" w:evenVBand="0" w:oddHBand="0" w:evenHBand="0" w:firstRowFirstColumn="0" w:firstRowLastColumn="0" w:lastRowFirstColumn="0" w:lastRowLastColumn="0"/>
            <w:tcW w:w="3067" w:type="dxa"/>
          </w:tcPr>
          <w:p w14:paraId="2572D0F2"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Apply as</w:t>
            </w:r>
          </w:p>
        </w:tc>
        <w:tc>
          <w:tcPr>
            <w:tcW w:w="6332" w:type="dxa"/>
          </w:tcPr>
          <w:p w14:paraId="40C6A1EA" w14:textId="77777777" w:rsidR="00AB0445" w:rsidRPr="00AB0445" w:rsidRDefault="00AB0445" w:rsidP="00FF68CE">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Applicant</w:t>
            </w:r>
          </w:p>
        </w:tc>
      </w:tr>
      <w:tr w:rsidR="00AB0445" w:rsidRPr="00AB0445" w14:paraId="0BCBE3F7" w14:textId="77777777" w:rsidTr="00191630">
        <w:trPr>
          <w:cnfStyle w:val="000000100000" w:firstRow="0" w:lastRow="0" w:firstColumn="0" w:lastColumn="0" w:oddVBand="0" w:evenVBand="0" w:oddHBand="1" w:evenHBand="0" w:firstRowFirstColumn="0" w:firstRowLastColumn="0" w:lastRowFirstColumn="0" w:lastRowLastColumn="0"/>
          <w:cantSplit/>
          <w:trHeight w:val="325"/>
        </w:trPr>
        <w:tc>
          <w:tcPr>
            <w:cnfStyle w:val="001000000000" w:firstRow="0" w:lastRow="0" w:firstColumn="1" w:lastColumn="0" w:oddVBand="0" w:evenVBand="0" w:oddHBand="0" w:evenHBand="0" w:firstRowFirstColumn="0" w:firstRowLastColumn="0" w:lastRowFirstColumn="0" w:lastRowLastColumn="0"/>
            <w:tcW w:w="3067" w:type="dxa"/>
          </w:tcPr>
          <w:p w14:paraId="38A41BAF"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Project cost to applicant</w:t>
            </w:r>
          </w:p>
        </w:tc>
        <w:tc>
          <w:tcPr>
            <w:tcW w:w="6332" w:type="dxa"/>
          </w:tcPr>
          <w:p w14:paraId="0AC6E856" w14:textId="77777777" w:rsidR="00AB0445" w:rsidRPr="00AB0445" w:rsidRDefault="00AB0445"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Fully funded by Cal OES (i.e., no local cost share for applicant)</w:t>
            </w:r>
          </w:p>
        </w:tc>
      </w:tr>
      <w:tr w:rsidR="00AB0445" w:rsidRPr="00AB0445" w14:paraId="6FAE4363" w14:textId="77777777" w:rsidTr="00191630">
        <w:trPr>
          <w:cnfStyle w:val="000000010000" w:firstRow="0" w:lastRow="0" w:firstColumn="0" w:lastColumn="0" w:oddVBand="0" w:evenVBand="0" w:oddHBand="0" w:evenHBand="1" w:firstRowFirstColumn="0" w:firstRowLastColumn="0" w:lastRowFirstColumn="0" w:lastRowLastColumn="0"/>
          <w:cantSplit/>
          <w:trHeight w:val="279"/>
        </w:trPr>
        <w:tc>
          <w:tcPr>
            <w:cnfStyle w:val="001000000000" w:firstRow="0" w:lastRow="0" w:firstColumn="1" w:lastColumn="0" w:oddVBand="0" w:evenVBand="0" w:oddHBand="0" w:evenHBand="0" w:firstRowFirstColumn="0" w:firstRowLastColumn="0" w:lastRowFirstColumn="0" w:lastRowLastColumn="0"/>
            <w:tcW w:w="3067" w:type="dxa"/>
          </w:tcPr>
          <w:p w14:paraId="27F54177"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Funding Cap</w:t>
            </w:r>
          </w:p>
        </w:tc>
        <w:tc>
          <w:tcPr>
            <w:tcW w:w="6332" w:type="dxa"/>
          </w:tcPr>
          <w:p w14:paraId="06DD37B1" w14:textId="77777777" w:rsidR="00AB0445" w:rsidRPr="00AB0445" w:rsidRDefault="00AB0445" w:rsidP="00FF68CE">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Applications may not receive more than $1 million in state funds</w:t>
            </w:r>
          </w:p>
        </w:tc>
      </w:tr>
      <w:tr w:rsidR="00AB0445" w:rsidRPr="00AB0445" w14:paraId="74F8B2E5" w14:textId="77777777" w:rsidTr="00191630">
        <w:trPr>
          <w:cnfStyle w:val="000000100000" w:firstRow="0" w:lastRow="0" w:firstColumn="0" w:lastColumn="0" w:oddVBand="0" w:evenVBand="0" w:oddHBand="1" w:evenHBand="0" w:firstRowFirstColumn="0" w:firstRowLastColumn="0" w:lastRowFirstColumn="0" w:lastRowLastColumn="0"/>
          <w:cantSplit/>
          <w:trHeight w:val="369"/>
        </w:trPr>
        <w:tc>
          <w:tcPr>
            <w:cnfStyle w:val="001000000000" w:firstRow="0" w:lastRow="0" w:firstColumn="1" w:lastColumn="0" w:oddVBand="0" w:evenVBand="0" w:oddHBand="0" w:evenHBand="0" w:firstRowFirstColumn="0" w:firstRowLastColumn="0" w:lastRowFirstColumn="0" w:lastRowLastColumn="0"/>
            <w:tcW w:w="3067" w:type="dxa"/>
          </w:tcPr>
          <w:p w14:paraId="0B5C0EC0"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Period of Performance</w:t>
            </w:r>
          </w:p>
        </w:tc>
        <w:tc>
          <w:tcPr>
            <w:tcW w:w="6332" w:type="dxa"/>
          </w:tcPr>
          <w:p w14:paraId="65AE90DF" w14:textId="77777777" w:rsidR="00AB0445" w:rsidRPr="00AB0445" w:rsidRDefault="00AB0445"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60 months</w:t>
            </w:r>
          </w:p>
        </w:tc>
      </w:tr>
      <w:tr w:rsidR="00AB0445" w:rsidRPr="00AB0445" w14:paraId="658CF509" w14:textId="77777777" w:rsidTr="00191630">
        <w:trPr>
          <w:cnfStyle w:val="000000010000" w:firstRow="0" w:lastRow="0" w:firstColumn="0" w:lastColumn="0" w:oddVBand="0" w:evenVBand="0" w:oddHBand="0" w:evenHBand="1" w:firstRowFirstColumn="0" w:firstRowLastColumn="0" w:lastRowFirstColumn="0" w:lastRowLastColumn="0"/>
          <w:cantSplit/>
          <w:trHeight w:val="327"/>
        </w:trPr>
        <w:tc>
          <w:tcPr>
            <w:cnfStyle w:val="001000000000" w:firstRow="0" w:lastRow="0" w:firstColumn="1" w:lastColumn="0" w:oddVBand="0" w:evenVBand="0" w:oddHBand="0" w:evenHBand="0" w:firstRowFirstColumn="0" w:firstRowLastColumn="0" w:lastRowFirstColumn="0" w:lastRowLastColumn="0"/>
            <w:tcW w:w="3067" w:type="dxa"/>
          </w:tcPr>
          <w:p w14:paraId="03F3ED03"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Benefit-Cost Analysis</w:t>
            </w:r>
          </w:p>
        </w:tc>
        <w:tc>
          <w:tcPr>
            <w:tcW w:w="6332" w:type="dxa"/>
          </w:tcPr>
          <w:p w14:paraId="3FD83C45" w14:textId="77777777" w:rsidR="00AB0445" w:rsidRPr="00AB0445" w:rsidRDefault="00AB0445" w:rsidP="00FF68CE">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Not required</w:t>
            </w:r>
          </w:p>
        </w:tc>
      </w:tr>
      <w:tr w:rsidR="00AB0445" w:rsidRPr="00AB0445" w14:paraId="706E86D7" w14:textId="77777777" w:rsidTr="00191630">
        <w:trPr>
          <w:cnfStyle w:val="000000100000" w:firstRow="0" w:lastRow="0" w:firstColumn="0" w:lastColumn="0" w:oddVBand="0" w:evenVBand="0" w:oddHBand="1" w:evenHBand="0" w:firstRowFirstColumn="0" w:firstRowLastColumn="0" w:lastRowFirstColumn="0" w:lastRowLastColumn="0"/>
          <w:cantSplit/>
          <w:trHeight w:val="186"/>
        </w:trPr>
        <w:tc>
          <w:tcPr>
            <w:cnfStyle w:val="001000000000" w:firstRow="0" w:lastRow="0" w:firstColumn="1" w:lastColumn="0" w:oddVBand="0" w:evenVBand="0" w:oddHBand="0" w:evenHBand="0" w:firstRowFirstColumn="0" w:firstRowLastColumn="0" w:lastRowFirstColumn="0" w:lastRowLastColumn="0"/>
            <w:tcW w:w="3067" w:type="dxa"/>
          </w:tcPr>
          <w:p w14:paraId="6BA14F88"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 xml:space="preserve">Eligible Activities </w:t>
            </w:r>
          </w:p>
        </w:tc>
        <w:tc>
          <w:tcPr>
            <w:tcW w:w="6332" w:type="dxa"/>
          </w:tcPr>
          <w:p w14:paraId="2674F883" w14:textId="77777777" w:rsidR="00AB0445" w:rsidRPr="00AB0445" w:rsidRDefault="00AB0445"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Staff augmentation and a limited number of supplies and materials</w:t>
            </w:r>
          </w:p>
        </w:tc>
      </w:tr>
      <w:tr w:rsidR="00AB0445" w:rsidRPr="00AB0445" w14:paraId="6D1F2A6C" w14:textId="77777777" w:rsidTr="00191630">
        <w:trPr>
          <w:cnfStyle w:val="000000010000" w:firstRow="0" w:lastRow="0" w:firstColumn="0" w:lastColumn="0" w:oddVBand="0" w:evenVBand="0" w:oddHBand="0" w:evenHBand="1" w:firstRowFirstColumn="0" w:firstRowLastColumn="0" w:lastRowFirstColumn="0" w:lastRowLastColumn="0"/>
          <w:cantSplit/>
          <w:trHeight w:val="343"/>
        </w:trPr>
        <w:tc>
          <w:tcPr>
            <w:cnfStyle w:val="001000000000" w:firstRow="0" w:lastRow="0" w:firstColumn="1" w:lastColumn="0" w:oddVBand="0" w:evenVBand="0" w:oddHBand="0" w:evenHBand="0" w:firstRowFirstColumn="0" w:firstRowLastColumn="0" w:lastRowFirstColumn="0" w:lastRowLastColumn="0"/>
            <w:tcW w:w="3067" w:type="dxa"/>
          </w:tcPr>
          <w:p w14:paraId="5B37CA5C"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Procurement</w:t>
            </w:r>
          </w:p>
        </w:tc>
        <w:tc>
          <w:tcPr>
            <w:tcW w:w="6332" w:type="dxa"/>
          </w:tcPr>
          <w:p w14:paraId="065B06C3" w14:textId="77777777" w:rsidR="00AB0445" w:rsidRPr="00AB0445" w:rsidRDefault="00AB0445" w:rsidP="00FF68CE">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State and local requirements</w:t>
            </w:r>
          </w:p>
        </w:tc>
      </w:tr>
      <w:tr w:rsidR="00AB0445" w:rsidRPr="00AB0445" w14:paraId="063542A7" w14:textId="77777777" w:rsidTr="00191630">
        <w:trPr>
          <w:cnfStyle w:val="000000100000" w:firstRow="0" w:lastRow="0" w:firstColumn="0" w:lastColumn="0" w:oddVBand="0" w:evenVBand="0" w:oddHBand="1" w:evenHBand="0" w:firstRowFirstColumn="0" w:firstRowLastColumn="0" w:lastRowFirstColumn="0" w:lastRowLastColumn="0"/>
          <w:cantSplit/>
          <w:trHeight w:val="93"/>
        </w:trPr>
        <w:tc>
          <w:tcPr>
            <w:cnfStyle w:val="001000000000" w:firstRow="0" w:lastRow="0" w:firstColumn="1" w:lastColumn="0" w:oddVBand="0" w:evenVBand="0" w:oddHBand="0" w:evenHBand="0" w:firstRowFirstColumn="0" w:firstRowLastColumn="0" w:lastRowFirstColumn="0" w:lastRowLastColumn="0"/>
            <w:tcW w:w="3067" w:type="dxa"/>
          </w:tcPr>
          <w:p w14:paraId="5FAB6B4A"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Award</w:t>
            </w:r>
          </w:p>
        </w:tc>
        <w:tc>
          <w:tcPr>
            <w:tcW w:w="6332" w:type="dxa"/>
          </w:tcPr>
          <w:p w14:paraId="4E3FF20A" w14:textId="54B74778" w:rsidR="00AB0445" w:rsidRPr="00AB0445" w:rsidRDefault="00AB0445"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 xml:space="preserve">Reimbursement based; </w:t>
            </w:r>
            <w:r w:rsidR="007B1546">
              <w:rPr>
                <w:rFonts w:ascii="Century Gothic" w:eastAsia="Century Gothic" w:hAnsi="Century Gothic" w:cs="Arial"/>
                <w:sz w:val="24"/>
                <w:szCs w:val="24"/>
              </w:rPr>
              <w:t xml:space="preserve">no </w:t>
            </w:r>
            <w:r w:rsidRPr="00AB0445">
              <w:rPr>
                <w:rFonts w:ascii="Century Gothic" w:eastAsia="Century Gothic" w:hAnsi="Century Gothic" w:cs="Arial"/>
                <w:sz w:val="24"/>
                <w:szCs w:val="24"/>
              </w:rPr>
              <w:t xml:space="preserve">advanced funding </w:t>
            </w:r>
          </w:p>
        </w:tc>
      </w:tr>
      <w:tr w:rsidR="00AB0445" w:rsidRPr="00AB0445" w14:paraId="3661A2BC" w14:textId="77777777" w:rsidTr="00191630">
        <w:trPr>
          <w:cnfStyle w:val="000000010000" w:firstRow="0" w:lastRow="0" w:firstColumn="0" w:lastColumn="0" w:oddVBand="0" w:evenVBand="0" w:oddHBand="0" w:evenHBand="1" w:firstRowFirstColumn="0" w:firstRowLastColumn="0" w:lastRowFirstColumn="0" w:lastRowLastColumn="0"/>
          <w:cantSplit/>
          <w:trHeight w:val="279"/>
        </w:trPr>
        <w:tc>
          <w:tcPr>
            <w:cnfStyle w:val="001000000000" w:firstRow="0" w:lastRow="0" w:firstColumn="1" w:lastColumn="0" w:oddVBand="0" w:evenVBand="0" w:oddHBand="0" w:evenHBand="0" w:firstRowFirstColumn="0" w:firstRowLastColumn="0" w:lastRowFirstColumn="0" w:lastRowLastColumn="0"/>
            <w:tcW w:w="3067" w:type="dxa"/>
          </w:tcPr>
          <w:p w14:paraId="444AAC0D"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How to apply</w:t>
            </w:r>
          </w:p>
        </w:tc>
        <w:tc>
          <w:tcPr>
            <w:tcW w:w="6332" w:type="dxa"/>
          </w:tcPr>
          <w:p w14:paraId="7FB74F14" w14:textId="77777777" w:rsidR="00AB0445" w:rsidRPr="00AB0445" w:rsidRDefault="00AB0445" w:rsidP="00FF68CE">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 xml:space="preserve">Email application and supporting documentation to </w:t>
            </w:r>
            <w:hyperlink r:id="rId7" w:history="1">
              <w:r w:rsidRPr="00AB0445">
                <w:rPr>
                  <w:rFonts w:ascii="Century Gothic" w:eastAsia="Century Gothic" w:hAnsi="Century Gothic" w:cs="Arial"/>
                  <w:color w:val="015E90"/>
                  <w:sz w:val="24"/>
                  <w:szCs w:val="24"/>
                  <w:u w:val="single"/>
                </w:rPr>
                <w:t>PrepareCAJumpStart@caloes.ca.gov</w:t>
              </w:r>
            </w:hyperlink>
            <w:r w:rsidRPr="00AB0445">
              <w:rPr>
                <w:rFonts w:ascii="Century Gothic" w:eastAsia="Century Gothic" w:hAnsi="Century Gothic" w:cs="Arial"/>
                <w:sz w:val="24"/>
                <w:szCs w:val="24"/>
              </w:rPr>
              <w:t xml:space="preserve"> </w:t>
            </w:r>
          </w:p>
        </w:tc>
      </w:tr>
      <w:tr w:rsidR="00AB0445" w:rsidRPr="00AB0445" w14:paraId="2C181741" w14:textId="77777777" w:rsidTr="00191630">
        <w:trPr>
          <w:cnfStyle w:val="000000100000" w:firstRow="0" w:lastRow="0" w:firstColumn="0" w:lastColumn="0" w:oddVBand="0" w:evenVBand="0" w:oddHBand="1" w:evenHBand="0" w:firstRowFirstColumn="0" w:firstRowLastColumn="0" w:lastRowFirstColumn="0" w:lastRowLastColumn="0"/>
          <w:cantSplit/>
          <w:trHeight w:val="375"/>
        </w:trPr>
        <w:tc>
          <w:tcPr>
            <w:cnfStyle w:val="001000000000" w:firstRow="0" w:lastRow="0" w:firstColumn="1" w:lastColumn="0" w:oddVBand="0" w:evenVBand="0" w:oddHBand="0" w:evenHBand="0" w:firstRowFirstColumn="0" w:firstRowLastColumn="0" w:lastRowFirstColumn="0" w:lastRowLastColumn="0"/>
            <w:tcW w:w="3067" w:type="dxa"/>
          </w:tcPr>
          <w:p w14:paraId="5AACD27F"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Questions</w:t>
            </w:r>
          </w:p>
        </w:tc>
        <w:tc>
          <w:tcPr>
            <w:tcW w:w="6332" w:type="dxa"/>
          </w:tcPr>
          <w:p w14:paraId="331447ED" w14:textId="77777777" w:rsidR="00AB0445" w:rsidRPr="00AB0445" w:rsidRDefault="007C1E4F"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hyperlink r:id="rId8" w:history="1">
              <w:r w:rsidR="00AB0445" w:rsidRPr="00AB0445">
                <w:rPr>
                  <w:rFonts w:ascii="Century Gothic" w:eastAsia="Century Gothic" w:hAnsi="Century Gothic" w:cs="Arial"/>
                  <w:color w:val="015E90"/>
                  <w:sz w:val="24"/>
                  <w:szCs w:val="24"/>
                  <w:u w:val="single"/>
                </w:rPr>
                <w:t>PrepareCAJumpStart@caloes.ca.gov</w:t>
              </w:r>
            </w:hyperlink>
            <w:r w:rsidR="00AB0445" w:rsidRPr="00AB0445">
              <w:rPr>
                <w:rFonts w:ascii="Century Gothic" w:eastAsia="Century Gothic" w:hAnsi="Century Gothic" w:cs="Arial"/>
                <w:sz w:val="24"/>
                <w:szCs w:val="24"/>
              </w:rPr>
              <w:t xml:space="preserve"> </w:t>
            </w:r>
          </w:p>
        </w:tc>
      </w:tr>
    </w:tbl>
    <w:p w14:paraId="660D1E95" w14:textId="163D9D97" w:rsidR="00AB0445" w:rsidRDefault="00AB0445" w:rsidP="00AB0445">
      <w:pPr>
        <w:spacing w:after="0" w:line="240" w:lineRule="auto"/>
        <w:rPr>
          <w:rFonts w:ascii="Century Gothic" w:eastAsia="Times New Roman" w:hAnsi="Century Gothic" w:cs="Arial"/>
          <w:sz w:val="24"/>
          <w:szCs w:val="24"/>
        </w:rPr>
      </w:pPr>
    </w:p>
    <w:p w14:paraId="54D358E9" w14:textId="77777777" w:rsidR="007B1546" w:rsidRPr="00AB0445" w:rsidRDefault="007B1546" w:rsidP="00AB0445">
      <w:pPr>
        <w:spacing w:after="0" w:line="240" w:lineRule="auto"/>
        <w:rPr>
          <w:rFonts w:ascii="Century Gothic" w:eastAsia="Times New Roman" w:hAnsi="Century Gothic" w:cs="Arial"/>
          <w:sz w:val="24"/>
          <w:szCs w:val="24"/>
        </w:rPr>
      </w:pPr>
    </w:p>
    <w:p w14:paraId="205B3636" w14:textId="77777777"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lastRenderedPageBreak/>
        <w:t>Eligible Applicants for Prepare CALIFORNIA JumpStart</w:t>
      </w:r>
    </w:p>
    <w:p w14:paraId="663B87A9" w14:textId="4EF5356C" w:rsidR="00AB0445" w:rsidRPr="00AB0445" w:rsidRDefault="00AB0445" w:rsidP="00AB0445">
      <w:pPr>
        <w:spacing w:after="0" w:line="240" w:lineRule="auto"/>
        <w:rPr>
          <w:rFonts w:ascii="Century Gothic" w:eastAsia="Times New Roman" w:hAnsi="Century Gothic" w:cs="Arial"/>
          <w:i/>
          <w:iCs/>
          <w:sz w:val="24"/>
          <w:szCs w:val="24"/>
          <w:lang w:val="en-GB"/>
        </w:rPr>
      </w:pPr>
      <w:r w:rsidRPr="00AB0445">
        <w:rPr>
          <w:rFonts w:ascii="Century Gothic" w:eastAsia="Times New Roman" w:hAnsi="Century Gothic" w:cs="Arial"/>
          <w:sz w:val="24"/>
          <w:szCs w:val="24"/>
        </w:rPr>
        <w:t xml:space="preserve">Eligible applicants must be a local or Tribal government—including </w:t>
      </w:r>
      <w:r w:rsidRPr="00AB0445">
        <w:rPr>
          <w:rFonts w:ascii="Century Gothic" w:eastAsia="Times New Roman" w:hAnsi="Century Gothic" w:cs="Arial"/>
          <w:sz w:val="24"/>
          <w:szCs w:val="24"/>
          <w:lang w:val="en-GB"/>
        </w:rPr>
        <w:t xml:space="preserve">cities, towns, and federally and non-federally recognized tribes—that are considered a </w:t>
      </w:r>
      <w:r w:rsidRPr="00AB0445">
        <w:rPr>
          <w:rFonts w:ascii="Century Gothic" w:eastAsia="Times New Roman" w:hAnsi="Century Gothic" w:cs="Arial"/>
          <w:sz w:val="24"/>
          <w:szCs w:val="24"/>
        </w:rPr>
        <w:t>socially vulnerable and high hazard risk</w:t>
      </w:r>
      <w:r w:rsidRPr="00AB0445">
        <w:rPr>
          <w:rFonts w:ascii="Century Gothic" w:eastAsia="Times New Roman" w:hAnsi="Century Gothic" w:cs="Arial"/>
          <w:sz w:val="24"/>
          <w:szCs w:val="24"/>
          <w:lang w:val="en-GB"/>
        </w:rPr>
        <w:t xml:space="preserve"> community according to the </w:t>
      </w:r>
      <w:r w:rsidRPr="00AB0445">
        <w:rPr>
          <w:rFonts w:ascii="Century Gothic" w:eastAsia="Century Gothic" w:hAnsi="Century Gothic" w:cs="Arial"/>
          <w:sz w:val="24"/>
          <w:szCs w:val="24"/>
          <w:lang w:val="en-GB"/>
        </w:rPr>
        <w:t xml:space="preserve">Cal OES Hazard Mitigation Assistance Division’s </w:t>
      </w:r>
      <w:hyperlink r:id="rId9" w:history="1">
        <w:r w:rsidRPr="000E7831">
          <w:rPr>
            <w:rStyle w:val="Hyperlink"/>
            <w:rFonts w:eastAsia="Century Gothic" w:cs="Arial"/>
            <w:szCs w:val="24"/>
            <w:lang w:val="en-GB"/>
          </w:rPr>
          <w:t>Vulnerability Map</w:t>
        </w:r>
      </w:hyperlink>
      <w:r w:rsidRPr="00AB0445">
        <w:rPr>
          <w:rFonts w:ascii="Century Gothic" w:eastAsia="Times New Roman" w:hAnsi="Century Gothic" w:cs="Arial"/>
          <w:sz w:val="24"/>
          <w:szCs w:val="24"/>
          <w:vertAlign w:val="superscript"/>
          <w:lang w:val="en-GB"/>
        </w:rPr>
        <w:footnoteReference w:id="1"/>
      </w:r>
      <w:r w:rsidRPr="00AB0445">
        <w:rPr>
          <w:rFonts w:ascii="Century Gothic" w:eastAsia="Times New Roman" w:hAnsi="Century Gothic" w:cs="Arial"/>
          <w:sz w:val="24"/>
          <w:szCs w:val="24"/>
          <w:lang w:val="en-GB"/>
        </w:rPr>
        <w:t xml:space="preserve">. Counties and special government districts </w:t>
      </w:r>
      <w:r w:rsidRPr="00AB0445">
        <w:rPr>
          <w:rFonts w:ascii="Century Gothic" w:eastAsia="Times New Roman" w:hAnsi="Century Gothic" w:cs="Arial"/>
          <w:sz w:val="24"/>
          <w:szCs w:val="24"/>
        </w:rPr>
        <w:t>may also be eligible to receive funding if they can demonstrate that staff augmentation directly and primarily benefits a qualified socially vulnerable and high hazard risk community or communities.</w:t>
      </w:r>
    </w:p>
    <w:p w14:paraId="14D05AA1" w14:textId="77777777" w:rsidR="00AB0445" w:rsidRPr="00AB0445" w:rsidRDefault="00AB0445" w:rsidP="00AB0445">
      <w:pPr>
        <w:spacing w:after="0" w:line="240" w:lineRule="auto"/>
        <w:rPr>
          <w:rFonts w:ascii="Century Gothic" w:eastAsia="Times New Roman" w:hAnsi="Century Gothic" w:cs="Arial"/>
          <w:sz w:val="24"/>
          <w:szCs w:val="24"/>
        </w:rPr>
      </w:pPr>
    </w:p>
    <w:p w14:paraId="18318C1C" w14:textId="60807155" w:rsidR="00AB0445" w:rsidRP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Prepare California JumpStart applicants must have a FEMA-approved-and-adopted local or tribal hazard mitigation plan (LHMP) prior to the application due date of September 23, 2022</w:t>
      </w:r>
      <w:r w:rsidR="00FA1906">
        <w:rPr>
          <w:rFonts w:ascii="Century Gothic" w:eastAsia="Times New Roman" w:hAnsi="Century Gothic" w:cs="Arial"/>
          <w:sz w:val="24"/>
          <w:szCs w:val="24"/>
        </w:rPr>
        <w:t xml:space="preserve">. </w:t>
      </w:r>
      <w:r w:rsidRPr="00AB0445">
        <w:rPr>
          <w:rFonts w:ascii="Century Gothic" w:eastAsia="Times New Roman" w:hAnsi="Century Gothic" w:cs="Arial"/>
          <w:sz w:val="24"/>
          <w:szCs w:val="24"/>
        </w:rPr>
        <w:t xml:space="preserve">Visit the Cal OES </w:t>
      </w:r>
      <w:hyperlink r:id="rId10" w:history="1">
        <w:r w:rsidRPr="00AB0445">
          <w:rPr>
            <w:rFonts w:ascii="Century Gothic" w:eastAsia="Century Gothic" w:hAnsi="Century Gothic" w:cs="Arial"/>
            <w:color w:val="015E90"/>
            <w:sz w:val="24"/>
            <w:szCs w:val="24"/>
            <w:u w:val="single"/>
          </w:rPr>
          <w:t>Local Hazard Mitigation Program</w:t>
        </w:r>
      </w:hyperlink>
      <w:r w:rsidRPr="00AB0445">
        <w:rPr>
          <w:rFonts w:ascii="Century Gothic" w:eastAsia="Times New Roman" w:hAnsi="Century Gothic" w:cs="Arial"/>
          <w:sz w:val="24"/>
          <w:szCs w:val="24"/>
        </w:rPr>
        <w:t xml:space="preserve"> website for more information.</w:t>
      </w:r>
    </w:p>
    <w:p w14:paraId="3FD8DBCC" w14:textId="77777777" w:rsidR="00AB0445" w:rsidRP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 </w:t>
      </w:r>
    </w:p>
    <w:p w14:paraId="7D7501D7" w14:textId="77777777"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t>PREPARE CALIFORNIA JUMPSTART STAFF AUGMENTATION OBJECTIVE</w:t>
      </w:r>
    </w:p>
    <w:p w14:paraId="0CD4820E" w14:textId="77777777" w:rsidR="00AB0445" w:rsidRPr="00AB0445" w:rsidRDefault="00AB0445" w:rsidP="00AB0445">
      <w:pPr>
        <w:spacing w:after="0" w:line="257"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The primary activity eligible under this round of Prepare California JumpStart is the hiring, or continuation of services, of a Chief Resilience Officer or position of similar scope of services and authority. Successful applications will adequately demonstrate that their position will incorporate </w:t>
      </w:r>
      <w:r w:rsidRPr="00AB0445">
        <w:rPr>
          <w:rFonts w:ascii="Century Gothic" w:eastAsia="Times New Roman" w:hAnsi="Century Gothic" w:cs="Arial"/>
          <w:b/>
          <w:bCs/>
          <w:sz w:val="24"/>
          <w:szCs w:val="24"/>
          <w:u w:val="single"/>
        </w:rPr>
        <w:t>all</w:t>
      </w:r>
      <w:r w:rsidRPr="00AB0445">
        <w:rPr>
          <w:rFonts w:ascii="Century Gothic" w:eastAsia="Times New Roman" w:hAnsi="Century Gothic" w:cs="Arial"/>
          <w:sz w:val="24"/>
          <w:szCs w:val="24"/>
        </w:rPr>
        <w:t xml:space="preserve"> the following components as part of the routine services hired under this grant:</w:t>
      </w:r>
    </w:p>
    <w:p w14:paraId="4F8E0AC2" w14:textId="77777777" w:rsidR="00AB0445" w:rsidRPr="00AB0445" w:rsidRDefault="00AB0445" w:rsidP="00AB0445">
      <w:pPr>
        <w:numPr>
          <w:ilvl w:val="0"/>
          <w:numId w:val="1"/>
        </w:numPr>
        <w:spacing w:after="0" w:line="257" w:lineRule="auto"/>
        <w:contextualSpacing/>
        <w:rPr>
          <w:rFonts w:ascii="Century Gothic" w:eastAsia="Meiryo" w:hAnsi="Century Gothic" w:cs="Arial"/>
          <w:sz w:val="24"/>
          <w:szCs w:val="21"/>
          <w:lang w:val="en-GB"/>
        </w:rPr>
      </w:pPr>
      <w:r w:rsidRPr="00AB0445">
        <w:rPr>
          <w:rFonts w:ascii="Century Gothic" w:eastAsia="Meiryo" w:hAnsi="Century Gothic" w:cs="Arial"/>
          <w:sz w:val="24"/>
          <w:szCs w:val="21"/>
          <w:lang w:val="en-GB"/>
        </w:rPr>
        <w:t>Coordinate with a variety of key stakeholders to thoroughly identify the applicant organization’s resilience challenges and goals.</w:t>
      </w:r>
    </w:p>
    <w:p w14:paraId="173F8CBF" w14:textId="2BD640D1" w:rsidR="00AB0445" w:rsidRPr="00AB0445" w:rsidRDefault="00AB0445" w:rsidP="00AB0445">
      <w:pPr>
        <w:numPr>
          <w:ilvl w:val="0"/>
          <w:numId w:val="1"/>
        </w:numPr>
        <w:spacing w:after="0" w:line="257" w:lineRule="auto"/>
        <w:contextualSpacing/>
        <w:rPr>
          <w:rFonts w:ascii="Century Gothic" w:eastAsia="Meiryo" w:hAnsi="Century Gothic" w:cs="Arial"/>
          <w:sz w:val="24"/>
          <w:szCs w:val="21"/>
          <w:lang w:val="en-GB"/>
        </w:rPr>
      </w:pPr>
      <w:r w:rsidRPr="00AB0445">
        <w:rPr>
          <w:rFonts w:ascii="Century Gothic" w:eastAsia="Meiryo" w:hAnsi="Century Gothic" w:cs="Arial"/>
          <w:sz w:val="24"/>
          <w:szCs w:val="21"/>
          <w:lang w:val="en-GB"/>
        </w:rPr>
        <w:t xml:space="preserve">Lead the development of a comprehensive strategy that is informed by the array of needs facing the applicant community, including the populations and infrastructure that are most vulnerable, and incorporates </w:t>
      </w:r>
      <w:r w:rsidR="00D91BFA">
        <w:rPr>
          <w:rFonts w:ascii="Century Gothic" w:eastAsia="Meiryo" w:hAnsi="Century Gothic" w:cs="Arial"/>
          <w:sz w:val="24"/>
          <w:szCs w:val="21"/>
          <w:lang w:val="en-GB"/>
        </w:rPr>
        <w:t xml:space="preserve">planning and implementation of </w:t>
      </w:r>
      <w:r w:rsidRPr="00AB0445">
        <w:rPr>
          <w:rFonts w:ascii="Century Gothic" w:eastAsia="Meiryo" w:hAnsi="Century Gothic" w:cs="Arial"/>
          <w:sz w:val="24"/>
          <w:szCs w:val="21"/>
          <w:lang w:val="en-GB"/>
        </w:rPr>
        <w:t>mitigation</w:t>
      </w:r>
      <w:r w:rsidR="00D91BFA">
        <w:rPr>
          <w:rFonts w:ascii="Century Gothic" w:eastAsia="Meiryo" w:hAnsi="Century Gothic" w:cs="Arial"/>
          <w:sz w:val="24"/>
          <w:szCs w:val="21"/>
          <w:lang w:val="en-GB"/>
        </w:rPr>
        <w:t>,</w:t>
      </w:r>
      <w:r w:rsidRPr="00AB0445">
        <w:rPr>
          <w:rFonts w:ascii="Century Gothic" w:eastAsia="Meiryo" w:hAnsi="Century Gothic" w:cs="Arial"/>
          <w:sz w:val="24"/>
          <w:szCs w:val="21"/>
          <w:lang w:val="en-GB"/>
        </w:rPr>
        <w:t xml:space="preserve"> preparedness</w:t>
      </w:r>
      <w:r w:rsidR="00D91BFA">
        <w:rPr>
          <w:rFonts w:ascii="Century Gothic" w:eastAsia="Meiryo" w:hAnsi="Century Gothic" w:cs="Arial"/>
          <w:sz w:val="24"/>
          <w:szCs w:val="21"/>
          <w:lang w:val="en-GB"/>
        </w:rPr>
        <w:t>, and recovery</w:t>
      </w:r>
      <w:r w:rsidRPr="00AB0445">
        <w:rPr>
          <w:rFonts w:ascii="Century Gothic" w:eastAsia="Meiryo" w:hAnsi="Century Gothic" w:cs="Arial"/>
          <w:sz w:val="24"/>
          <w:szCs w:val="21"/>
          <w:lang w:val="en-GB"/>
        </w:rPr>
        <w:t xml:space="preserve"> activities, and </w:t>
      </w:r>
      <w:r w:rsidR="00D91BFA">
        <w:rPr>
          <w:rFonts w:ascii="Century Gothic" w:eastAsia="Meiryo" w:hAnsi="Century Gothic" w:cs="Arial"/>
          <w:sz w:val="24"/>
          <w:szCs w:val="21"/>
          <w:lang w:val="en-GB"/>
        </w:rPr>
        <w:t xml:space="preserve">mitigation </w:t>
      </w:r>
      <w:r w:rsidRPr="00AB0445">
        <w:rPr>
          <w:rFonts w:ascii="Century Gothic" w:eastAsia="Meiryo" w:hAnsi="Century Gothic" w:cs="Arial"/>
          <w:sz w:val="24"/>
          <w:szCs w:val="21"/>
          <w:lang w:val="en-GB"/>
        </w:rPr>
        <w:t>project scoping.</w:t>
      </w:r>
    </w:p>
    <w:p w14:paraId="1CFF5938" w14:textId="77777777" w:rsidR="00AB0445" w:rsidRDefault="00AB0445" w:rsidP="00AB0445">
      <w:pPr>
        <w:numPr>
          <w:ilvl w:val="0"/>
          <w:numId w:val="1"/>
        </w:numPr>
        <w:spacing w:after="0" w:line="257" w:lineRule="auto"/>
        <w:contextualSpacing/>
        <w:rPr>
          <w:rFonts w:ascii="Century Gothic" w:eastAsia="Meiryo" w:hAnsi="Century Gothic" w:cs="Arial"/>
          <w:sz w:val="24"/>
          <w:szCs w:val="21"/>
          <w:lang w:val="en-GB"/>
        </w:rPr>
      </w:pPr>
      <w:r w:rsidRPr="00AB0445">
        <w:rPr>
          <w:rFonts w:ascii="Century Gothic" w:eastAsia="Meiryo" w:hAnsi="Century Gothic" w:cs="Arial"/>
          <w:sz w:val="24"/>
          <w:szCs w:val="21"/>
          <w:lang w:val="en-GB"/>
        </w:rPr>
        <w:lastRenderedPageBreak/>
        <w:t>Contribute knowledge and expertise to continuously improve and implement the applicant organization’s resilience strategy.</w:t>
      </w:r>
    </w:p>
    <w:p w14:paraId="3A7567C5" w14:textId="2ED55AC6" w:rsidR="00AB0445" w:rsidRDefault="00AB0445" w:rsidP="00AB0445">
      <w:pPr>
        <w:numPr>
          <w:ilvl w:val="0"/>
          <w:numId w:val="1"/>
        </w:numPr>
        <w:spacing w:after="0" w:line="257" w:lineRule="auto"/>
        <w:contextualSpacing/>
        <w:rPr>
          <w:rFonts w:ascii="Century Gothic" w:eastAsia="Meiryo" w:hAnsi="Century Gothic" w:cs="Arial"/>
          <w:sz w:val="24"/>
          <w:szCs w:val="21"/>
          <w:lang w:val="en-GB"/>
        </w:rPr>
      </w:pPr>
      <w:r w:rsidRPr="00AB0445">
        <w:rPr>
          <w:rFonts w:ascii="Century Gothic" w:eastAsia="Meiryo" w:hAnsi="Century Gothic" w:cs="Arial"/>
          <w:sz w:val="24"/>
          <w:szCs w:val="21"/>
          <w:lang w:val="en-GB"/>
        </w:rPr>
        <w:t>Identify and secure funding, such as Hazard Mitigation Assistance (HMA), over the period of performance that aligns with the applicant organization’s resilience strategy and can ensure its continued success.</w:t>
      </w:r>
    </w:p>
    <w:p w14:paraId="4A082975" w14:textId="77777777" w:rsidR="009644BE" w:rsidRPr="00AB0445" w:rsidRDefault="009644BE" w:rsidP="009644BE">
      <w:pPr>
        <w:spacing w:after="0" w:line="257" w:lineRule="auto"/>
        <w:ind w:left="360"/>
        <w:contextualSpacing/>
        <w:rPr>
          <w:rFonts w:ascii="Century Gothic" w:eastAsia="Meiryo" w:hAnsi="Century Gothic" w:cs="Arial"/>
          <w:sz w:val="24"/>
          <w:szCs w:val="21"/>
          <w:lang w:val="en-GB"/>
        </w:rPr>
      </w:pPr>
    </w:p>
    <w:p w14:paraId="451AB6ED" w14:textId="2E80AE39"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t xml:space="preserve">Prepare California JumpStart Program Criteria </w:t>
      </w:r>
    </w:p>
    <w:p w14:paraId="2CE86B14" w14:textId="77777777" w:rsidR="00AB0445" w:rsidRPr="00AB0445" w:rsidRDefault="00AB0445" w:rsidP="00AB0445">
      <w:pPr>
        <w:keepNext/>
        <w:keepLines/>
        <w:spacing w:before="120"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Staff Augmentation Application Criteria</w:t>
      </w:r>
    </w:p>
    <w:p w14:paraId="6B60B4F5" w14:textId="51586AB1"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applications are limited to </w:t>
      </w:r>
      <w:r w:rsidRPr="00AB0445">
        <w:rPr>
          <w:rFonts w:ascii="Century Gothic" w:eastAsia="Century Gothic" w:hAnsi="Century Gothic" w:cs="Arial"/>
          <w:b/>
          <w:sz w:val="24"/>
          <w:szCs w:val="24"/>
          <w:u w:val="single"/>
        </w:rPr>
        <w:t>$1 million in state funds per application</w:t>
      </w:r>
      <w:r w:rsidRPr="00AB0445">
        <w:rPr>
          <w:rFonts w:ascii="Century Gothic" w:eastAsia="Century Gothic" w:hAnsi="Century Gothic" w:cs="Arial"/>
          <w:b/>
          <w:sz w:val="24"/>
          <w:szCs w:val="24"/>
        </w:rPr>
        <w:t xml:space="preserve"> </w:t>
      </w:r>
      <w:r w:rsidRPr="00AB0445">
        <w:rPr>
          <w:rFonts w:ascii="Century Gothic" w:eastAsia="Century Gothic" w:hAnsi="Century Gothic" w:cs="Arial"/>
          <w:sz w:val="24"/>
          <w:szCs w:val="24"/>
        </w:rPr>
        <w:t>and must demonstrate commitment to resiliency</w:t>
      </w:r>
      <w:r w:rsidR="00FD3922">
        <w:rPr>
          <w:rFonts w:ascii="Century Gothic" w:eastAsia="Century Gothic" w:hAnsi="Century Gothic" w:cs="Arial"/>
          <w:sz w:val="24"/>
          <w:szCs w:val="24"/>
        </w:rPr>
        <w:t xml:space="preserve"> and mitigation project scoping</w:t>
      </w:r>
      <w:r w:rsidRPr="00AB0445">
        <w:rPr>
          <w:rFonts w:ascii="Century Gothic" w:eastAsia="Century Gothic" w:hAnsi="Century Gothic" w:cs="Arial"/>
          <w:sz w:val="24"/>
          <w:szCs w:val="24"/>
        </w:rPr>
        <w:t xml:space="preserve">, as well </w:t>
      </w:r>
      <w:r w:rsidR="00FD3922">
        <w:rPr>
          <w:rFonts w:ascii="Century Gothic" w:eastAsia="Century Gothic" w:hAnsi="Century Gothic" w:cs="Arial"/>
          <w:sz w:val="24"/>
          <w:szCs w:val="24"/>
        </w:rPr>
        <w:t xml:space="preserve">activities, education, and/or planning for </w:t>
      </w:r>
      <w:r w:rsidRPr="00AB0445">
        <w:rPr>
          <w:rFonts w:ascii="Century Gothic" w:eastAsia="Century Gothic" w:hAnsi="Century Gothic" w:cs="Arial"/>
          <w:sz w:val="24"/>
          <w:szCs w:val="24"/>
        </w:rPr>
        <w:t>mitigation</w:t>
      </w:r>
      <w:r w:rsidR="00FD3922">
        <w:rPr>
          <w:rFonts w:ascii="Century Gothic" w:eastAsia="Century Gothic" w:hAnsi="Century Gothic" w:cs="Arial"/>
          <w:sz w:val="24"/>
          <w:szCs w:val="24"/>
        </w:rPr>
        <w:t>,</w:t>
      </w:r>
      <w:r w:rsidRPr="00AB0445">
        <w:rPr>
          <w:rFonts w:ascii="Century Gothic" w:eastAsia="Century Gothic" w:hAnsi="Century Gothic" w:cs="Arial"/>
          <w:sz w:val="24"/>
          <w:szCs w:val="24"/>
        </w:rPr>
        <w:t xml:space="preserve"> preparedness, </w:t>
      </w:r>
      <w:r w:rsidR="00FD3922">
        <w:rPr>
          <w:rFonts w:ascii="Century Gothic" w:eastAsia="Century Gothic" w:hAnsi="Century Gothic" w:cs="Arial"/>
          <w:sz w:val="24"/>
          <w:szCs w:val="24"/>
        </w:rPr>
        <w:t xml:space="preserve">and/or </w:t>
      </w:r>
      <w:r w:rsidRPr="00AB0445">
        <w:rPr>
          <w:rFonts w:ascii="Century Gothic" w:eastAsia="Century Gothic" w:hAnsi="Century Gothic" w:cs="Arial"/>
          <w:sz w:val="24"/>
          <w:szCs w:val="24"/>
        </w:rPr>
        <w:t xml:space="preserve">recovery. </w:t>
      </w:r>
      <w:r w:rsidRPr="00AB0445">
        <w:rPr>
          <w:rFonts w:ascii="Century Gothic" w:eastAsia="Times New Roman" w:hAnsi="Century Gothic" w:cs="Arial"/>
          <w:sz w:val="24"/>
          <w:szCs w:val="24"/>
        </w:rPr>
        <w:t xml:space="preserve">Applicants should clearly describe how their initiative fulfills these criteria within their application </w:t>
      </w:r>
      <w:r w:rsidRPr="00AB0445">
        <w:rPr>
          <w:rFonts w:ascii="Century Gothic" w:eastAsia="Times New Roman" w:hAnsi="Century Gothic" w:cs="Arial"/>
          <w:b/>
          <w:sz w:val="24"/>
          <w:szCs w:val="24"/>
          <w:u w:val="single"/>
        </w:rPr>
        <w:t>and</w:t>
      </w:r>
      <w:r w:rsidRPr="00AB0445">
        <w:rPr>
          <w:rFonts w:ascii="Century Gothic" w:eastAsia="Times New Roman" w:hAnsi="Century Gothic" w:cs="Arial"/>
          <w:sz w:val="24"/>
          <w:szCs w:val="24"/>
        </w:rPr>
        <w:t xml:space="preserve"> identify success metrics. </w:t>
      </w:r>
      <w:r w:rsidRPr="00AB0445">
        <w:rPr>
          <w:rFonts w:ascii="Century Gothic" w:eastAsia="Century Gothic" w:hAnsi="Century Gothic" w:cs="Arial"/>
          <w:sz w:val="24"/>
          <w:szCs w:val="24"/>
        </w:rPr>
        <w:t xml:space="preserve">Applications that identify any primary activity other than staff augmentation </w:t>
      </w:r>
      <w:r w:rsidRPr="00AB0445" w:rsidDel="1DD8F4B6">
        <w:rPr>
          <w:rFonts w:ascii="Century Gothic" w:eastAsia="Century Gothic" w:hAnsi="Century Gothic" w:cs="Arial"/>
          <w:b/>
          <w:bCs/>
          <w:sz w:val="24"/>
          <w:szCs w:val="24"/>
          <w:u w:val="single"/>
        </w:rPr>
        <w:t xml:space="preserve">will </w:t>
      </w:r>
      <w:r w:rsidRPr="00AB0445">
        <w:rPr>
          <w:rFonts w:ascii="Century Gothic" w:eastAsia="Century Gothic" w:hAnsi="Century Gothic" w:cs="Arial"/>
          <w:b/>
          <w:bCs/>
          <w:sz w:val="24"/>
          <w:szCs w:val="24"/>
          <w:u w:val="single"/>
        </w:rPr>
        <w:t>not</w:t>
      </w:r>
      <w:r w:rsidRPr="00AB0445">
        <w:rPr>
          <w:rFonts w:ascii="Century Gothic" w:eastAsia="Century Gothic" w:hAnsi="Century Gothic" w:cs="Arial"/>
          <w:sz w:val="24"/>
          <w:szCs w:val="24"/>
        </w:rPr>
        <w:t xml:space="preserve"> be considered.</w:t>
      </w:r>
    </w:p>
    <w:p w14:paraId="780AFAE9" w14:textId="77777777" w:rsidR="00AB0445" w:rsidRPr="00AB0445" w:rsidRDefault="00AB0445" w:rsidP="00AB0445">
      <w:pPr>
        <w:spacing w:after="0" w:line="240" w:lineRule="auto"/>
        <w:rPr>
          <w:rFonts w:ascii="Century Gothic" w:eastAsia="Century Gothic" w:hAnsi="Century Gothic" w:cs="Arial"/>
          <w:sz w:val="24"/>
          <w:szCs w:val="24"/>
        </w:rPr>
      </w:pPr>
    </w:p>
    <w:p w14:paraId="76A1C3AF" w14:textId="010A261A" w:rsid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lang w:val="en-GB"/>
        </w:rPr>
        <w:t xml:space="preserve">Applicants must demonstrate through the application that there are tangible deliverables and </w:t>
      </w:r>
      <w:r w:rsidRPr="00AB0445">
        <w:rPr>
          <w:rFonts w:ascii="Century Gothic" w:eastAsia="Times New Roman" w:hAnsi="Century Gothic" w:cs="Arial"/>
          <w:sz w:val="24"/>
          <w:szCs w:val="24"/>
        </w:rPr>
        <w:t xml:space="preserve">initiatives that directly and primarily benefit a qualified socially vulnerable and high hazard risk community or communities. As a deliverable during the period of performance, applicants </w:t>
      </w:r>
      <w:r w:rsidRPr="00AB0445">
        <w:rPr>
          <w:rFonts w:ascii="Century Gothic" w:eastAsia="Times New Roman" w:hAnsi="Century Gothic" w:cs="Arial"/>
          <w:b/>
          <w:bCs/>
          <w:sz w:val="24"/>
          <w:szCs w:val="24"/>
          <w:u w:val="single"/>
        </w:rPr>
        <w:t>must</w:t>
      </w:r>
      <w:r w:rsidRPr="00AB0445">
        <w:rPr>
          <w:rFonts w:ascii="Century Gothic" w:eastAsia="Times New Roman" w:hAnsi="Century Gothic" w:cs="Arial"/>
          <w:sz w:val="24"/>
          <w:szCs w:val="24"/>
        </w:rPr>
        <w:t xml:space="preserve"> pursue project scoping that leads to a Hazard Mitigation Assistance (HMA) subapplication</w:t>
      </w:r>
      <w:r w:rsidR="00F87939">
        <w:rPr>
          <w:rFonts w:ascii="Century Gothic" w:eastAsia="Times New Roman" w:hAnsi="Century Gothic" w:cs="Arial"/>
          <w:sz w:val="24"/>
          <w:szCs w:val="24"/>
        </w:rPr>
        <w:t>(</w:t>
      </w:r>
      <w:r w:rsidRPr="00AB0445">
        <w:rPr>
          <w:rFonts w:ascii="Century Gothic" w:eastAsia="Times New Roman" w:hAnsi="Century Gothic" w:cs="Arial"/>
          <w:sz w:val="24"/>
          <w:szCs w:val="24"/>
        </w:rPr>
        <w:t>s</w:t>
      </w:r>
      <w:r w:rsidR="00F87939">
        <w:rPr>
          <w:rFonts w:ascii="Century Gothic" w:eastAsia="Times New Roman" w:hAnsi="Century Gothic" w:cs="Arial"/>
          <w:sz w:val="24"/>
          <w:szCs w:val="24"/>
        </w:rPr>
        <w:t>)</w:t>
      </w:r>
      <w:r w:rsidR="00251ABE">
        <w:rPr>
          <w:rFonts w:ascii="Century Gothic" w:eastAsia="Times New Roman" w:hAnsi="Century Gothic" w:cs="Arial"/>
          <w:sz w:val="24"/>
          <w:szCs w:val="24"/>
        </w:rPr>
        <w:t xml:space="preserve">. This may include </w:t>
      </w:r>
      <w:r w:rsidR="00FD3922">
        <w:rPr>
          <w:rFonts w:ascii="Century Gothic" w:eastAsia="Times New Roman" w:hAnsi="Century Gothic" w:cs="Arial"/>
          <w:sz w:val="24"/>
          <w:szCs w:val="24"/>
        </w:rPr>
        <w:t xml:space="preserve">Mitigation Projects under any HMA program, </w:t>
      </w:r>
      <w:r w:rsidR="00191C56">
        <w:rPr>
          <w:rFonts w:ascii="Century Gothic" w:eastAsia="Times New Roman" w:hAnsi="Century Gothic" w:cs="Arial"/>
          <w:sz w:val="24"/>
          <w:szCs w:val="24"/>
        </w:rPr>
        <w:t>Advance Assistance (AA) under the Hazard Mitigation Grant Program (HMGP), and</w:t>
      </w:r>
      <w:r w:rsidR="00251ABE">
        <w:rPr>
          <w:rFonts w:ascii="Century Gothic" w:eastAsia="Times New Roman" w:hAnsi="Century Gothic" w:cs="Arial"/>
          <w:sz w:val="24"/>
          <w:szCs w:val="24"/>
        </w:rPr>
        <w:t>/or</w:t>
      </w:r>
      <w:r w:rsidR="00191C56">
        <w:rPr>
          <w:rFonts w:ascii="Century Gothic" w:eastAsia="Times New Roman" w:hAnsi="Century Gothic" w:cs="Arial"/>
          <w:sz w:val="24"/>
          <w:szCs w:val="24"/>
        </w:rPr>
        <w:t xml:space="preserve"> Capability- and Capacity-Building (C&amp;CB) under the Building </w:t>
      </w:r>
      <w:r w:rsidR="00633F91">
        <w:rPr>
          <w:rFonts w:ascii="Century Gothic" w:eastAsia="Times New Roman" w:hAnsi="Century Gothic" w:cs="Arial"/>
          <w:sz w:val="24"/>
          <w:szCs w:val="24"/>
        </w:rPr>
        <w:t>Resilient</w:t>
      </w:r>
      <w:r w:rsidR="00191C56">
        <w:rPr>
          <w:rFonts w:ascii="Century Gothic" w:eastAsia="Times New Roman" w:hAnsi="Century Gothic" w:cs="Arial"/>
          <w:sz w:val="24"/>
          <w:szCs w:val="24"/>
        </w:rPr>
        <w:t xml:space="preserve"> Infrastructure and Communities (BRIC) and Flood Mitigation Assistance (FMA) programs. </w:t>
      </w:r>
    </w:p>
    <w:p w14:paraId="0CB961CC" w14:textId="77777777" w:rsidR="00191C56" w:rsidRPr="00AB0445" w:rsidRDefault="00191C56" w:rsidP="00AB0445">
      <w:pPr>
        <w:spacing w:after="0" w:line="240" w:lineRule="auto"/>
        <w:rPr>
          <w:rFonts w:ascii="Century Gothic" w:eastAsia="Times New Roman" w:hAnsi="Century Gothic" w:cs="Arial"/>
          <w:sz w:val="24"/>
          <w:szCs w:val="24"/>
        </w:rPr>
      </w:pPr>
    </w:p>
    <w:p w14:paraId="36DD041D" w14:textId="70480E24" w:rsidR="00AB0445" w:rsidRPr="00AB0445" w:rsidRDefault="00AB0445" w:rsidP="00AB0445">
      <w:pPr>
        <w:spacing w:after="0" w:line="257"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The position funded through Prepare California JumpStart </w:t>
      </w:r>
      <w:r w:rsidR="00692868">
        <w:rPr>
          <w:rFonts w:ascii="Century Gothic" w:eastAsia="Century Gothic" w:hAnsi="Century Gothic" w:cs="Arial"/>
          <w:sz w:val="24"/>
          <w:szCs w:val="24"/>
        </w:rPr>
        <w:t>may</w:t>
      </w:r>
      <w:r w:rsidRPr="00AB0445">
        <w:rPr>
          <w:rFonts w:ascii="Century Gothic" w:eastAsia="Century Gothic" w:hAnsi="Century Gothic" w:cs="Arial"/>
          <w:sz w:val="24"/>
          <w:szCs w:val="24"/>
        </w:rPr>
        <w:t xml:space="preserve"> not supplant existing staff or positions. Applicants must thoroughly demonstrate through the application that the position </w:t>
      </w:r>
      <w:r w:rsidRPr="00AB0445">
        <w:rPr>
          <w:rFonts w:ascii="Century Gothic" w:eastAsia="Century Gothic" w:hAnsi="Century Gothic" w:cs="Arial"/>
          <w:b/>
          <w:bCs/>
          <w:sz w:val="24"/>
          <w:szCs w:val="24"/>
          <w:u w:val="single"/>
        </w:rPr>
        <w:t>supplements</w:t>
      </w:r>
      <w:r w:rsidRPr="00AB0445">
        <w:rPr>
          <w:rFonts w:ascii="Century Gothic" w:eastAsia="Century Gothic" w:hAnsi="Century Gothic" w:cs="Arial"/>
          <w:sz w:val="24"/>
          <w:szCs w:val="24"/>
        </w:rPr>
        <w:t xml:space="preserve"> existing staff and </w:t>
      </w:r>
      <w:r w:rsidRPr="00AB0445">
        <w:rPr>
          <w:rFonts w:ascii="Century Gothic" w:eastAsia="Century Gothic" w:hAnsi="Century Gothic" w:cs="Arial"/>
          <w:b/>
          <w:bCs/>
          <w:sz w:val="24"/>
          <w:szCs w:val="24"/>
          <w:u w:val="single"/>
        </w:rPr>
        <w:t>increases</w:t>
      </w:r>
      <w:r w:rsidRPr="00AB0445">
        <w:rPr>
          <w:rFonts w:ascii="Century Gothic" w:eastAsia="Century Gothic" w:hAnsi="Century Gothic" w:cs="Arial"/>
          <w:sz w:val="24"/>
          <w:szCs w:val="24"/>
        </w:rPr>
        <w:t xml:space="preserve"> the applicant organization’s capacity.</w:t>
      </w:r>
    </w:p>
    <w:p w14:paraId="57F3A9F8" w14:textId="77777777" w:rsidR="00AB0445" w:rsidRPr="00AB0445" w:rsidRDefault="00AB0445" w:rsidP="00AB0445">
      <w:pPr>
        <w:spacing w:after="0" w:line="257" w:lineRule="auto"/>
        <w:rPr>
          <w:rFonts w:ascii="Century Gothic" w:eastAsia="Century Gothic" w:hAnsi="Century Gothic" w:cs="Arial"/>
          <w:sz w:val="24"/>
          <w:szCs w:val="24"/>
        </w:rPr>
      </w:pPr>
    </w:p>
    <w:p w14:paraId="39CC7C57"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Budget Application Criteria</w:t>
      </w:r>
    </w:p>
    <w:p w14:paraId="74CAE8FF" w14:textId="72D7BEB3" w:rsid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applications have </w:t>
      </w:r>
      <w:r w:rsidRPr="00AB0445">
        <w:rPr>
          <w:rFonts w:ascii="Century Gothic" w:eastAsia="Century Gothic" w:hAnsi="Century Gothic" w:cs="Arial"/>
          <w:b/>
          <w:bCs/>
          <w:sz w:val="24"/>
          <w:szCs w:val="24"/>
          <w:u w:val="single"/>
        </w:rPr>
        <w:t>three eligible cost items</w:t>
      </w:r>
      <w:r w:rsidRPr="00AB0445">
        <w:rPr>
          <w:rFonts w:ascii="Century Gothic" w:eastAsia="Century Gothic" w:hAnsi="Century Gothic" w:cs="Arial"/>
          <w:sz w:val="24"/>
          <w:szCs w:val="24"/>
        </w:rPr>
        <w:t>. Applicants must adequately justify and describe each cost item within their application. Eligible cost items are as follows:</w:t>
      </w:r>
    </w:p>
    <w:p w14:paraId="59BBC6CC" w14:textId="77777777" w:rsidR="0096288A" w:rsidRPr="00AB0445" w:rsidRDefault="0096288A" w:rsidP="00AB0445">
      <w:pPr>
        <w:spacing w:after="0" w:line="240" w:lineRule="auto"/>
        <w:rPr>
          <w:rFonts w:ascii="Century Gothic" w:eastAsia="Century Gothic" w:hAnsi="Century Gothic" w:cs="Arial"/>
          <w:sz w:val="24"/>
          <w:szCs w:val="24"/>
        </w:rPr>
      </w:pPr>
    </w:p>
    <w:p w14:paraId="27598536" w14:textId="77777777" w:rsidR="00AB0445" w:rsidRPr="00AB0445" w:rsidRDefault="00AB0445" w:rsidP="00AB0445">
      <w:pPr>
        <w:numPr>
          <w:ilvl w:val="0"/>
          <w:numId w:val="2"/>
        </w:numPr>
        <w:spacing w:before="120" w:after="0" w:line="240" w:lineRule="auto"/>
        <w:contextualSpacing/>
        <w:rPr>
          <w:rFonts w:ascii="Century Gothic" w:eastAsia="Times New Roman" w:hAnsi="Century Gothic" w:cs="Arial"/>
          <w:sz w:val="24"/>
          <w:szCs w:val="21"/>
          <w:lang w:val="en-GB"/>
        </w:rPr>
      </w:pPr>
      <w:r w:rsidRPr="00AB0445">
        <w:rPr>
          <w:rFonts w:ascii="Century Gothic" w:eastAsia="Times New Roman" w:hAnsi="Century Gothic" w:cs="Arial"/>
          <w:sz w:val="24"/>
          <w:szCs w:val="21"/>
          <w:u w:val="single"/>
          <w:lang w:val="en-GB"/>
        </w:rPr>
        <w:t>Total Cost of Salary:</w:t>
      </w:r>
      <w:r w:rsidRPr="00AB0445">
        <w:rPr>
          <w:rFonts w:ascii="Century Gothic" w:eastAsia="Times New Roman" w:hAnsi="Century Gothic" w:cs="Arial"/>
          <w:sz w:val="24"/>
          <w:szCs w:val="21"/>
          <w:lang w:val="en-GB"/>
        </w:rPr>
        <w:t xml:space="preserve"> The total of the position’s salary over the period of performance that would be funded by this grant, excluding fringe benefits or any private or local investments. </w:t>
      </w:r>
    </w:p>
    <w:p w14:paraId="305824C9" w14:textId="77777777" w:rsidR="00AB0445" w:rsidRPr="00AB0445" w:rsidRDefault="00AB0445" w:rsidP="00AB0445">
      <w:pPr>
        <w:numPr>
          <w:ilvl w:val="0"/>
          <w:numId w:val="2"/>
        </w:numPr>
        <w:spacing w:before="120" w:after="0" w:line="240" w:lineRule="auto"/>
        <w:contextualSpacing/>
        <w:rPr>
          <w:rFonts w:ascii="Century Gothic" w:eastAsia="Times New Roman" w:hAnsi="Century Gothic" w:cs="Arial"/>
          <w:sz w:val="24"/>
          <w:szCs w:val="21"/>
          <w:u w:val="single"/>
          <w:lang w:val="en-GB"/>
        </w:rPr>
      </w:pPr>
      <w:r w:rsidRPr="00AB0445">
        <w:rPr>
          <w:rFonts w:ascii="Century Gothic" w:eastAsia="Times New Roman" w:hAnsi="Century Gothic" w:cs="Arial"/>
          <w:sz w:val="24"/>
          <w:szCs w:val="21"/>
          <w:u w:val="single"/>
          <w:lang w:val="en-GB"/>
        </w:rPr>
        <w:lastRenderedPageBreak/>
        <w:t>Total Cost of Fringe Benefits:</w:t>
      </w:r>
      <w:r w:rsidRPr="00AB0445">
        <w:rPr>
          <w:rFonts w:ascii="Century Gothic" w:eastAsia="Times New Roman" w:hAnsi="Century Gothic" w:cs="Arial"/>
          <w:sz w:val="24"/>
          <w:szCs w:val="21"/>
          <w:lang w:val="en-GB"/>
        </w:rPr>
        <w:t xml:space="preserve"> The total of any fringe benefits associated with the position over the period of performance that would be funded by this grant, excluding any private or local investments. </w:t>
      </w:r>
    </w:p>
    <w:p w14:paraId="40880764" w14:textId="6743E41E" w:rsidR="00AB0445" w:rsidRPr="00FA1906" w:rsidRDefault="00AB0445" w:rsidP="00AB0445">
      <w:pPr>
        <w:numPr>
          <w:ilvl w:val="0"/>
          <w:numId w:val="2"/>
        </w:numPr>
        <w:spacing w:before="120" w:after="0" w:line="240" w:lineRule="auto"/>
        <w:contextualSpacing/>
        <w:rPr>
          <w:rFonts w:ascii="Century Gothic" w:eastAsia="Times New Roman" w:hAnsi="Century Gothic" w:cs="Arial"/>
          <w:sz w:val="24"/>
          <w:szCs w:val="21"/>
          <w:u w:val="single"/>
          <w:lang w:val="en-GB"/>
        </w:rPr>
      </w:pPr>
      <w:r w:rsidRPr="00AB0445">
        <w:rPr>
          <w:rFonts w:ascii="Century Gothic" w:eastAsia="Times New Roman" w:hAnsi="Century Gothic" w:cs="Arial"/>
          <w:sz w:val="24"/>
          <w:szCs w:val="21"/>
          <w:u w:val="single"/>
          <w:lang w:val="en-GB"/>
        </w:rPr>
        <w:t>Total Cost of Supplies and Materials:</w:t>
      </w:r>
      <w:r w:rsidRPr="00AB0445">
        <w:rPr>
          <w:rFonts w:ascii="Century Gothic" w:eastAsia="Times New Roman" w:hAnsi="Century Gothic" w:cs="Arial"/>
          <w:sz w:val="24"/>
          <w:szCs w:val="21"/>
          <w:lang w:val="en-GB"/>
        </w:rPr>
        <w:t xml:space="preserve"> The total of any supplies and materials required to support the position and a successful working environment, not to exceed $5,000.00 annually over the period of performance. Supplies and materials must support the eligible position and not the position’s deliverables or initiatives (i.e., technology and office supplies are eligible). </w:t>
      </w:r>
    </w:p>
    <w:p w14:paraId="3D904F09" w14:textId="77777777" w:rsidR="00AB0445" w:rsidRPr="00AB0445" w:rsidRDefault="00AB0445" w:rsidP="00AB0445">
      <w:pPr>
        <w:spacing w:after="0" w:line="240" w:lineRule="auto"/>
        <w:rPr>
          <w:rFonts w:ascii="Century Gothic" w:eastAsia="Times New Roman" w:hAnsi="Century Gothic" w:cs="Arial"/>
          <w:sz w:val="24"/>
          <w:szCs w:val="24"/>
        </w:rPr>
      </w:pPr>
    </w:p>
    <w:p w14:paraId="6434DF97"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Local Cost Share (Non-Federal Share)</w:t>
      </w:r>
    </w:p>
    <w:p w14:paraId="5B727D18" w14:textId="77777777"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w:t>
      </w:r>
      <w:r w:rsidRPr="00AB0445">
        <w:rPr>
          <w:rFonts w:ascii="Century Gothic" w:eastAsia="Century Gothic" w:hAnsi="Century Gothic" w:cs="Arial"/>
          <w:b/>
          <w:bCs/>
          <w:sz w:val="24"/>
          <w:szCs w:val="24"/>
          <w:u w:val="single"/>
        </w:rPr>
        <w:t>does not</w:t>
      </w:r>
      <w:r w:rsidRPr="00AB0445">
        <w:rPr>
          <w:rFonts w:ascii="Century Gothic" w:eastAsia="Century Gothic" w:hAnsi="Century Gothic" w:cs="Arial"/>
          <w:sz w:val="24"/>
          <w:szCs w:val="24"/>
        </w:rPr>
        <w:t xml:space="preserve"> have a local cost share (i.e., non-federal share) requirement, as this program is fully funded by the state.</w:t>
      </w:r>
    </w:p>
    <w:p w14:paraId="5235E85F" w14:textId="77777777" w:rsidR="00AB0445" w:rsidRPr="00AB0445" w:rsidRDefault="00AB0445" w:rsidP="00AB0445">
      <w:pPr>
        <w:spacing w:after="0" w:line="240" w:lineRule="auto"/>
        <w:rPr>
          <w:rFonts w:ascii="Century Gothic" w:eastAsia="Century Gothic" w:hAnsi="Century Gothic" w:cs="Arial"/>
          <w:sz w:val="24"/>
          <w:szCs w:val="24"/>
        </w:rPr>
      </w:pPr>
    </w:p>
    <w:p w14:paraId="79205881"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Period of Performance</w:t>
      </w:r>
    </w:p>
    <w:p w14:paraId="68F03E74" w14:textId="77777777"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awards have a period of performance of 60 months maximum. </w:t>
      </w:r>
    </w:p>
    <w:p w14:paraId="6398D010" w14:textId="77777777" w:rsidR="00AB0445" w:rsidRPr="00AB0445" w:rsidRDefault="00AB0445" w:rsidP="00AB0445">
      <w:pPr>
        <w:spacing w:after="0" w:line="240" w:lineRule="auto"/>
        <w:rPr>
          <w:rFonts w:ascii="Century Gothic" w:eastAsia="Century Gothic" w:hAnsi="Century Gothic" w:cs="Arial"/>
          <w:sz w:val="24"/>
          <w:szCs w:val="24"/>
        </w:rPr>
      </w:pPr>
    </w:p>
    <w:p w14:paraId="7872F38A"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Benefit-Cost Analysis</w:t>
      </w:r>
    </w:p>
    <w:p w14:paraId="6CF5ED64" w14:textId="77777777"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w:t>
      </w:r>
      <w:r w:rsidRPr="00AB0445">
        <w:rPr>
          <w:rFonts w:ascii="Century Gothic" w:eastAsia="Century Gothic" w:hAnsi="Century Gothic" w:cs="Arial"/>
          <w:b/>
          <w:sz w:val="24"/>
          <w:szCs w:val="24"/>
          <w:u w:val="single"/>
        </w:rPr>
        <w:t>does not</w:t>
      </w:r>
      <w:r w:rsidRPr="00AB0445">
        <w:rPr>
          <w:rFonts w:ascii="Century Gothic" w:eastAsia="Century Gothic" w:hAnsi="Century Gothic" w:cs="Arial"/>
          <w:sz w:val="24"/>
          <w:szCs w:val="24"/>
        </w:rPr>
        <w:t xml:space="preserve"> have a benefit-cost analysis (BCA) requirement.</w:t>
      </w:r>
    </w:p>
    <w:p w14:paraId="31A103B3" w14:textId="77777777" w:rsidR="00AB0445" w:rsidRPr="00AB0445" w:rsidRDefault="00AB0445" w:rsidP="00AB0445">
      <w:pPr>
        <w:spacing w:after="0" w:line="240" w:lineRule="auto"/>
        <w:rPr>
          <w:rFonts w:ascii="Century Gothic" w:eastAsia="Century Gothic" w:hAnsi="Century Gothic" w:cs="Arial"/>
          <w:sz w:val="24"/>
          <w:szCs w:val="24"/>
        </w:rPr>
      </w:pPr>
    </w:p>
    <w:p w14:paraId="0917B2F0"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Environmental and Historic Preservation</w:t>
      </w:r>
    </w:p>
    <w:p w14:paraId="6D384A8C" w14:textId="16D7CB25"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is </w:t>
      </w:r>
      <w:r w:rsidRPr="00AB0445">
        <w:rPr>
          <w:rFonts w:ascii="Century Gothic" w:eastAsia="Century Gothic" w:hAnsi="Century Gothic" w:cs="Arial"/>
          <w:b/>
          <w:bCs/>
          <w:sz w:val="24"/>
          <w:szCs w:val="24"/>
          <w:u w:val="single"/>
        </w:rPr>
        <w:t>not intended</w:t>
      </w:r>
      <w:r w:rsidRPr="00AB0445">
        <w:rPr>
          <w:rFonts w:ascii="Century Gothic" w:eastAsia="Century Gothic" w:hAnsi="Century Gothic" w:cs="Arial"/>
          <w:sz w:val="24"/>
          <w:szCs w:val="24"/>
        </w:rPr>
        <w:t xml:space="preserve"> for projects that would require compliance with California environmental and historic preservation (EHP) laws, executive orders, and regulations. Projects that do require EHP reviews (i.e., groundbreaking activity / construction projects) should be submitted </w:t>
      </w:r>
      <w:r w:rsidR="003821F9">
        <w:rPr>
          <w:rFonts w:ascii="Century Gothic" w:eastAsia="Century Gothic" w:hAnsi="Century Gothic" w:cs="Arial"/>
          <w:sz w:val="24"/>
          <w:szCs w:val="24"/>
        </w:rPr>
        <w:t xml:space="preserve">under </w:t>
      </w:r>
      <w:r w:rsidRPr="00AB0445">
        <w:rPr>
          <w:rFonts w:ascii="Century Gothic" w:eastAsia="Century Gothic" w:hAnsi="Century Gothic" w:cs="Arial"/>
          <w:sz w:val="24"/>
          <w:szCs w:val="24"/>
        </w:rPr>
        <w:t>FEMA</w:t>
      </w:r>
      <w:r w:rsidR="003821F9">
        <w:rPr>
          <w:rFonts w:ascii="Century Gothic" w:eastAsia="Century Gothic" w:hAnsi="Century Gothic" w:cs="Arial"/>
          <w:sz w:val="24"/>
          <w:szCs w:val="24"/>
        </w:rPr>
        <w:t>’s HMA Programs</w:t>
      </w:r>
      <w:r w:rsidRPr="00AB0445">
        <w:rPr>
          <w:rFonts w:ascii="Century Gothic" w:eastAsia="Century Gothic" w:hAnsi="Century Gothic" w:cs="Arial"/>
          <w:sz w:val="24"/>
          <w:szCs w:val="24"/>
        </w:rPr>
        <w:t>.</w:t>
      </w:r>
    </w:p>
    <w:p w14:paraId="2390C0E4" w14:textId="77777777" w:rsidR="00AB0445" w:rsidRPr="00AB0445" w:rsidRDefault="00AB0445" w:rsidP="00AB0445">
      <w:pPr>
        <w:spacing w:after="0" w:line="240" w:lineRule="auto"/>
        <w:rPr>
          <w:rFonts w:ascii="Century Gothic" w:eastAsia="Century Gothic" w:hAnsi="Century Gothic" w:cs="Arial"/>
          <w:sz w:val="24"/>
          <w:szCs w:val="24"/>
        </w:rPr>
      </w:pPr>
    </w:p>
    <w:p w14:paraId="0344B131"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Procurement</w:t>
      </w:r>
    </w:p>
    <w:p w14:paraId="7D4E476A" w14:textId="77777777"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Contracts and purchases made with Prepare California JumpStart funds must comply with all applicable California and local procurement laws, regulations, and policies.</w:t>
      </w:r>
    </w:p>
    <w:p w14:paraId="3F16AA91" w14:textId="77777777" w:rsidR="00AB0445" w:rsidRPr="00AB0445" w:rsidRDefault="00AB0445" w:rsidP="00AB0445">
      <w:pPr>
        <w:spacing w:after="0" w:line="240" w:lineRule="auto"/>
        <w:rPr>
          <w:rFonts w:ascii="Century Gothic" w:eastAsia="Century Gothic" w:hAnsi="Century Gothic" w:cs="Arial"/>
          <w:sz w:val="24"/>
          <w:szCs w:val="24"/>
        </w:rPr>
      </w:pPr>
    </w:p>
    <w:p w14:paraId="639A4D39" w14:textId="77777777" w:rsidR="00AB0445" w:rsidRPr="00AB0445" w:rsidRDefault="00AB0445" w:rsidP="00AB0445">
      <w:pPr>
        <w:spacing w:after="0" w:line="240" w:lineRule="auto"/>
        <w:rPr>
          <w:rFonts w:ascii="Century Gothic" w:eastAsia="Century Gothic" w:hAnsi="Century Gothic" w:cs="Arial"/>
          <w:sz w:val="24"/>
          <w:szCs w:val="24"/>
          <w:shd w:val="clear" w:color="auto" w:fill="FFFFFF"/>
        </w:rPr>
      </w:pPr>
      <w:r w:rsidRPr="00AB0445">
        <w:rPr>
          <w:rFonts w:ascii="Century Gothic" w:eastAsia="Century Gothic" w:hAnsi="Century Gothic" w:cs="Arial"/>
          <w:sz w:val="24"/>
          <w:szCs w:val="24"/>
          <w:shd w:val="clear" w:color="auto" w:fill="FFFFFF"/>
        </w:rPr>
        <w:t>Contractors who assist with grant application development will be ineligible to compete for subsequent procurements / contracts on the same grant award due to conflict of interest in which an unfair competitive advantage is present.</w:t>
      </w:r>
    </w:p>
    <w:p w14:paraId="319167AA" w14:textId="77777777" w:rsidR="00AB0445" w:rsidRPr="00AB0445" w:rsidRDefault="00AB0445" w:rsidP="00AB0445">
      <w:pPr>
        <w:spacing w:after="0" w:line="240" w:lineRule="auto"/>
        <w:rPr>
          <w:rFonts w:ascii="Century Gothic" w:eastAsia="Century Gothic" w:hAnsi="Century Gothic" w:cs="Arial"/>
          <w:sz w:val="24"/>
          <w:szCs w:val="24"/>
        </w:rPr>
      </w:pPr>
    </w:p>
    <w:p w14:paraId="3242A413" w14:textId="77777777"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t>Prepare California JumpStart Application Submission Process</w:t>
      </w:r>
    </w:p>
    <w:p w14:paraId="419D3309" w14:textId="77777777" w:rsidR="00AB0445" w:rsidRP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Interested applicants must submit their application to </w:t>
      </w:r>
      <w:hyperlink r:id="rId11" w:history="1">
        <w:r w:rsidRPr="00AB0445">
          <w:rPr>
            <w:rFonts w:ascii="Century Gothic" w:eastAsia="Times New Roman" w:hAnsi="Century Gothic" w:cs="Arial"/>
            <w:color w:val="015E90"/>
            <w:sz w:val="24"/>
            <w:szCs w:val="24"/>
            <w:u w:val="single"/>
          </w:rPr>
          <w:t>PrepareCAJumpStart@caloes.ca.gov</w:t>
        </w:r>
      </w:hyperlink>
      <w:r w:rsidRPr="00AB0445">
        <w:rPr>
          <w:rFonts w:ascii="Century Gothic" w:eastAsia="Times New Roman" w:hAnsi="Century Gothic" w:cs="Arial"/>
          <w:sz w:val="24"/>
          <w:szCs w:val="24"/>
        </w:rPr>
        <w:t xml:space="preserve"> with "Prepare California JumpStart" in the subject line and in the title of the application (e.g., </w:t>
      </w:r>
      <w:r w:rsidRPr="00AB0445">
        <w:rPr>
          <w:rFonts w:ascii="Century Gothic" w:eastAsia="Times New Roman" w:hAnsi="Century Gothic" w:cs="Arial"/>
          <w:i/>
          <w:sz w:val="24"/>
          <w:szCs w:val="24"/>
        </w:rPr>
        <w:t xml:space="preserve">Prepare California JumpStart, </w:t>
      </w:r>
      <w:r w:rsidRPr="00AB0445">
        <w:rPr>
          <w:rFonts w:ascii="Century Gothic" w:eastAsia="Times New Roman" w:hAnsi="Century Gothic" w:cs="Arial"/>
          <w:i/>
          <w:sz w:val="24"/>
          <w:szCs w:val="24"/>
        </w:rPr>
        <w:lastRenderedPageBreak/>
        <w:t>City of Metropolis, Chief Resilience Officer</w:t>
      </w:r>
      <w:r w:rsidRPr="00AB0445">
        <w:rPr>
          <w:rFonts w:ascii="Century Gothic" w:eastAsia="Times New Roman" w:hAnsi="Century Gothic" w:cs="Arial"/>
          <w:sz w:val="24"/>
          <w:szCs w:val="24"/>
        </w:rPr>
        <w:t xml:space="preserve">). The application can be found on Cal OES’ </w:t>
      </w:r>
      <w:hyperlink r:id="rId12" w:history="1">
        <w:r w:rsidRPr="00AB0445">
          <w:rPr>
            <w:rFonts w:ascii="Century Gothic" w:eastAsia="Times New Roman" w:hAnsi="Century Gothic" w:cs="Arial"/>
            <w:color w:val="015E90"/>
            <w:sz w:val="24"/>
            <w:szCs w:val="24"/>
            <w:u w:val="single"/>
          </w:rPr>
          <w:t>404 Hazard Mitigation Grant Program</w:t>
        </w:r>
      </w:hyperlink>
      <w:r w:rsidRPr="00AB0445">
        <w:rPr>
          <w:rFonts w:ascii="Century Gothic" w:eastAsia="Times New Roman" w:hAnsi="Century Gothic" w:cs="Arial"/>
          <w:sz w:val="24"/>
          <w:szCs w:val="24"/>
        </w:rPr>
        <w:t xml:space="preserve"> website.</w:t>
      </w:r>
    </w:p>
    <w:p w14:paraId="46BBBAB5" w14:textId="77777777" w:rsidR="00AB0445" w:rsidRPr="00AB0445" w:rsidRDefault="00AB0445" w:rsidP="00AB0445">
      <w:pPr>
        <w:spacing w:after="0" w:line="240" w:lineRule="auto"/>
        <w:rPr>
          <w:rFonts w:ascii="Century Gothic" w:eastAsia="Times New Roman" w:hAnsi="Century Gothic" w:cs="Arial"/>
          <w:sz w:val="24"/>
          <w:szCs w:val="24"/>
        </w:rPr>
      </w:pPr>
    </w:p>
    <w:p w14:paraId="2AF694D0" w14:textId="77777777" w:rsidR="00AB0445" w:rsidRP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Cal OES will review all applications for eligibility and fulfillment of the State’s priorities, coordinate on any outstanding requests for information, and notify applicants of their prospective selection for funding.</w:t>
      </w:r>
    </w:p>
    <w:p w14:paraId="50B7A7FC" w14:textId="77777777" w:rsidR="00AB0445" w:rsidRPr="00AB0445" w:rsidRDefault="00AB0445" w:rsidP="00AB0445">
      <w:pPr>
        <w:spacing w:after="0" w:line="240" w:lineRule="auto"/>
        <w:rPr>
          <w:rFonts w:ascii="Century Gothic" w:eastAsia="Times New Roman" w:hAnsi="Century Gothic" w:cs="Arial"/>
          <w:sz w:val="24"/>
          <w:szCs w:val="24"/>
        </w:rPr>
      </w:pPr>
    </w:p>
    <w:p w14:paraId="30B43FC5" w14:textId="6E8E650B" w:rsid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All applications must be submitted by September 23, 2022. Applications submitted after the posted deadline will be considered if funding remains available.</w:t>
      </w:r>
    </w:p>
    <w:p w14:paraId="67C73747" w14:textId="77777777" w:rsidR="006E6F55" w:rsidRPr="00AB0445" w:rsidRDefault="006E6F55" w:rsidP="00AB0445">
      <w:pPr>
        <w:spacing w:after="0" w:line="240" w:lineRule="auto"/>
        <w:rPr>
          <w:rFonts w:ascii="Century Gothic" w:eastAsia="Times New Roman" w:hAnsi="Century Gothic" w:cs="Arial"/>
          <w:sz w:val="24"/>
          <w:szCs w:val="24"/>
        </w:rPr>
      </w:pPr>
    </w:p>
    <w:p w14:paraId="140DE82E" w14:textId="77777777" w:rsidR="00AB0445" w:rsidRPr="00AB0445" w:rsidRDefault="00AB0445" w:rsidP="00AB0445">
      <w:pPr>
        <w:keepNext/>
        <w:spacing w:after="120" w:line="240" w:lineRule="auto"/>
        <w:jc w:val="center"/>
        <w:rPr>
          <w:rFonts w:ascii="Century Gothic" w:eastAsia="Times New Roman" w:hAnsi="Century Gothic" w:cs="Arial"/>
          <w:b/>
          <w:i/>
          <w:iCs/>
          <w:sz w:val="24"/>
          <w:szCs w:val="18"/>
        </w:rPr>
      </w:pPr>
      <w:r w:rsidRPr="00AB0445">
        <w:rPr>
          <w:rFonts w:ascii="Century Gothic" w:eastAsia="Meiryo" w:hAnsi="Century Gothic" w:cs="Arial"/>
          <w:b/>
          <w:i/>
          <w:iCs/>
          <w:sz w:val="24"/>
          <w:szCs w:val="18"/>
        </w:rPr>
        <w:t xml:space="preserve">Table </w:t>
      </w:r>
      <w:r w:rsidRPr="00AB0445">
        <w:rPr>
          <w:rFonts w:ascii="Century Gothic" w:eastAsia="Meiryo" w:hAnsi="Century Gothic" w:cs="Arial"/>
          <w:b/>
          <w:i/>
          <w:iCs/>
          <w:noProof/>
          <w:sz w:val="24"/>
          <w:szCs w:val="18"/>
        </w:rPr>
        <w:t>2</w:t>
      </w:r>
      <w:r w:rsidRPr="00AB0445">
        <w:rPr>
          <w:rFonts w:ascii="Century Gothic" w:eastAsia="Meiryo" w:hAnsi="Century Gothic" w:cs="Arial"/>
          <w:b/>
          <w:i/>
          <w:iCs/>
          <w:sz w:val="24"/>
          <w:szCs w:val="18"/>
        </w:rPr>
        <w:t>: 2022 Prepare California JumpStart Schedule</w:t>
      </w:r>
    </w:p>
    <w:tbl>
      <w:tblPr>
        <w:tblStyle w:val="GridTable41"/>
        <w:tblW w:w="9377" w:type="dxa"/>
        <w:tblLayout w:type="fixed"/>
        <w:tblCellMar>
          <w:left w:w="115" w:type="dxa"/>
          <w:right w:w="115" w:type="dxa"/>
        </w:tblCellMar>
        <w:tblLook w:val="04A0" w:firstRow="1" w:lastRow="0" w:firstColumn="1" w:lastColumn="0" w:noHBand="0" w:noVBand="1"/>
      </w:tblPr>
      <w:tblGrid>
        <w:gridCol w:w="3057"/>
        <w:gridCol w:w="6320"/>
      </w:tblGrid>
      <w:tr w:rsidR="00AB0445" w:rsidRPr="00AB0445" w14:paraId="29C59E6B" w14:textId="77777777" w:rsidTr="00191630">
        <w:trPr>
          <w:cnfStyle w:val="100000000000" w:firstRow="1" w:lastRow="0" w:firstColumn="0" w:lastColumn="0" w:oddVBand="0" w:evenVBand="0" w:oddHBand="0" w:evenHBand="0" w:firstRowFirstColumn="0" w:firstRowLastColumn="0" w:lastRowFirstColumn="0" w:lastRowLastColumn="0"/>
          <w:cantSplit/>
          <w:trHeight w:val="146"/>
          <w:tblHeader/>
        </w:trPr>
        <w:tc>
          <w:tcPr>
            <w:cnfStyle w:val="001000000000" w:firstRow="0" w:lastRow="0" w:firstColumn="1" w:lastColumn="0" w:oddVBand="0" w:evenVBand="0" w:oddHBand="0" w:evenHBand="0" w:firstRowFirstColumn="0" w:firstRowLastColumn="0" w:lastRowFirstColumn="0" w:lastRowLastColumn="0"/>
            <w:tcW w:w="3057" w:type="dxa"/>
          </w:tcPr>
          <w:p w14:paraId="7490F636" w14:textId="77777777" w:rsidR="00AB0445" w:rsidRPr="00AB0445" w:rsidRDefault="00AB0445" w:rsidP="00AB0445">
            <w:pPr>
              <w:spacing w:before="40"/>
              <w:rPr>
                <w:rFonts w:ascii="Century Gothic" w:eastAsia="Times New Roman" w:hAnsi="Century Gothic" w:cs="Arial"/>
                <w:sz w:val="24"/>
                <w:szCs w:val="24"/>
              </w:rPr>
            </w:pPr>
            <w:r w:rsidRPr="00AB0445">
              <w:rPr>
                <w:rFonts w:ascii="Century Gothic" w:eastAsia="Times New Roman" w:hAnsi="Century Gothic" w:cs="Arial"/>
                <w:sz w:val="24"/>
                <w:szCs w:val="24"/>
              </w:rPr>
              <w:t>Date</w:t>
            </w:r>
          </w:p>
        </w:tc>
        <w:tc>
          <w:tcPr>
            <w:tcW w:w="6320" w:type="dxa"/>
          </w:tcPr>
          <w:p w14:paraId="78427D16" w14:textId="77777777" w:rsidR="00AB0445" w:rsidRPr="00AB0445" w:rsidRDefault="00AB0445" w:rsidP="00AB0445">
            <w:pPr>
              <w:spacing w:before="40"/>
              <w:cnfStyle w:val="100000000000" w:firstRow="1" w:lastRow="0" w:firstColumn="0" w:lastColumn="0" w:oddVBand="0" w:evenVBand="0" w:oddHBand="0" w:evenHBand="0" w:firstRowFirstColumn="0" w:firstRowLastColumn="0" w:lastRowFirstColumn="0" w:lastRowLastColumn="0"/>
              <w:rPr>
                <w:rFonts w:ascii="Century Gothic" w:eastAsia="Times New Roman" w:hAnsi="Century Gothic" w:cs="Arial"/>
                <w:sz w:val="24"/>
                <w:szCs w:val="24"/>
              </w:rPr>
            </w:pPr>
            <w:r w:rsidRPr="00AB0445">
              <w:rPr>
                <w:rFonts w:ascii="Century Gothic" w:eastAsia="Times New Roman" w:hAnsi="Century Gothic" w:cs="Arial"/>
                <w:sz w:val="24"/>
                <w:szCs w:val="24"/>
              </w:rPr>
              <w:t>Milestone</w:t>
            </w:r>
          </w:p>
        </w:tc>
      </w:tr>
      <w:tr w:rsidR="00AB0445" w:rsidRPr="00AB0445" w14:paraId="507601D3" w14:textId="77777777" w:rsidTr="00191630">
        <w:trPr>
          <w:cnfStyle w:val="000000100000" w:firstRow="0" w:lastRow="0" w:firstColumn="0" w:lastColumn="0" w:oddVBand="0" w:evenVBand="0" w:oddHBand="1" w:evenHBand="0" w:firstRowFirstColumn="0" w:firstRowLastColumn="0" w:lastRowFirstColumn="0" w:lastRowLastColumn="0"/>
          <w:cantSplit/>
          <w:trHeight w:val="439"/>
        </w:trPr>
        <w:tc>
          <w:tcPr>
            <w:cnfStyle w:val="001000000000" w:firstRow="0" w:lastRow="0" w:firstColumn="1" w:lastColumn="0" w:oddVBand="0" w:evenVBand="0" w:oddHBand="0" w:evenHBand="0" w:firstRowFirstColumn="0" w:firstRowLastColumn="0" w:lastRowFirstColumn="0" w:lastRowLastColumn="0"/>
            <w:tcW w:w="3057" w:type="dxa"/>
          </w:tcPr>
          <w:p w14:paraId="1D5B383A" w14:textId="77777777" w:rsidR="00AB0445" w:rsidRPr="00AB0445" w:rsidRDefault="00AB0445"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August 15,</w:t>
            </w:r>
            <w:r w:rsidRPr="00AB0445">
              <w:rPr>
                <w:rFonts w:ascii="Century Gothic" w:eastAsia="Century Gothic" w:hAnsi="Century Gothic" w:cs="Arial"/>
                <w:sz w:val="24"/>
                <w:szCs w:val="24"/>
                <w:vertAlign w:val="superscript"/>
              </w:rPr>
              <w:t xml:space="preserve"> </w:t>
            </w:r>
            <w:r w:rsidRPr="00AB0445">
              <w:rPr>
                <w:rFonts w:ascii="Century Gothic" w:eastAsia="Century Gothic" w:hAnsi="Century Gothic" w:cs="Arial"/>
                <w:sz w:val="24"/>
                <w:szCs w:val="24"/>
              </w:rPr>
              <w:t>2022</w:t>
            </w:r>
          </w:p>
        </w:tc>
        <w:tc>
          <w:tcPr>
            <w:tcW w:w="6320" w:type="dxa"/>
          </w:tcPr>
          <w:p w14:paraId="4F88DC3D" w14:textId="77777777" w:rsidR="00AB0445" w:rsidRPr="00AB0445" w:rsidRDefault="00AB0445"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Notice of Funding Opportunity (NOFO) Released</w:t>
            </w:r>
          </w:p>
        </w:tc>
      </w:tr>
      <w:tr w:rsidR="00FD3922" w:rsidRPr="00AB0445" w14:paraId="7E166E14" w14:textId="77777777" w:rsidTr="00191630">
        <w:trPr>
          <w:cnfStyle w:val="000000010000" w:firstRow="0" w:lastRow="0" w:firstColumn="0" w:lastColumn="0" w:oddVBand="0" w:evenVBand="0" w:oddHBand="0" w:evenHBand="1"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5A30EA8C" w14:textId="0CB6F904"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August 25, 2022</w:t>
            </w:r>
          </w:p>
        </w:tc>
        <w:tc>
          <w:tcPr>
            <w:tcW w:w="6320" w:type="dxa"/>
          </w:tcPr>
          <w:p w14:paraId="21A2D01B" w14:textId="41E82C54"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JumpStart Webinar #2</w:t>
            </w:r>
          </w:p>
        </w:tc>
      </w:tr>
      <w:tr w:rsidR="00FD3922" w:rsidRPr="00AB0445" w14:paraId="4B40733C" w14:textId="77777777" w:rsidTr="00191630">
        <w:trPr>
          <w:cnfStyle w:val="000000100000" w:firstRow="0" w:lastRow="0" w:firstColumn="0" w:lastColumn="0" w:oddVBand="0" w:evenVBand="0" w:oddHBand="1" w:evenHBand="0" w:firstRowFirstColumn="0" w:firstRowLastColumn="0" w:lastRowFirstColumn="0" w:lastRowLastColumn="0"/>
          <w:cantSplit/>
          <w:trHeight w:val="361"/>
        </w:trPr>
        <w:tc>
          <w:tcPr>
            <w:cnfStyle w:val="001000000000" w:firstRow="0" w:lastRow="0" w:firstColumn="1" w:lastColumn="0" w:oddVBand="0" w:evenVBand="0" w:oddHBand="0" w:evenHBand="0" w:firstRowFirstColumn="0" w:firstRowLastColumn="0" w:lastRowFirstColumn="0" w:lastRowLastColumn="0"/>
            <w:tcW w:w="3057" w:type="dxa"/>
          </w:tcPr>
          <w:p w14:paraId="3D89E00A" w14:textId="37C6F953"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September 1, 2022</w:t>
            </w:r>
          </w:p>
        </w:tc>
        <w:tc>
          <w:tcPr>
            <w:tcW w:w="6320" w:type="dxa"/>
          </w:tcPr>
          <w:p w14:paraId="6D64B353" w14:textId="29A93D15" w:rsidR="00FD3922" w:rsidRPr="00AB0445" w:rsidRDefault="00FD3922"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JumpStart Webinar #3</w:t>
            </w:r>
          </w:p>
        </w:tc>
      </w:tr>
      <w:tr w:rsidR="00FD3922" w:rsidRPr="00AB0445" w14:paraId="1A4A6D3B" w14:textId="77777777" w:rsidTr="00191630">
        <w:trPr>
          <w:cnfStyle w:val="000000010000" w:firstRow="0" w:lastRow="0" w:firstColumn="0" w:lastColumn="0" w:oddVBand="0" w:evenVBand="0" w:oddHBand="0" w:evenHBand="1" w:firstRowFirstColumn="0" w:firstRowLastColumn="0" w:lastRowFirstColumn="0" w:lastRowLastColumn="0"/>
          <w:cantSplit/>
          <w:trHeight w:val="380"/>
        </w:trPr>
        <w:tc>
          <w:tcPr>
            <w:cnfStyle w:val="001000000000" w:firstRow="0" w:lastRow="0" w:firstColumn="1" w:lastColumn="0" w:oddVBand="0" w:evenVBand="0" w:oddHBand="0" w:evenHBand="0" w:firstRowFirstColumn="0" w:firstRowLastColumn="0" w:lastRowFirstColumn="0" w:lastRowLastColumn="0"/>
            <w:tcW w:w="3057" w:type="dxa"/>
          </w:tcPr>
          <w:p w14:paraId="029196D9" w14:textId="797063BF"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September 2, 2022</w:t>
            </w:r>
          </w:p>
        </w:tc>
        <w:tc>
          <w:tcPr>
            <w:tcW w:w="6320" w:type="dxa"/>
          </w:tcPr>
          <w:p w14:paraId="2654B257" w14:textId="564DAF4F"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JumpStart Office Hours #1</w:t>
            </w:r>
          </w:p>
        </w:tc>
      </w:tr>
      <w:tr w:rsidR="00FD3922" w:rsidRPr="00AB0445" w14:paraId="395B5412" w14:textId="77777777" w:rsidTr="00191630">
        <w:trPr>
          <w:cnfStyle w:val="000000100000" w:firstRow="0" w:lastRow="0" w:firstColumn="0" w:lastColumn="0" w:oddVBand="0" w:evenVBand="0" w:oddHBand="1" w:evenHBand="0"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344D2EB3" w14:textId="4BF7B078"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September 9, 2022</w:t>
            </w:r>
          </w:p>
        </w:tc>
        <w:tc>
          <w:tcPr>
            <w:tcW w:w="6320" w:type="dxa"/>
          </w:tcPr>
          <w:p w14:paraId="100560B2" w14:textId="59C5971A" w:rsidR="00FD3922" w:rsidRPr="00AB0445" w:rsidRDefault="00FD3922"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JumpStart Office Hours #2</w:t>
            </w:r>
          </w:p>
        </w:tc>
      </w:tr>
      <w:tr w:rsidR="00FD3922" w:rsidRPr="00AB0445" w14:paraId="3A08F251" w14:textId="77777777" w:rsidTr="00191630">
        <w:trPr>
          <w:cnfStyle w:val="000000010000" w:firstRow="0" w:lastRow="0" w:firstColumn="0" w:lastColumn="0" w:oddVBand="0" w:evenVBand="0" w:oddHBand="0" w:evenHBand="1" w:firstRowFirstColumn="0" w:firstRowLastColumn="0" w:lastRowFirstColumn="0" w:lastRowLastColumn="0"/>
          <w:cantSplit/>
          <w:trHeight w:val="402"/>
        </w:trPr>
        <w:tc>
          <w:tcPr>
            <w:cnfStyle w:val="001000000000" w:firstRow="0" w:lastRow="0" w:firstColumn="1" w:lastColumn="0" w:oddVBand="0" w:evenVBand="0" w:oddHBand="0" w:evenHBand="0" w:firstRowFirstColumn="0" w:firstRowLastColumn="0" w:lastRowFirstColumn="0" w:lastRowLastColumn="0"/>
            <w:tcW w:w="3057" w:type="dxa"/>
          </w:tcPr>
          <w:p w14:paraId="7FB51459" w14:textId="7253B21F"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September 16, 2022</w:t>
            </w:r>
          </w:p>
        </w:tc>
        <w:tc>
          <w:tcPr>
            <w:tcW w:w="6320" w:type="dxa"/>
          </w:tcPr>
          <w:p w14:paraId="60DA840E" w14:textId="66F34A58"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JumpStart Office Hours #3</w:t>
            </w:r>
          </w:p>
        </w:tc>
      </w:tr>
      <w:tr w:rsidR="00FD3922" w:rsidRPr="00AB0445" w14:paraId="5369850C" w14:textId="77777777" w:rsidTr="00191630">
        <w:trPr>
          <w:cnfStyle w:val="000000100000" w:firstRow="0" w:lastRow="0" w:firstColumn="0" w:lastColumn="0" w:oddVBand="0" w:evenVBand="0" w:oddHBand="1" w:evenHBand="0"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0444D01E" w14:textId="7B9AFEFA"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September 23, 2022</w:t>
            </w:r>
          </w:p>
        </w:tc>
        <w:tc>
          <w:tcPr>
            <w:tcW w:w="6320" w:type="dxa"/>
          </w:tcPr>
          <w:p w14:paraId="5EF0B556" w14:textId="761F02AE" w:rsidR="00FD3922" w:rsidRPr="00AB0445" w:rsidRDefault="00FD3922"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 xml:space="preserve">Applications due via email to </w:t>
            </w:r>
            <w:hyperlink r:id="rId13" w:history="1">
              <w:r w:rsidRPr="00AB0445">
                <w:rPr>
                  <w:rFonts w:ascii="Century Gothic" w:eastAsia="Century Gothic" w:hAnsi="Century Gothic" w:cs="Arial"/>
                  <w:color w:val="015E90"/>
                  <w:sz w:val="24"/>
                  <w:szCs w:val="24"/>
                  <w:u w:val="single"/>
                </w:rPr>
                <w:t>PrepareCAJumpStart@caloes.ca.gov</w:t>
              </w:r>
            </w:hyperlink>
          </w:p>
        </w:tc>
      </w:tr>
      <w:tr w:rsidR="00FD3922" w:rsidRPr="00AB0445" w14:paraId="7BC53CDD" w14:textId="77777777" w:rsidTr="00191630">
        <w:trPr>
          <w:cnfStyle w:val="000000010000" w:firstRow="0" w:lastRow="0" w:firstColumn="0" w:lastColumn="0" w:oddVBand="0" w:evenVBand="0" w:oddHBand="0" w:evenHBand="1" w:firstRowFirstColumn="0" w:firstRowLastColumn="0" w:lastRowFirstColumn="0" w:lastRowLastColumn="0"/>
          <w:cantSplit/>
          <w:trHeight w:val="266"/>
        </w:trPr>
        <w:tc>
          <w:tcPr>
            <w:cnfStyle w:val="001000000000" w:firstRow="0" w:lastRow="0" w:firstColumn="1" w:lastColumn="0" w:oddVBand="0" w:evenVBand="0" w:oddHBand="0" w:evenHBand="0" w:firstRowFirstColumn="0" w:firstRowLastColumn="0" w:lastRowFirstColumn="0" w:lastRowLastColumn="0"/>
            <w:tcW w:w="3057" w:type="dxa"/>
          </w:tcPr>
          <w:p w14:paraId="12221147" w14:textId="64805E03"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October 2022</w:t>
            </w:r>
          </w:p>
        </w:tc>
        <w:tc>
          <w:tcPr>
            <w:tcW w:w="6320" w:type="dxa"/>
          </w:tcPr>
          <w:p w14:paraId="3FFD8432" w14:textId="39B0784C"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Application Request for Information (RFI) Period</w:t>
            </w:r>
          </w:p>
        </w:tc>
      </w:tr>
      <w:tr w:rsidR="00FD3922" w:rsidRPr="00AB0445" w14:paraId="7B0436A8" w14:textId="77777777" w:rsidTr="00191630">
        <w:trPr>
          <w:cnfStyle w:val="000000100000" w:firstRow="0" w:lastRow="0" w:firstColumn="0" w:lastColumn="0" w:oddVBand="0" w:evenVBand="0" w:oddHBand="1" w:evenHBand="0"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58BCEE28" w14:textId="2537EFF2"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November 2022</w:t>
            </w:r>
          </w:p>
        </w:tc>
        <w:tc>
          <w:tcPr>
            <w:tcW w:w="6320" w:type="dxa"/>
          </w:tcPr>
          <w:p w14:paraId="630968BE" w14:textId="1A961A55" w:rsidR="00FD3922" w:rsidRPr="00AB0445" w:rsidRDefault="00FD3922"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Application Review Period</w:t>
            </w:r>
          </w:p>
        </w:tc>
      </w:tr>
      <w:tr w:rsidR="00FD3922" w:rsidRPr="00AB0445" w14:paraId="3A008517" w14:textId="77777777" w:rsidTr="00191630">
        <w:trPr>
          <w:cnfStyle w:val="000000010000" w:firstRow="0" w:lastRow="0" w:firstColumn="0" w:lastColumn="0" w:oddVBand="0" w:evenVBand="0" w:oddHBand="0" w:evenHBand="1" w:firstRowFirstColumn="0" w:firstRowLastColumn="0" w:lastRowFirstColumn="0" w:lastRowLastColumn="0"/>
          <w:cantSplit/>
          <w:trHeight w:val="429"/>
        </w:trPr>
        <w:tc>
          <w:tcPr>
            <w:cnfStyle w:val="001000000000" w:firstRow="0" w:lastRow="0" w:firstColumn="1" w:lastColumn="0" w:oddVBand="0" w:evenVBand="0" w:oddHBand="0" w:evenHBand="0" w:firstRowFirstColumn="0" w:firstRowLastColumn="0" w:lastRowFirstColumn="0" w:lastRowLastColumn="0"/>
            <w:tcW w:w="3057" w:type="dxa"/>
          </w:tcPr>
          <w:p w14:paraId="6BB1D1FA" w14:textId="53603392" w:rsidR="00FD3922" w:rsidRPr="00AB0445" w:rsidRDefault="00FD3922" w:rsidP="00AB0445">
            <w:pPr>
              <w:rPr>
                <w:rFonts w:ascii="Century Gothic" w:eastAsia="Century Gothic" w:hAnsi="Century Gothic" w:cs="Arial"/>
                <w:sz w:val="24"/>
                <w:szCs w:val="24"/>
              </w:rPr>
            </w:pPr>
            <w:r>
              <w:rPr>
                <w:rFonts w:ascii="Century Gothic" w:eastAsia="Century Gothic" w:hAnsi="Century Gothic" w:cs="Arial"/>
                <w:sz w:val="24"/>
                <w:szCs w:val="24"/>
              </w:rPr>
              <w:t>Winter 2022-23</w:t>
            </w:r>
          </w:p>
        </w:tc>
        <w:tc>
          <w:tcPr>
            <w:tcW w:w="6320" w:type="dxa"/>
          </w:tcPr>
          <w:p w14:paraId="1FD142E8" w14:textId="2A0F89F6"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Award Announcement</w:t>
            </w:r>
          </w:p>
        </w:tc>
      </w:tr>
      <w:tr w:rsidR="00FD3922" w:rsidRPr="00AB0445" w14:paraId="7EDDD8B3" w14:textId="77777777" w:rsidTr="00191630">
        <w:trPr>
          <w:cnfStyle w:val="000000100000" w:firstRow="0" w:lastRow="0" w:firstColumn="0" w:lastColumn="0" w:oddVBand="0" w:evenVBand="0" w:oddHBand="1" w:evenHBand="0"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40FE8FC8" w14:textId="0EF1399B" w:rsidR="00FD3922" w:rsidRPr="00AB0445" w:rsidRDefault="00FD3922" w:rsidP="00AB0445">
            <w:pPr>
              <w:rPr>
                <w:rFonts w:ascii="Century Gothic" w:eastAsia="Century Gothic" w:hAnsi="Century Gothic" w:cs="Arial"/>
                <w:sz w:val="24"/>
                <w:szCs w:val="24"/>
              </w:rPr>
            </w:pPr>
            <w:r>
              <w:rPr>
                <w:rFonts w:ascii="Century Gothic" w:eastAsia="Century Gothic" w:hAnsi="Century Gothic" w:cs="Arial"/>
                <w:sz w:val="24"/>
                <w:szCs w:val="24"/>
              </w:rPr>
              <w:t>Winter 2023- Spring 2023</w:t>
            </w:r>
          </w:p>
        </w:tc>
        <w:tc>
          <w:tcPr>
            <w:tcW w:w="6320" w:type="dxa"/>
          </w:tcPr>
          <w:p w14:paraId="00DECFFD" w14:textId="2864ADB9" w:rsidR="00FD3922" w:rsidRPr="00AB0445" w:rsidRDefault="00FD3922"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Activity Start</w:t>
            </w:r>
          </w:p>
        </w:tc>
      </w:tr>
      <w:tr w:rsidR="00FD3922" w:rsidRPr="00AB0445" w14:paraId="70BCF7FE" w14:textId="77777777" w:rsidTr="00191630">
        <w:trPr>
          <w:cnfStyle w:val="000000010000" w:firstRow="0" w:lastRow="0" w:firstColumn="0" w:lastColumn="0" w:oddVBand="0" w:evenVBand="0" w:oddHBand="0" w:evenHBand="1" w:firstRowFirstColumn="0" w:firstRowLastColumn="0" w:lastRowFirstColumn="0" w:lastRowLastColumn="0"/>
          <w:cantSplit/>
          <w:trHeight w:val="380"/>
        </w:trPr>
        <w:tc>
          <w:tcPr>
            <w:cnfStyle w:val="001000000000" w:firstRow="0" w:lastRow="0" w:firstColumn="1" w:lastColumn="0" w:oddVBand="0" w:evenVBand="0" w:oddHBand="0" w:evenHBand="0" w:firstRowFirstColumn="0" w:firstRowLastColumn="0" w:lastRowFirstColumn="0" w:lastRowLastColumn="0"/>
            <w:tcW w:w="3057" w:type="dxa"/>
          </w:tcPr>
          <w:p w14:paraId="1FCF4949" w14:textId="455EF76D" w:rsidR="00FD3922" w:rsidRPr="00AB0445" w:rsidRDefault="00FD3922" w:rsidP="00AB0445">
            <w:pPr>
              <w:rPr>
                <w:rFonts w:ascii="Century Gothic" w:eastAsia="Century Gothic" w:hAnsi="Century Gothic" w:cs="Arial"/>
                <w:sz w:val="24"/>
                <w:szCs w:val="24"/>
              </w:rPr>
            </w:pPr>
          </w:p>
        </w:tc>
        <w:tc>
          <w:tcPr>
            <w:tcW w:w="6320" w:type="dxa"/>
          </w:tcPr>
          <w:p w14:paraId="6E3B3714" w14:textId="6D8FEC09"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p>
        </w:tc>
      </w:tr>
    </w:tbl>
    <w:p w14:paraId="1C82C3B0" w14:textId="77777777" w:rsidR="00AB0445" w:rsidRPr="00AB0445" w:rsidRDefault="00AB0445" w:rsidP="00AB0445">
      <w:pPr>
        <w:spacing w:after="0" w:line="240" w:lineRule="auto"/>
        <w:rPr>
          <w:rFonts w:ascii="Century Gothic" w:eastAsia="Century Gothic" w:hAnsi="Century Gothic" w:cs="Arial"/>
          <w:sz w:val="24"/>
          <w:szCs w:val="24"/>
        </w:rPr>
      </w:pPr>
    </w:p>
    <w:p w14:paraId="5F99E684" w14:textId="77777777"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t>Prepare California JumpStart Award and Grant Monitoring</w:t>
      </w:r>
    </w:p>
    <w:p w14:paraId="2E2D3CE8" w14:textId="77777777" w:rsidR="00AB0445" w:rsidRPr="00AB0445" w:rsidRDefault="00AB0445" w:rsidP="00AB0445">
      <w:pPr>
        <w:spacing w:after="0" w:line="240" w:lineRule="auto"/>
        <w:rPr>
          <w:rFonts w:ascii="Century Gothic" w:eastAsia="Century Gothic" w:hAnsi="Century Gothic" w:cs="Century Gothic"/>
          <w:sz w:val="24"/>
          <w:szCs w:val="24"/>
        </w:rPr>
      </w:pPr>
      <w:r w:rsidRPr="00AB0445">
        <w:rPr>
          <w:rFonts w:ascii="Century Gothic" w:eastAsia="Century Gothic" w:hAnsi="Century Gothic" w:cs="Arial"/>
          <w:sz w:val="24"/>
          <w:szCs w:val="24"/>
        </w:rPr>
        <w:t>Upon Cal OES award, recipients</w:t>
      </w:r>
      <w:r w:rsidRPr="00AB0445">
        <w:rPr>
          <w:rFonts w:ascii="Century Gothic" w:eastAsia="Century Gothic" w:hAnsi="Century Gothic" w:cs="Century Gothic"/>
          <w:sz w:val="24"/>
          <w:szCs w:val="24"/>
        </w:rPr>
        <w:t xml:space="preserve"> will submit requests for reimbursement as work is completed. Cal OES requires recipients to submit reimbursement requests quarterly via submission of the quarterly report. Reimbursement requests will be subject to supporting documentation requirements to substantiate costs and validate eligibility against the approved application and scope of work.</w:t>
      </w:r>
    </w:p>
    <w:p w14:paraId="188659CA" w14:textId="77777777" w:rsidR="00AB0445" w:rsidRPr="00AB0445" w:rsidRDefault="00AB0445" w:rsidP="00AB0445">
      <w:pPr>
        <w:tabs>
          <w:tab w:val="left" w:pos="3020"/>
        </w:tabs>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ab/>
      </w:r>
    </w:p>
    <w:p w14:paraId="752F5520" w14:textId="77777777" w:rsidR="00AB0445" w:rsidRPr="00AB0445" w:rsidRDefault="00AB0445" w:rsidP="00AB0445">
      <w:pPr>
        <w:spacing w:after="0" w:line="240" w:lineRule="auto"/>
        <w:rPr>
          <w:rFonts w:ascii="Century Gothic" w:eastAsia="Century Gothic" w:hAnsi="Century Gothic" w:cs="Century Gothic"/>
          <w:sz w:val="24"/>
          <w:szCs w:val="24"/>
        </w:rPr>
      </w:pPr>
      <w:r w:rsidRPr="00AB0445">
        <w:rPr>
          <w:rFonts w:ascii="Century Gothic" w:eastAsia="Century Gothic" w:hAnsi="Century Gothic" w:cs="Arial"/>
          <w:sz w:val="24"/>
          <w:szCs w:val="24"/>
        </w:rPr>
        <w:t>Recipients are responsible for managing the day-to-day operations of their grant. C</w:t>
      </w:r>
      <w:r w:rsidRPr="00AB0445">
        <w:rPr>
          <w:rFonts w:ascii="Century Gothic" w:eastAsia="Century Gothic" w:hAnsi="Century Gothic" w:cs="Century Gothic"/>
          <w:sz w:val="24"/>
          <w:szCs w:val="24"/>
        </w:rPr>
        <w:t>onsistent with other mitigation grant programs, recipients are subject to quarterly progress and financial reporting, a closeout process, and site visits as deemed necessary by Cal OES.</w:t>
      </w:r>
    </w:p>
    <w:p w14:paraId="33E1960D" w14:textId="77777777" w:rsidR="00AB0445" w:rsidRPr="00AB0445" w:rsidRDefault="00AB0445" w:rsidP="00AB0445">
      <w:pPr>
        <w:spacing w:after="0" w:line="240" w:lineRule="auto"/>
        <w:rPr>
          <w:rFonts w:ascii="Century Gothic" w:eastAsia="Century Gothic" w:hAnsi="Century Gothic" w:cs="Century Gothic"/>
          <w:sz w:val="24"/>
          <w:szCs w:val="24"/>
        </w:rPr>
      </w:pPr>
    </w:p>
    <w:p w14:paraId="70463A13" w14:textId="77777777"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t>Prepare California JumpStart Technical Assistance</w:t>
      </w:r>
    </w:p>
    <w:p w14:paraId="512EE46F" w14:textId="77777777" w:rsidR="00AB0445" w:rsidRPr="00AB0445" w:rsidRDefault="00AB0445" w:rsidP="00AB0445">
      <w:pPr>
        <w:keepNext/>
        <w:keepLines/>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Cal OES is pleased to provide technical assistance to interested applicants. Our subject matter experts are available to discuss project eligibility, the application process, or other related matters. Please reach out to </w:t>
      </w:r>
      <w:r w:rsidRPr="00AB0445">
        <w:rPr>
          <w:rFonts w:ascii="Century Gothic" w:eastAsia="Times New Roman" w:hAnsi="Century Gothic" w:cs="Arial"/>
          <w:color w:val="015E90"/>
          <w:sz w:val="24"/>
          <w:szCs w:val="24"/>
          <w:u w:val="single"/>
        </w:rPr>
        <w:t>PrepareCAJumpStart@caloes.ca.gov</w:t>
      </w:r>
      <w:r w:rsidRPr="00AB0445">
        <w:rPr>
          <w:rFonts w:ascii="Century Gothic" w:eastAsia="Times New Roman" w:hAnsi="Century Gothic" w:cs="Arial"/>
          <w:sz w:val="24"/>
          <w:szCs w:val="24"/>
        </w:rPr>
        <w:t xml:space="preserve"> with questions or to schedule a call. </w:t>
      </w:r>
      <w:bookmarkEnd w:id="0"/>
    </w:p>
    <w:p w14:paraId="73FEEB7B" w14:textId="77777777" w:rsidR="00937F71" w:rsidRDefault="00937F71"/>
    <w:sectPr w:rsidR="00937F71" w:rsidSect="00660548">
      <w:headerReference w:type="default" r:id="rId14"/>
      <w:footerReference w:type="default" r:id="rId15"/>
      <w:pgSz w:w="12240" w:h="15840"/>
      <w:pgMar w:top="1440" w:right="1440" w:bottom="1440" w:left="1440" w:header="720" w:footer="432" w:gutter="0"/>
      <w:pgNumType w:start="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2B5AA" w14:textId="77777777" w:rsidR="00DD723D" w:rsidRDefault="00DD723D" w:rsidP="00AB0445">
      <w:pPr>
        <w:spacing w:after="0" w:line="240" w:lineRule="auto"/>
      </w:pPr>
      <w:r>
        <w:separator/>
      </w:r>
    </w:p>
  </w:endnote>
  <w:endnote w:type="continuationSeparator" w:id="0">
    <w:p w14:paraId="0CA4F4C6" w14:textId="77777777" w:rsidR="00DD723D" w:rsidRDefault="00DD723D" w:rsidP="00AB0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eiryo">
    <w:charset w:val="80"/>
    <w:family w:val="swiss"/>
    <w:pitch w:val="variable"/>
    <w:sig w:usb0="E00002FF" w:usb1="6AC7FFFF"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26E89" w14:textId="77777777" w:rsidR="00AB0445" w:rsidRPr="00AB0445" w:rsidRDefault="00AB0445" w:rsidP="00AB0445">
    <w:pPr>
      <w:tabs>
        <w:tab w:val="right" w:pos="9900"/>
      </w:tabs>
      <w:spacing w:after="0" w:line="257" w:lineRule="auto"/>
      <w:contextualSpacing/>
      <w:rPr>
        <w:rFonts w:ascii="Century Gothic" w:eastAsia="Century Gothic" w:hAnsi="Century Gothic" w:cs="Arial"/>
        <w:b/>
        <w:color w:val="013466"/>
        <w:sz w:val="24"/>
        <w:szCs w:val="24"/>
      </w:rPr>
    </w:pPr>
    <w:r w:rsidRPr="00AB0445">
      <w:rPr>
        <w:rFonts w:ascii="Century Gothic" w:eastAsia="Century Gothic" w:hAnsi="Century Gothic" w:cs="Arial"/>
        <w:b/>
        <w:color w:val="013466"/>
        <w:sz w:val="24"/>
        <w:szCs w:val="24"/>
      </w:rPr>
      <w:t>2022 Prepare California Jumpstart Notice of Funding Opportunity - DRAFT 1.0</w:t>
    </w:r>
  </w:p>
  <w:p w14:paraId="6579B5F6" w14:textId="093DDC30" w:rsidR="00971602" w:rsidRPr="00AB0445" w:rsidRDefault="00AB0445" w:rsidP="00AB0445">
    <w:pPr>
      <w:pBdr>
        <w:top w:val="single" w:sz="8" w:space="4" w:color="FCAD22"/>
      </w:pBdr>
      <w:tabs>
        <w:tab w:val="right" w:pos="9900"/>
      </w:tabs>
      <w:rPr>
        <w:bCs/>
        <w:color w:val="013466"/>
      </w:rPr>
    </w:pPr>
    <w:r w:rsidRPr="00AB0445">
      <w:rPr>
        <w:rFonts w:ascii="Century Gothic" w:eastAsia="Century Gothic" w:hAnsi="Century Gothic" w:cs="Arial"/>
        <w:bCs/>
        <w:color w:val="013466"/>
        <w:sz w:val="24"/>
        <w:szCs w:val="24"/>
      </w:rPr>
      <w:t>California Governor’s Office of Emergency Services</w:t>
    </w:r>
    <w:r w:rsidR="000E4797">
      <w:rPr>
        <w:rStyle w:val="FooterChar"/>
        <w:bCs/>
      </w:rPr>
      <w:tab/>
    </w:r>
    <w:r w:rsidRPr="00AB0445">
      <w:rPr>
        <w:rFonts w:ascii="Century Gothic" w:eastAsia="Century Gothic" w:hAnsi="Century Gothic" w:cs="Arial"/>
        <w:bCs/>
        <w:color w:val="013466"/>
        <w:sz w:val="24"/>
        <w:szCs w:val="24"/>
      </w:rPr>
      <w:fldChar w:fldCharType="begin"/>
    </w:r>
    <w:r w:rsidRPr="00AB0445">
      <w:rPr>
        <w:rFonts w:ascii="Century Gothic" w:eastAsia="Century Gothic" w:hAnsi="Century Gothic" w:cs="Arial"/>
        <w:bCs/>
        <w:color w:val="013466"/>
        <w:sz w:val="24"/>
        <w:szCs w:val="24"/>
      </w:rPr>
      <w:instrText xml:space="preserve"> PAGE   \* MERGEFORMAT </w:instrText>
    </w:r>
    <w:r w:rsidRPr="00AB0445">
      <w:rPr>
        <w:rFonts w:ascii="Century Gothic" w:eastAsia="Century Gothic" w:hAnsi="Century Gothic" w:cs="Arial"/>
        <w:bCs/>
        <w:color w:val="013466"/>
        <w:sz w:val="24"/>
        <w:szCs w:val="24"/>
      </w:rPr>
      <w:fldChar w:fldCharType="separate"/>
    </w:r>
    <w:r w:rsidRPr="00AB0445">
      <w:rPr>
        <w:rFonts w:ascii="Century Gothic" w:eastAsia="Century Gothic" w:hAnsi="Century Gothic" w:cs="Arial"/>
        <w:bCs/>
        <w:color w:val="013466"/>
        <w:sz w:val="24"/>
        <w:szCs w:val="24"/>
      </w:rPr>
      <w:t>6</w:t>
    </w:r>
    <w:r w:rsidRPr="00AB0445">
      <w:rPr>
        <w:rFonts w:ascii="Century Gothic" w:eastAsia="Century Gothic" w:hAnsi="Century Gothic" w:cs="Arial"/>
        <w:bCs/>
        <w:color w:val="013466"/>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148DF" w14:textId="77777777" w:rsidR="00DD723D" w:rsidRDefault="00DD723D" w:rsidP="00AB0445">
      <w:pPr>
        <w:spacing w:after="0" w:line="240" w:lineRule="auto"/>
      </w:pPr>
      <w:r>
        <w:separator/>
      </w:r>
    </w:p>
  </w:footnote>
  <w:footnote w:type="continuationSeparator" w:id="0">
    <w:p w14:paraId="5A0409CB" w14:textId="77777777" w:rsidR="00DD723D" w:rsidRDefault="00DD723D" w:rsidP="00AB0445">
      <w:pPr>
        <w:spacing w:after="0" w:line="240" w:lineRule="auto"/>
      </w:pPr>
      <w:r>
        <w:continuationSeparator/>
      </w:r>
    </w:p>
  </w:footnote>
  <w:footnote w:id="1">
    <w:p w14:paraId="79C7DD4D" w14:textId="2746CED6" w:rsidR="00AB0445" w:rsidRPr="00FD3922" w:rsidRDefault="00AB0445" w:rsidP="00AB0445">
      <w:pPr>
        <w:rPr>
          <w:rFonts w:ascii="Century Gothic" w:eastAsia="Century Gothic" w:hAnsi="Century Gothic"/>
          <w:color w:val="000000"/>
          <w:sz w:val="20"/>
          <w:szCs w:val="20"/>
        </w:rPr>
      </w:pPr>
      <w:r w:rsidRPr="00FD3922">
        <w:rPr>
          <w:rStyle w:val="FootnoteReference"/>
          <w:sz w:val="18"/>
          <w:szCs w:val="18"/>
        </w:rPr>
        <w:footnoteRef/>
      </w:r>
      <w:r w:rsidRPr="00FD3922">
        <w:rPr>
          <w:rFonts w:ascii="Century Gothic" w:hAnsi="Century Gothic"/>
          <w:sz w:val="18"/>
          <w:szCs w:val="18"/>
        </w:rPr>
        <w:t xml:space="preserve"> </w:t>
      </w:r>
      <w:r w:rsidR="00FD3922" w:rsidRPr="00FD3922">
        <w:rPr>
          <w:rFonts w:ascii="Century Gothic" w:hAnsi="Century Gothic"/>
          <w:sz w:val="20"/>
          <w:szCs w:val="20"/>
        </w:rPr>
        <w:t xml:space="preserve">1 The Vulnerability Map shows all census tracts that </w:t>
      </w:r>
      <w:r w:rsidR="00FD3922">
        <w:rPr>
          <w:rFonts w:ascii="Century Gothic" w:hAnsi="Century Gothic"/>
          <w:sz w:val="20"/>
          <w:szCs w:val="20"/>
        </w:rPr>
        <w:t xml:space="preserve">are eligible for Jumpstart funding by meeting </w:t>
      </w:r>
      <w:r w:rsidR="000E7831">
        <w:rPr>
          <w:rFonts w:ascii="Century Gothic" w:hAnsi="Century Gothic"/>
          <w:sz w:val="20"/>
          <w:szCs w:val="20"/>
        </w:rPr>
        <w:t>BOTH</w:t>
      </w:r>
      <w:r w:rsidR="00FD3922">
        <w:rPr>
          <w:rFonts w:ascii="Century Gothic" w:hAnsi="Century Gothic"/>
          <w:sz w:val="20"/>
          <w:szCs w:val="20"/>
        </w:rPr>
        <w:t xml:space="preserve"> the social vulnerability AND hazard metrics. To meet the Social Vulnerability metric, a census tract must </w:t>
      </w:r>
      <w:r w:rsidR="00FD3922" w:rsidRPr="00FD3922">
        <w:rPr>
          <w:rFonts w:ascii="Century Gothic" w:hAnsi="Century Gothic"/>
          <w:sz w:val="20"/>
          <w:szCs w:val="20"/>
        </w:rPr>
        <w:t xml:space="preserve">have a Social Vulnerability Index (SVI) score &gt;.70 </w:t>
      </w:r>
      <w:r w:rsidR="00FD3922">
        <w:rPr>
          <w:rFonts w:ascii="Century Gothic" w:hAnsi="Century Gothic"/>
          <w:sz w:val="20"/>
          <w:szCs w:val="20"/>
        </w:rPr>
        <w:t>OR a median household income less than 80% of the state median in 2019. A census tract must also meet the hazard risk criteria</w:t>
      </w:r>
      <w:r w:rsidR="000E7831">
        <w:rPr>
          <w:rFonts w:ascii="Century Gothic" w:hAnsi="Century Gothic"/>
          <w:sz w:val="20"/>
          <w:szCs w:val="20"/>
        </w:rPr>
        <w:t xml:space="preserve"> by</w:t>
      </w:r>
      <w:r w:rsidR="00FD3922">
        <w:rPr>
          <w:rFonts w:ascii="Century Gothic" w:hAnsi="Century Gothic"/>
          <w:sz w:val="20"/>
          <w:szCs w:val="20"/>
        </w:rPr>
        <w:t xml:space="preserve"> demonstrating a</w:t>
      </w:r>
      <w:r w:rsidR="00FD3922" w:rsidRPr="00FD3922">
        <w:rPr>
          <w:rFonts w:ascii="Century Gothic" w:hAnsi="Century Gothic"/>
          <w:sz w:val="20"/>
          <w:szCs w:val="20"/>
        </w:rPr>
        <w:t xml:space="preserve"> &gt;.70 average in their top four hazards OR &gt;.</w:t>
      </w:r>
      <w:r w:rsidR="00FD3922">
        <w:rPr>
          <w:rFonts w:ascii="Century Gothic" w:hAnsi="Century Gothic"/>
          <w:sz w:val="20"/>
          <w:szCs w:val="20"/>
        </w:rPr>
        <w:t>8</w:t>
      </w:r>
      <w:r w:rsidR="001B4038">
        <w:rPr>
          <w:rFonts w:ascii="Century Gothic" w:hAnsi="Century Gothic"/>
          <w:sz w:val="20"/>
          <w:szCs w:val="20"/>
        </w:rPr>
        <w:t>5</w:t>
      </w:r>
      <w:r w:rsidR="00FD3922" w:rsidRPr="00FD3922">
        <w:rPr>
          <w:rFonts w:ascii="Century Gothic" w:hAnsi="Century Gothic"/>
          <w:sz w:val="20"/>
          <w:szCs w:val="20"/>
        </w:rPr>
        <w:t xml:space="preserve"> in any one hazard</w:t>
      </w:r>
      <w:r w:rsidR="00FD3922">
        <w:rPr>
          <w:rFonts w:ascii="Century Gothic" w:hAnsi="Century Gothic"/>
          <w:sz w:val="20"/>
          <w:szCs w:val="20"/>
        </w:rPr>
        <w:t xml:space="preserve"> OR </w:t>
      </w:r>
      <w:r w:rsidR="001B4038">
        <w:rPr>
          <w:rFonts w:ascii="Century Gothic" w:hAnsi="Century Gothic"/>
          <w:sz w:val="20"/>
          <w:szCs w:val="20"/>
        </w:rPr>
        <w:t>a significant earthquake exposure by exceeding the average expected ground motion with a 2% probability over 50 years</w:t>
      </w:r>
      <w:r w:rsidR="00FD3922" w:rsidRPr="00FD3922">
        <w:rPr>
          <w:rFonts w:ascii="Century Gothic" w:hAnsi="Century Gothic"/>
          <w:sz w:val="20"/>
          <w:szCs w:val="20"/>
        </w:rPr>
        <w:t>. Hazard exposure is based on Cal OES’ analysis of several datasets related to wildfire, flood, earthquake, drought, and heatwave frequencies. These sources include Pyrologix (wildfire), First Street Foundation (flood), National Risk Index for Natural Hazards (earthquake, drought, and heatwave),</w:t>
      </w:r>
      <w:r w:rsidR="001B4038">
        <w:rPr>
          <w:rFonts w:ascii="Century Gothic" w:hAnsi="Century Gothic"/>
          <w:sz w:val="20"/>
          <w:szCs w:val="20"/>
        </w:rPr>
        <w:t xml:space="preserve"> California Department of Conservation Sheet Map 48: Earthquake potential for CA</w:t>
      </w:r>
      <w:r w:rsidR="000E7831">
        <w:rPr>
          <w:rFonts w:ascii="Century Gothic" w:hAnsi="Century Gothic"/>
          <w:sz w:val="20"/>
          <w:szCs w:val="20"/>
        </w:rPr>
        <w:t xml:space="preserve"> (earthquake)</w:t>
      </w:r>
      <w:r w:rsidR="001B4038">
        <w:rPr>
          <w:rFonts w:ascii="Century Gothic" w:hAnsi="Century Gothic"/>
          <w:sz w:val="20"/>
          <w:szCs w:val="20"/>
        </w:rPr>
        <w:t>,</w:t>
      </w:r>
      <w:r w:rsidR="00FD3922" w:rsidRPr="00FD3922">
        <w:rPr>
          <w:rFonts w:ascii="Century Gothic" w:hAnsi="Century Gothic"/>
          <w:sz w:val="20"/>
          <w:szCs w:val="20"/>
        </w:rPr>
        <w:t xml:space="preserve"> and Cal Adapt (wildfire and heatwave). Social vulnerability scores are based on the 2018 CDC Social Vulnerability Index</w:t>
      </w:r>
      <w:r w:rsidR="00FD3922">
        <w:rPr>
          <w:rFonts w:ascii="Century Gothic" w:hAnsi="Century Gothic"/>
          <w:sz w:val="20"/>
          <w:szCs w:val="20"/>
        </w:rPr>
        <w:t xml:space="preserve"> and </w:t>
      </w:r>
      <w:r w:rsidR="008A594D">
        <w:rPr>
          <w:rFonts w:ascii="Century Gothic" w:hAnsi="Century Gothic"/>
          <w:sz w:val="20"/>
          <w:szCs w:val="20"/>
        </w:rPr>
        <w:t xml:space="preserve">the </w:t>
      </w:r>
      <w:r w:rsidR="00FD3922">
        <w:rPr>
          <w:rFonts w:ascii="Century Gothic" w:hAnsi="Century Gothic"/>
          <w:sz w:val="20"/>
          <w:szCs w:val="20"/>
        </w:rPr>
        <w:t>American Community Survey 2015-2019.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84823" w14:textId="66F84492" w:rsidR="00971602" w:rsidRDefault="000E4797" w:rsidP="00686E74">
    <w:pPr>
      <w:jc w:val="center"/>
    </w:pPr>
    <w:r>
      <w:rPr>
        <w:noProof/>
      </w:rPr>
      <w:drawing>
        <wp:inline distT="0" distB="0" distL="0" distR="0" wp14:anchorId="6B217C7A" wp14:editId="3B2E6B01">
          <wp:extent cx="1224915" cy="47434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lOES logo.png"/>
                  <pic:cNvPicPr/>
                </pic:nvPicPr>
                <pic:blipFill>
                  <a:blip r:embed="rId1">
                    <a:extLst>
                      <a:ext uri="{28A0092B-C50C-407E-A947-70E740481C1C}">
                        <a14:useLocalDpi xmlns:a14="http://schemas.microsoft.com/office/drawing/2010/main" val="0"/>
                      </a:ext>
                    </a:extLst>
                  </a:blip>
                  <a:stretch>
                    <a:fillRect/>
                  </a:stretch>
                </pic:blipFill>
                <pic:spPr>
                  <a:xfrm>
                    <a:off x="0" y="0"/>
                    <a:ext cx="1224915" cy="47434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F25AF"/>
    <w:multiLevelType w:val="hybridMultilevel"/>
    <w:tmpl w:val="C84CB6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594A24"/>
    <w:multiLevelType w:val="hybridMultilevel"/>
    <w:tmpl w:val="F0DCE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445"/>
    <w:rsid w:val="000E4797"/>
    <w:rsid w:val="000E7831"/>
    <w:rsid w:val="00102E81"/>
    <w:rsid w:val="001216EC"/>
    <w:rsid w:val="00191630"/>
    <w:rsid w:val="00191C56"/>
    <w:rsid w:val="001B4038"/>
    <w:rsid w:val="00206B97"/>
    <w:rsid w:val="00251ABE"/>
    <w:rsid w:val="00352A53"/>
    <w:rsid w:val="003821F9"/>
    <w:rsid w:val="003A5F04"/>
    <w:rsid w:val="004071CC"/>
    <w:rsid w:val="00447DF4"/>
    <w:rsid w:val="00492DE1"/>
    <w:rsid w:val="00533BDE"/>
    <w:rsid w:val="00633F91"/>
    <w:rsid w:val="00686E74"/>
    <w:rsid w:val="00691210"/>
    <w:rsid w:val="00692868"/>
    <w:rsid w:val="006E6F55"/>
    <w:rsid w:val="007B1546"/>
    <w:rsid w:val="007C1E4F"/>
    <w:rsid w:val="007C38C2"/>
    <w:rsid w:val="007D1E89"/>
    <w:rsid w:val="00834385"/>
    <w:rsid w:val="008A594D"/>
    <w:rsid w:val="00926C10"/>
    <w:rsid w:val="00937F71"/>
    <w:rsid w:val="0096288A"/>
    <w:rsid w:val="009644BE"/>
    <w:rsid w:val="00997655"/>
    <w:rsid w:val="009D6024"/>
    <w:rsid w:val="00A45198"/>
    <w:rsid w:val="00AB0445"/>
    <w:rsid w:val="00CC4A2B"/>
    <w:rsid w:val="00D91BFA"/>
    <w:rsid w:val="00DD723D"/>
    <w:rsid w:val="00F13432"/>
    <w:rsid w:val="00F87939"/>
    <w:rsid w:val="00FA1906"/>
    <w:rsid w:val="00FD39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3CA742CC"/>
  <w15:chartTrackingRefBased/>
  <w15:docId w15:val="{F9B4CA65-14D5-4D44-A838-B5DDCE824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B044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B0445"/>
  </w:style>
  <w:style w:type="paragraph" w:styleId="CommentText">
    <w:name w:val="annotation text"/>
    <w:basedOn w:val="Normal"/>
    <w:link w:val="CommentTextChar"/>
    <w:uiPriority w:val="99"/>
    <w:semiHidden/>
    <w:unhideWhenUsed/>
    <w:rsid w:val="00AB0445"/>
    <w:pPr>
      <w:spacing w:line="240" w:lineRule="auto"/>
    </w:pPr>
    <w:rPr>
      <w:sz w:val="20"/>
      <w:szCs w:val="20"/>
    </w:rPr>
  </w:style>
  <w:style w:type="character" w:customStyle="1" w:styleId="CommentTextChar">
    <w:name w:val="Comment Text Char"/>
    <w:basedOn w:val="DefaultParagraphFont"/>
    <w:link w:val="CommentText"/>
    <w:uiPriority w:val="99"/>
    <w:semiHidden/>
    <w:rsid w:val="00AB0445"/>
    <w:rPr>
      <w:sz w:val="20"/>
      <w:szCs w:val="20"/>
    </w:rPr>
  </w:style>
  <w:style w:type="paragraph" w:styleId="Footer">
    <w:name w:val="footer"/>
    <w:basedOn w:val="Normal"/>
    <w:link w:val="FooterChar"/>
    <w:uiPriority w:val="99"/>
    <w:unhideWhenUsed/>
    <w:rsid w:val="00AB04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0445"/>
  </w:style>
  <w:style w:type="character" w:styleId="Hyperlink">
    <w:name w:val="Hyperlink"/>
    <w:basedOn w:val="DefaultParagraphFont"/>
    <w:uiPriority w:val="99"/>
    <w:unhideWhenUsed/>
    <w:rsid w:val="00AB0445"/>
    <w:rPr>
      <w:rFonts w:ascii="Century Gothic" w:hAnsi="Century Gothic"/>
      <w:color w:val="015E90"/>
      <w:sz w:val="24"/>
      <w:u w:val="single"/>
    </w:rPr>
  </w:style>
  <w:style w:type="character" w:styleId="CommentReference">
    <w:name w:val="annotation reference"/>
    <w:basedOn w:val="DefaultParagraphFont"/>
    <w:uiPriority w:val="99"/>
    <w:semiHidden/>
    <w:unhideWhenUsed/>
    <w:rsid w:val="00AB0445"/>
    <w:rPr>
      <w:rFonts w:ascii="Century Gothic" w:hAnsi="Century Gothic"/>
      <w:sz w:val="16"/>
      <w:szCs w:val="16"/>
    </w:rPr>
  </w:style>
  <w:style w:type="character" w:styleId="FootnoteReference">
    <w:name w:val="footnote reference"/>
    <w:basedOn w:val="DefaultParagraphFont"/>
    <w:uiPriority w:val="99"/>
    <w:semiHidden/>
    <w:unhideWhenUsed/>
    <w:qFormat/>
    <w:rsid w:val="00AB0445"/>
    <w:rPr>
      <w:rFonts w:ascii="Century Gothic" w:hAnsi="Century Gothic"/>
      <w:sz w:val="24"/>
      <w:vertAlign w:val="superscript"/>
    </w:rPr>
  </w:style>
  <w:style w:type="table" w:customStyle="1" w:styleId="GridTable41">
    <w:name w:val="Grid Table 41"/>
    <w:basedOn w:val="TableNormal"/>
    <w:next w:val="GridTable4"/>
    <w:uiPriority w:val="49"/>
    <w:rsid w:val="00AB0445"/>
    <w:pPr>
      <w:spacing w:after="0" w:line="240" w:lineRule="auto"/>
    </w:pPr>
    <w:rPr>
      <w:rFonts w:eastAsia="Meiryo"/>
      <w:color w:val="000000"/>
      <w:sz w:val="20"/>
      <w:szCs w:val="20"/>
    </w:rPr>
    <w:tblPr>
      <w:tblStyleRowBandSize w:val="1"/>
      <w:tblStyleColBandSize w:val="1"/>
      <w:tblBorders>
        <w:top w:val="single" w:sz="4" w:space="0" w:color="00123F"/>
        <w:left w:val="single" w:sz="4" w:space="0" w:color="00123F"/>
        <w:bottom w:val="single" w:sz="4" w:space="0" w:color="00123F"/>
        <w:right w:val="single" w:sz="4" w:space="0" w:color="00123F"/>
        <w:insideH w:val="single" w:sz="4" w:space="0" w:color="00123F"/>
        <w:insideV w:val="single" w:sz="4" w:space="0" w:color="00123F"/>
      </w:tblBorders>
    </w:tblPr>
    <w:tcPr>
      <w:shd w:val="clear" w:color="auto" w:fill="00123F"/>
      <w:vAlign w:val="center"/>
    </w:tcPr>
    <w:tblStylePr w:type="firstRow">
      <w:rPr>
        <w:b/>
        <w:bCs/>
        <w:color w:val="FFFFFF"/>
      </w:rPr>
      <w:tblPr/>
      <w:tcPr>
        <w:shd w:val="clear" w:color="auto" w:fill="0B2847"/>
      </w:tcPr>
    </w:tblStylePr>
    <w:tblStylePr w:type="lastRow">
      <w:rPr>
        <w:b/>
        <w:bCs/>
      </w:rPr>
      <w:tblPr/>
      <w:tcPr>
        <w:tcBorders>
          <w:top w:val="single" w:sz="4" w:space="0" w:color="015E90"/>
        </w:tcBorders>
      </w:tcPr>
    </w:tblStylePr>
    <w:tblStylePr w:type="firstCol">
      <w:rPr>
        <w:b/>
        <w:bCs/>
      </w:rPr>
      <w:tblPr/>
      <w:tcPr>
        <w:shd w:val="clear" w:color="auto" w:fill="DEE7EF"/>
      </w:tcPr>
    </w:tblStylePr>
    <w:tblStylePr w:type="lastCol">
      <w:rPr>
        <w:b/>
        <w:bCs/>
      </w:rPr>
    </w:tblStylePr>
    <w:tblStylePr w:type="band1Horz">
      <w:tblPr/>
      <w:tcPr>
        <w:shd w:val="clear" w:color="auto" w:fill="FFFFFF"/>
      </w:tcPr>
    </w:tblStylePr>
    <w:tblStylePr w:type="band2Horz">
      <w:tblPr/>
      <w:tcPr>
        <w:tcBorders>
          <w:top w:val="single" w:sz="4" w:space="0" w:color="00123F"/>
          <w:left w:val="single" w:sz="4" w:space="0" w:color="00123F"/>
          <w:bottom w:val="single" w:sz="4" w:space="0" w:color="00123F"/>
          <w:right w:val="single" w:sz="4" w:space="0" w:color="00123F"/>
          <w:insideH w:val="single" w:sz="4" w:space="0" w:color="00123F"/>
          <w:insideV w:val="single" w:sz="4" w:space="0" w:color="00123F"/>
        </w:tcBorders>
        <w:shd w:val="clear" w:color="auto" w:fill="FFFFFF"/>
      </w:tcPr>
    </w:tblStylePr>
  </w:style>
  <w:style w:type="table" w:styleId="GridTable4">
    <w:name w:val="Grid Table 4"/>
    <w:basedOn w:val="TableNormal"/>
    <w:uiPriority w:val="49"/>
    <w:rsid w:val="00AB044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CommentSubject">
    <w:name w:val="annotation subject"/>
    <w:basedOn w:val="CommentText"/>
    <w:next w:val="CommentText"/>
    <w:link w:val="CommentSubjectChar"/>
    <w:uiPriority w:val="99"/>
    <w:semiHidden/>
    <w:unhideWhenUsed/>
    <w:rsid w:val="00D91BFA"/>
    <w:rPr>
      <w:b/>
      <w:bCs/>
    </w:rPr>
  </w:style>
  <w:style w:type="character" w:customStyle="1" w:styleId="CommentSubjectChar">
    <w:name w:val="Comment Subject Char"/>
    <w:basedOn w:val="CommentTextChar"/>
    <w:link w:val="CommentSubject"/>
    <w:uiPriority w:val="99"/>
    <w:semiHidden/>
    <w:rsid w:val="00D91BFA"/>
    <w:rPr>
      <w:b/>
      <w:bCs/>
      <w:sz w:val="20"/>
      <w:szCs w:val="20"/>
    </w:rPr>
  </w:style>
  <w:style w:type="character" w:styleId="UnresolvedMention">
    <w:name w:val="Unresolved Mention"/>
    <w:basedOn w:val="DefaultParagraphFont"/>
    <w:uiPriority w:val="99"/>
    <w:semiHidden/>
    <w:unhideWhenUsed/>
    <w:rsid w:val="000E7831"/>
    <w:rPr>
      <w:color w:val="605E5C"/>
      <w:shd w:val="clear" w:color="auto" w:fill="E1DFDD"/>
    </w:rPr>
  </w:style>
  <w:style w:type="character" w:styleId="FollowedHyperlink">
    <w:name w:val="FollowedHyperlink"/>
    <w:basedOn w:val="DefaultParagraphFont"/>
    <w:uiPriority w:val="99"/>
    <w:semiHidden/>
    <w:unhideWhenUsed/>
    <w:rsid w:val="000E783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pareCAJumpStart@caloes.ca.gov" TargetMode="External"/><Relationship Id="rId13" Type="http://schemas.openxmlformats.org/officeDocument/2006/relationships/hyperlink" Target="mailto:PrepareCAJumpStart@caloes.ca.gov" TargetMode="External"/><Relationship Id="rId3" Type="http://schemas.openxmlformats.org/officeDocument/2006/relationships/settings" Target="settings.xml"/><Relationship Id="rId7" Type="http://schemas.openxmlformats.org/officeDocument/2006/relationships/hyperlink" Target="mailto:PrepareCAJumpStart@caloes.ca.gov" TargetMode="External"/><Relationship Id="rId12" Type="http://schemas.openxmlformats.org/officeDocument/2006/relationships/hyperlink" Target="https://www.caloes.ca.gov/cal-oes-divisions/recovery/disaster-mitigation-technical-support/404-hazard-mitigation-grant-progra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repareCAJumpStart@caloes.ca.gov"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caloes.ca.gov/office-of-the-director/operations/recovery-directorate/hazard-mitigation/state-hazard-mitigation-planning/" TargetMode="External"/><Relationship Id="rId4" Type="http://schemas.openxmlformats.org/officeDocument/2006/relationships/webSettings" Target="webSettings.xml"/><Relationship Id="rId9" Type="http://schemas.openxmlformats.org/officeDocument/2006/relationships/hyperlink" Target="https://calema.maps.arcgis.com/apps/dashboards/3c78aea361be4ea8a21b22b30e613d6e"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1585</Words>
  <Characters>9039</Characters>
  <Application>Microsoft Office Word</Application>
  <DocSecurity>4</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(Contractor) Tinsey, Tyler@CalOES</dc:creator>
  <cp:keywords/>
  <dc:description/>
  <cp:lastModifiedBy>Gowin, Scott@CalOES</cp:lastModifiedBy>
  <cp:revision>2</cp:revision>
  <dcterms:created xsi:type="dcterms:W3CDTF">2022-08-29T15:55:00Z</dcterms:created>
  <dcterms:modified xsi:type="dcterms:W3CDTF">2022-08-29T15:55:00Z</dcterms:modified>
</cp:coreProperties>
</file>