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125A51" w14:textId="77777777" w:rsidR="001919C0" w:rsidRPr="001919C0" w:rsidRDefault="008951D1" w:rsidP="001919C0">
      <w:pPr>
        <w:shd w:val="clear" w:color="auto" w:fill="FFFFFF"/>
        <w:spacing w:after="0" w:line="240" w:lineRule="auto"/>
        <w:textAlignment w:val="baseline"/>
        <w:outlineLvl w:val="2"/>
        <w:rPr>
          <w:rFonts w:ascii="Arial" w:eastAsia="Times New Roman" w:hAnsi="Arial" w:cs="Arial"/>
          <w:color w:val="333333"/>
          <w:sz w:val="27"/>
          <w:szCs w:val="27"/>
        </w:rPr>
      </w:pPr>
      <w:hyperlink r:id="rId4" w:anchor="history" w:history="1">
        <w:r w:rsidR="001919C0" w:rsidRPr="001919C0">
          <w:rPr>
            <w:rFonts w:ascii="Arial" w:eastAsia="Times New Roman" w:hAnsi="Arial" w:cs="Arial"/>
            <w:color w:val="0000FF"/>
            <w:sz w:val="37"/>
            <w:szCs w:val="37"/>
            <w:u w:val="single"/>
            <w:bdr w:val="none" w:sz="0" w:space="0" w:color="auto" w:frame="1"/>
          </w:rPr>
          <w:t>History and responsibilities</w:t>
        </w:r>
      </w:hyperlink>
    </w:p>
    <w:p w14:paraId="68472BB8" w14:textId="3547F02B" w:rsidR="001919C0" w:rsidRPr="00313894" w:rsidRDefault="001919C0" w:rsidP="00313894">
      <w:pPr>
        <w:pStyle w:val="NormalWeb"/>
        <w:jc w:val="both"/>
        <w:rPr>
          <w:color w:val="000000"/>
        </w:rPr>
      </w:pPr>
      <w:r w:rsidRPr="00313894">
        <w:rPr>
          <w:color w:val="000000"/>
        </w:rPr>
        <w:t>The Alfred E. Alquist Seismic Safety Commission</w:t>
      </w:r>
      <w:r w:rsidR="00224BE8" w:rsidRPr="00313894">
        <w:rPr>
          <w:color w:val="000000"/>
        </w:rPr>
        <w:t xml:space="preserve"> (SSC)</w:t>
      </w:r>
      <w:r w:rsidRPr="00313894">
        <w:rPr>
          <w:color w:val="000000"/>
        </w:rPr>
        <w:t xml:space="preserve"> was established in 1975</w:t>
      </w:r>
      <w:r w:rsidR="00224BE8" w:rsidRPr="00313894">
        <w:rPr>
          <w:color w:val="000000"/>
        </w:rPr>
        <w:t>, with the passage of the Seismic Safety Act</w:t>
      </w:r>
      <w:r w:rsidRPr="00313894">
        <w:rPr>
          <w:color w:val="000000"/>
        </w:rPr>
        <w:t xml:space="preserve"> to provide a coordinated framework for establishing consistent earthquake policies, advising the Governor, the Legislature, local governments, and the public, and tracking the state’s progress toward higher levels of seismic safety.  To support this broad mission, the </w:t>
      </w:r>
      <w:r w:rsidR="00313894" w:rsidRPr="00313894">
        <w:rPr>
          <w:color w:val="000000"/>
        </w:rPr>
        <w:t xml:space="preserve">SSC </w:t>
      </w:r>
      <w:r w:rsidRPr="00313894">
        <w:rPr>
          <w:color w:val="000000"/>
        </w:rPr>
        <w:t>uses the expertise of its commissioners to review, evaluate, and translate scientific information and make recommendations to guide and influence earthquake safety policies.</w:t>
      </w:r>
    </w:p>
    <w:p w14:paraId="39116F73" w14:textId="3E6EDAF3" w:rsidR="00417EF2" w:rsidRPr="00133EA5" w:rsidRDefault="001919C0" w:rsidP="00313894">
      <w:pPr>
        <w:pStyle w:val="NormalWeb"/>
        <w:jc w:val="both"/>
        <w:rPr>
          <w:color w:val="000000" w:themeColor="text1"/>
        </w:rPr>
      </w:pPr>
      <w:r w:rsidRPr="00417EF2">
        <w:rPr>
          <w:color w:val="000000" w:themeColor="text1"/>
        </w:rPr>
        <w:t xml:space="preserve">The </w:t>
      </w:r>
      <w:r w:rsidR="00224BE8" w:rsidRPr="00417EF2">
        <w:rPr>
          <w:color w:val="000000" w:themeColor="text1"/>
        </w:rPr>
        <w:t xml:space="preserve">SSC </w:t>
      </w:r>
      <w:r w:rsidRPr="00417EF2">
        <w:rPr>
          <w:color w:val="000000" w:themeColor="text1"/>
        </w:rPr>
        <w:t>works with federal, state, and local agencies, as well as the private sector, on a variety of activities that support the state’s earthquake preparedness, mitigation, response, and recovery.  These activities include: (1)</w:t>
      </w:r>
      <w:r w:rsidR="00417EF2" w:rsidRPr="00417EF2">
        <w:rPr>
          <w:color w:val="000000" w:themeColor="text1"/>
        </w:rPr>
        <w:t xml:space="preserve"> encourage and support research related to seismic safety; </w:t>
      </w:r>
      <w:r w:rsidRPr="00417EF2">
        <w:rPr>
          <w:color w:val="000000" w:themeColor="text1"/>
        </w:rPr>
        <w:t xml:space="preserve">(2) </w:t>
      </w:r>
      <w:r w:rsidR="00417EF2" w:rsidRPr="00417EF2">
        <w:rPr>
          <w:color w:val="000000" w:themeColor="text1"/>
        </w:rPr>
        <w:t>recommend the addition, deletion, or changing of state agency guidelines or standards to reduce damage from earthquakes or increase seismic safety when new developments would promote earthquake hazard mitigation</w:t>
      </w:r>
      <w:r w:rsidR="00133EA5">
        <w:rPr>
          <w:color w:val="000000" w:themeColor="text1"/>
        </w:rPr>
        <w:t>; (</w:t>
      </w:r>
      <w:r w:rsidR="001A1520">
        <w:rPr>
          <w:color w:val="000000" w:themeColor="text1"/>
        </w:rPr>
        <w:t>3</w:t>
      </w:r>
      <w:r w:rsidR="00133EA5">
        <w:rPr>
          <w:color w:val="000000" w:themeColor="text1"/>
        </w:rPr>
        <w:t>)</w:t>
      </w:r>
      <w:r w:rsidR="00C66865">
        <w:rPr>
          <w:color w:val="000000" w:themeColor="text1"/>
        </w:rPr>
        <w:t xml:space="preserve"> </w:t>
      </w:r>
      <w:r w:rsidR="00417EF2">
        <w:rPr>
          <w:color w:val="000000" w:themeColor="text1"/>
        </w:rPr>
        <w:t>d</w:t>
      </w:r>
      <w:r w:rsidR="00417EF2" w:rsidRPr="00417EF2">
        <w:rPr>
          <w:color w:val="000000" w:themeColor="text1"/>
        </w:rPr>
        <w:t>evelop findings and recommendations on lessons learned that lead to reduced losses and rapid economic recovery, following a destructive earthquake</w:t>
      </w:r>
      <w:r w:rsidRPr="00417EF2">
        <w:rPr>
          <w:color w:val="000000" w:themeColor="text1"/>
        </w:rPr>
        <w:t>; (</w:t>
      </w:r>
      <w:r w:rsidR="001A1520">
        <w:rPr>
          <w:color w:val="000000" w:themeColor="text1"/>
        </w:rPr>
        <w:t>4</w:t>
      </w:r>
      <w:r w:rsidRPr="00417EF2">
        <w:rPr>
          <w:color w:val="000000" w:themeColor="text1"/>
        </w:rPr>
        <w:t>) conducting public hearings on seismic safety issues; (</w:t>
      </w:r>
      <w:r w:rsidR="001A1520">
        <w:rPr>
          <w:color w:val="000000" w:themeColor="text1"/>
        </w:rPr>
        <w:t>5</w:t>
      </w:r>
      <w:r w:rsidRPr="00417EF2">
        <w:rPr>
          <w:color w:val="000000" w:themeColor="text1"/>
        </w:rPr>
        <w:t>) using existing knowledge and conducting studies, where necessary, to improve the performance of structures in California, (</w:t>
      </w:r>
      <w:r w:rsidR="001A1520">
        <w:rPr>
          <w:color w:val="000000" w:themeColor="text1"/>
        </w:rPr>
        <w:t>6</w:t>
      </w:r>
      <w:r w:rsidRPr="00417EF2">
        <w:rPr>
          <w:color w:val="000000" w:themeColor="text1"/>
        </w:rPr>
        <w:t>) recommending earthquake safety programs and supporting cost-effective partnerships that help reduce earthquake risks and speed economic recovery.</w:t>
      </w:r>
    </w:p>
    <w:p w14:paraId="5E93AE2E" w14:textId="1B1EF852" w:rsidR="001919C0" w:rsidRPr="00FF6ECD" w:rsidRDefault="00313894" w:rsidP="00313894">
      <w:pPr>
        <w:autoSpaceDE w:val="0"/>
        <w:autoSpaceDN w:val="0"/>
        <w:adjustRightInd w:val="0"/>
        <w:spacing w:after="0" w:line="240" w:lineRule="auto"/>
        <w:jc w:val="both"/>
        <w:rPr>
          <w:rFonts w:ascii="Times New Roman" w:hAnsi="Times New Roman" w:cs="Times New Roman"/>
          <w:color w:val="000000" w:themeColor="text1"/>
          <w:sz w:val="24"/>
          <w:szCs w:val="24"/>
        </w:rPr>
      </w:pPr>
      <w:r w:rsidRPr="00FF6ECD">
        <w:rPr>
          <w:rFonts w:ascii="Times New Roman" w:eastAsia="Times New Roman" w:hAnsi="Times New Roman" w:cs="Times New Roman"/>
          <w:color w:val="000000" w:themeColor="text1"/>
          <w:sz w:val="24"/>
          <w:szCs w:val="24"/>
        </w:rPr>
        <w:t xml:space="preserve">Through the passage of AB 100 </w:t>
      </w:r>
      <w:r w:rsidRPr="00FF6ECD">
        <w:rPr>
          <w:rFonts w:ascii="Times New Roman" w:hAnsi="Times New Roman" w:cs="Times New Roman"/>
          <w:color w:val="000000" w:themeColor="text1"/>
          <w:sz w:val="24"/>
          <w:szCs w:val="24"/>
        </w:rPr>
        <w:t xml:space="preserve">Chapter 20, Statutes of 2020 </w:t>
      </w:r>
      <w:r w:rsidRPr="00FF6ECD">
        <w:rPr>
          <w:rFonts w:ascii="Times New Roman" w:eastAsia="Times New Roman" w:hAnsi="Times New Roman" w:cs="Times New Roman"/>
          <w:color w:val="000000" w:themeColor="text1"/>
          <w:sz w:val="24"/>
          <w:szCs w:val="24"/>
        </w:rPr>
        <w:t>the</w:t>
      </w:r>
      <w:r w:rsidR="00224BE8" w:rsidRPr="00FF6ECD">
        <w:rPr>
          <w:rFonts w:ascii="Times New Roman" w:eastAsia="Times New Roman" w:hAnsi="Times New Roman" w:cs="Times New Roman"/>
          <w:color w:val="000000" w:themeColor="text1"/>
          <w:sz w:val="24"/>
          <w:szCs w:val="24"/>
        </w:rPr>
        <w:t xml:space="preserve"> SCC </w:t>
      </w:r>
      <w:r w:rsidR="00133EA5">
        <w:rPr>
          <w:rFonts w:ascii="Times New Roman" w:eastAsia="Times New Roman" w:hAnsi="Times New Roman" w:cs="Times New Roman"/>
          <w:color w:val="000000" w:themeColor="text1"/>
          <w:sz w:val="24"/>
          <w:szCs w:val="24"/>
        </w:rPr>
        <w:t xml:space="preserve">exist </w:t>
      </w:r>
      <w:r w:rsidRPr="00FF6ECD">
        <w:rPr>
          <w:rFonts w:ascii="Times New Roman" w:eastAsia="Times New Roman" w:hAnsi="Times New Roman" w:cs="Times New Roman"/>
          <w:color w:val="000000" w:themeColor="text1"/>
          <w:sz w:val="24"/>
          <w:szCs w:val="24"/>
        </w:rPr>
        <w:t xml:space="preserve">in </w:t>
      </w:r>
      <w:r w:rsidR="00224BE8" w:rsidRPr="00FF6ECD">
        <w:rPr>
          <w:rFonts w:ascii="Times New Roman" w:eastAsia="Times New Roman" w:hAnsi="Times New Roman" w:cs="Times New Roman"/>
          <w:color w:val="000000" w:themeColor="text1"/>
          <w:sz w:val="24"/>
          <w:szCs w:val="24"/>
        </w:rPr>
        <w:t xml:space="preserve">Governor’s Office of Emergency Services (CalOES). There are 15 </w:t>
      </w:r>
      <w:r w:rsidRPr="00FF6ECD">
        <w:rPr>
          <w:rFonts w:ascii="Times New Roman" w:eastAsia="Times New Roman" w:hAnsi="Times New Roman" w:cs="Times New Roman"/>
          <w:color w:val="000000" w:themeColor="text1"/>
          <w:sz w:val="24"/>
          <w:szCs w:val="24"/>
        </w:rPr>
        <w:t>c</w:t>
      </w:r>
      <w:r w:rsidR="00224BE8" w:rsidRPr="00FF6ECD">
        <w:rPr>
          <w:rFonts w:ascii="Times New Roman" w:eastAsia="Times New Roman" w:hAnsi="Times New Roman" w:cs="Times New Roman"/>
          <w:color w:val="000000" w:themeColor="text1"/>
          <w:sz w:val="24"/>
          <w:szCs w:val="24"/>
        </w:rPr>
        <w:t xml:space="preserve">ommissioners </w:t>
      </w:r>
      <w:r w:rsidR="00224BE8" w:rsidRPr="00FF6ECD">
        <w:rPr>
          <w:rFonts w:ascii="Times New Roman" w:hAnsi="Times New Roman" w:cs="Times New Roman"/>
          <w:color w:val="000000" w:themeColor="text1"/>
          <w:sz w:val="24"/>
          <w:szCs w:val="24"/>
        </w:rPr>
        <w:t>who provide policy guidance, topical expertise, and perspectives from the private sector, academia, and local government</w:t>
      </w:r>
      <w:r w:rsidR="00133EA5">
        <w:rPr>
          <w:rFonts w:ascii="Times New Roman" w:hAnsi="Times New Roman" w:cs="Times New Roman"/>
          <w:color w:val="000000" w:themeColor="text1"/>
          <w:sz w:val="24"/>
          <w:szCs w:val="24"/>
        </w:rPr>
        <w:t>.</w:t>
      </w:r>
    </w:p>
    <w:p w14:paraId="501FC093" w14:textId="04453EA9" w:rsidR="001919C0" w:rsidRPr="001919C0" w:rsidRDefault="001919C0" w:rsidP="001919C0">
      <w:pPr>
        <w:shd w:val="clear" w:color="auto" w:fill="FFFFFF"/>
        <w:spacing w:beforeAutospacing="1" w:after="0" w:afterAutospacing="1" w:line="240" w:lineRule="auto"/>
        <w:textAlignment w:val="baseline"/>
        <w:rPr>
          <w:rFonts w:ascii="Times New Roman" w:eastAsia="Times New Roman" w:hAnsi="Times New Roman" w:cs="Times New Roman"/>
          <w:color w:val="333333"/>
          <w:sz w:val="24"/>
          <w:szCs w:val="24"/>
        </w:rPr>
      </w:pPr>
      <w:r w:rsidRPr="001919C0">
        <w:rPr>
          <w:rFonts w:ascii="Times New Roman" w:eastAsia="Times New Roman" w:hAnsi="Times New Roman" w:cs="Times New Roman"/>
          <w:color w:val="333333"/>
          <w:sz w:val="24"/>
          <w:szCs w:val="24"/>
        </w:rPr>
        <w:t>View a timeline of selected seismic legislation: </w:t>
      </w:r>
      <w:hyperlink r:id="rId5" w:history="1">
        <w:r w:rsidRPr="001919C0">
          <w:rPr>
            <w:rFonts w:ascii="Times New Roman" w:eastAsia="Times New Roman" w:hAnsi="Times New Roman" w:cs="Times New Roman"/>
            <w:color w:val="046B99"/>
            <w:sz w:val="24"/>
            <w:szCs w:val="24"/>
            <w:u w:val="single"/>
            <w:bdr w:val="none" w:sz="0" w:space="0" w:color="auto" w:frame="1"/>
          </w:rPr>
          <w:t>100 Years of Seismic Safety [pdf]</w:t>
        </w:r>
      </w:hyperlink>
    </w:p>
    <w:p w14:paraId="45572AB0" w14:textId="77777777" w:rsidR="00335BC7" w:rsidRDefault="00335BC7"/>
    <w:sectPr w:rsidR="00335B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9C0"/>
    <w:rsid w:val="00133EA5"/>
    <w:rsid w:val="001919C0"/>
    <w:rsid w:val="001A1520"/>
    <w:rsid w:val="00224BE8"/>
    <w:rsid w:val="00313894"/>
    <w:rsid w:val="00335BC7"/>
    <w:rsid w:val="003617BC"/>
    <w:rsid w:val="00374EC9"/>
    <w:rsid w:val="00417EF2"/>
    <w:rsid w:val="008951D1"/>
    <w:rsid w:val="00C66865"/>
    <w:rsid w:val="00FF6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7B148"/>
  <w15:chartTrackingRefBased/>
  <w15:docId w15:val="{3E5ACF51-A835-466B-890D-B25397FEF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919C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8989607">
      <w:bodyDiv w:val="1"/>
      <w:marLeft w:val="0"/>
      <w:marRight w:val="0"/>
      <w:marTop w:val="0"/>
      <w:marBottom w:val="0"/>
      <w:divBdr>
        <w:top w:val="none" w:sz="0" w:space="0" w:color="auto"/>
        <w:left w:val="none" w:sz="0" w:space="0" w:color="auto"/>
        <w:bottom w:val="none" w:sz="0" w:space="0" w:color="auto"/>
        <w:right w:val="none" w:sz="0" w:space="0" w:color="auto"/>
      </w:divBdr>
      <w:divsChild>
        <w:div w:id="867454217">
          <w:marLeft w:val="0"/>
          <w:marRight w:val="0"/>
          <w:marTop w:val="0"/>
          <w:marBottom w:val="240"/>
          <w:divBdr>
            <w:top w:val="none" w:sz="0" w:space="0" w:color="auto"/>
            <w:left w:val="none" w:sz="0" w:space="0" w:color="auto"/>
            <w:bottom w:val="none" w:sz="0" w:space="0" w:color="auto"/>
            <w:right w:val="none" w:sz="0" w:space="0" w:color="auto"/>
          </w:divBdr>
        </w:div>
        <w:div w:id="1637837620">
          <w:marLeft w:val="0"/>
          <w:marRight w:val="0"/>
          <w:marTop w:val="0"/>
          <w:marBottom w:val="240"/>
          <w:divBdr>
            <w:top w:val="none" w:sz="0" w:space="0" w:color="auto"/>
            <w:left w:val="none" w:sz="0" w:space="0" w:color="auto"/>
            <w:bottom w:val="none" w:sz="0" w:space="0" w:color="auto"/>
            <w:right w:val="none" w:sz="0" w:space="0" w:color="auto"/>
          </w:divBdr>
        </w:div>
        <w:div w:id="1473131531">
          <w:marLeft w:val="0"/>
          <w:marRight w:val="0"/>
          <w:marTop w:val="0"/>
          <w:marBottom w:val="240"/>
          <w:divBdr>
            <w:top w:val="none" w:sz="0" w:space="0" w:color="auto"/>
            <w:left w:val="none" w:sz="0" w:space="0" w:color="auto"/>
            <w:bottom w:val="none" w:sz="0" w:space="0" w:color="auto"/>
            <w:right w:val="none" w:sz="0" w:space="0" w:color="auto"/>
          </w:divBdr>
        </w:div>
        <w:div w:id="303201071">
          <w:marLeft w:val="0"/>
          <w:marRight w:val="0"/>
          <w:marTop w:val="0"/>
          <w:marBottom w:val="240"/>
          <w:divBdr>
            <w:top w:val="none" w:sz="0" w:space="0" w:color="auto"/>
            <w:left w:val="none" w:sz="0" w:space="0" w:color="auto"/>
            <w:bottom w:val="none" w:sz="0" w:space="0" w:color="auto"/>
            <w:right w:val="none" w:sz="0" w:space="0" w:color="auto"/>
          </w:divBdr>
        </w:div>
        <w:div w:id="1763837486">
          <w:marLeft w:val="0"/>
          <w:marRight w:val="0"/>
          <w:marTop w:val="0"/>
          <w:marBottom w:val="240"/>
          <w:divBdr>
            <w:top w:val="none" w:sz="0" w:space="0" w:color="auto"/>
            <w:left w:val="none" w:sz="0" w:space="0" w:color="auto"/>
            <w:bottom w:val="none" w:sz="0" w:space="0" w:color="auto"/>
            <w:right w:val="none" w:sz="0" w:space="0" w:color="auto"/>
          </w:divBdr>
        </w:div>
      </w:divsChild>
    </w:div>
    <w:div w:id="1296524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sc.ca.gov/wp-content/uploads/sites/9/2020/08/100_years_seismic_safety.pdf" TargetMode="External"/><Relationship Id="rId4" Type="http://schemas.openxmlformats.org/officeDocument/2006/relationships/hyperlink" Target="https://ssc.ca.gov/abou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313</Words>
  <Characters>1789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Valencia, Salina@CalOES</dc:creator>
  <cp:keywords/>
  <dc:description/>
  <cp:lastModifiedBy>Orille, Mike@CalOES</cp:lastModifiedBy>
  <cp:revision>2</cp:revision>
  <cp:lastPrinted>2022-01-25T19:21:00Z</cp:lastPrinted>
  <dcterms:created xsi:type="dcterms:W3CDTF">2022-01-25T19:28:00Z</dcterms:created>
  <dcterms:modified xsi:type="dcterms:W3CDTF">2022-01-25T19:28:00Z</dcterms:modified>
</cp:coreProperties>
</file>