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6F334" w14:textId="41BD0465" w:rsidR="009A007D" w:rsidRPr="00281D35" w:rsidRDefault="009A007D" w:rsidP="002F547F">
      <w:pPr>
        <w:spacing w:after="0"/>
        <w:rPr>
          <w:sz w:val="24"/>
          <w:szCs w:val="24"/>
        </w:rPr>
      </w:pPr>
    </w:p>
    <w:p w14:paraId="58424377" w14:textId="3975E626" w:rsidR="002F547F" w:rsidRPr="009A007D" w:rsidRDefault="002F547F" w:rsidP="002F547F">
      <w:pPr>
        <w:spacing w:after="0"/>
        <w:rPr>
          <w:rFonts w:ascii="Century Gothic" w:hAnsi="Century Gothic"/>
          <w:b/>
          <w:bCs/>
          <w:noProof/>
          <w:color w:val="44546A" w:themeColor="text2"/>
          <w:sz w:val="26"/>
          <w:szCs w:val="26"/>
        </w:rPr>
      </w:pPr>
      <w:r w:rsidRPr="00281D35">
        <w:rPr>
          <w:rFonts w:ascii="Century Gothic" w:hAnsi="Century Gothic"/>
          <w:b/>
          <w:noProof/>
          <w:color w:val="44546A" w:themeColor="text2"/>
          <w:sz w:val="28"/>
          <w:szCs w:val="28"/>
        </w:rPr>
        <mc:AlternateContent>
          <mc:Choice Requires="wps">
            <w:drawing>
              <wp:anchor distT="0" distB="0" distL="114300" distR="114300" simplePos="0" relativeHeight="251658246" behindDoc="0" locked="0" layoutInCell="1" allowOverlap="1" wp14:anchorId="0AC3FC6A" wp14:editId="1BB734CB">
                <wp:simplePos x="0" y="0"/>
                <wp:positionH relativeFrom="margin">
                  <wp:posOffset>14767</wp:posOffset>
                </wp:positionH>
                <wp:positionV relativeFrom="paragraph">
                  <wp:posOffset>269240</wp:posOffset>
                </wp:positionV>
                <wp:extent cx="7166344" cy="45719"/>
                <wp:effectExtent l="0" t="0" r="0" b="0"/>
                <wp:wrapNone/>
                <wp:docPr id="221619542" name="Rectangle 6"/>
                <wp:cNvGraphicFramePr/>
                <a:graphic xmlns:a="http://schemas.openxmlformats.org/drawingml/2006/main">
                  <a:graphicData uri="http://schemas.microsoft.com/office/word/2010/wordprocessingShape">
                    <wps:wsp>
                      <wps:cNvSpPr/>
                      <wps:spPr>
                        <a:xfrm>
                          <a:off x="0" y="0"/>
                          <a:ext cx="7166344" cy="45719"/>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49AC4FB6" id="Rectangle 6" o:spid="_x0000_s1026" style="position:absolute;margin-left:1.15pt;margin-top:21.2pt;width:564.3pt;height:3.6pt;z-index:2516602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" fillcolor="#bf8f00 [2407]" stroked="f" strokeweight="1pt">
                <w10:wrap anchorx="margin"/>
              </v:rect>
            </w:pict>
          </mc:Fallback>
        </mc:AlternateContent>
      </w:r>
      <w:r w:rsidRPr="00281D35">
        <w:rPr>
          <w:rFonts w:ascii="Century Gothic" w:hAnsi="Century Gothic"/>
          <w:b/>
          <w:color w:val="44546A" w:themeColor="text2"/>
          <w:sz w:val="28"/>
          <w:szCs w:val="28"/>
        </w:rPr>
        <w:t>INF &amp; NCR BI-MONTHLY MEETING</w:t>
      </w:r>
    </w:p>
    <w:p w14:paraId="61D18989" w14:textId="218738A3" w:rsidR="002F547F" w:rsidRDefault="002F547F" w:rsidP="008A679F">
      <w:pPr>
        <w:spacing w:after="0"/>
        <w:rPr>
          <w:rFonts w:ascii="Century Gothic" w:hAnsi="Century Gothic"/>
          <w:b/>
          <w:bCs/>
          <w:noProof/>
          <w:color w:val="44546A" w:themeColor="text2"/>
          <w:sz w:val="26"/>
          <w:szCs w:val="26"/>
        </w:rPr>
      </w:pPr>
    </w:p>
    <w:p w14:paraId="6C369204" w14:textId="634FB429" w:rsidR="00167647" w:rsidRPr="00281D35" w:rsidRDefault="00167647" w:rsidP="002F547F">
      <w:pPr>
        <w:spacing w:after="0"/>
        <w:rPr>
          <w:rFonts w:ascii="Century Gothic" w:hAnsi="Century Gothic"/>
          <w:b/>
          <w:sz w:val="27"/>
          <w:szCs w:val="27"/>
        </w:rPr>
      </w:pPr>
      <w:r w:rsidRPr="00281D35">
        <w:rPr>
          <w:rFonts w:ascii="Century Gothic" w:hAnsi="Century Gothic"/>
          <w:b/>
          <w:sz w:val="27"/>
          <w:szCs w:val="27"/>
        </w:rPr>
        <w:t>December 11</w:t>
      </w:r>
      <w:r w:rsidR="00E82C91" w:rsidRPr="00281D35">
        <w:rPr>
          <w:rFonts w:ascii="Century Gothic" w:hAnsi="Century Gothic"/>
          <w:b/>
          <w:sz w:val="27"/>
          <w:szCs w:val="27"/>
        </w:rPr>
        <w:t>, 2024</w:t>
      </w:r>
      <w:r w:rsidR="00956B0B">
        <w:rPr>
          <w:rFonts w:ascii="Century Gothic" w:hAnsi="Century Gothic"/>
          <w:b/>
          <w:sz w:val="27"/>
          <w:szCs w:val="27"/>
        </w:rPr>
        <w:t>,</w:t>
      </w:r>
      <w:r w:rsidR="002F547F" w:rsidRPr="00281D35">
        <w:rPr>
          <w:rFonts w:ascii="Century Gothic" w:hAnsi="Century Gothic"/>
          <w:b/>
          <w:sz w:val="27"/>
          <w:szCs w:val="27"/>
        </w:rPr>
        <w:t xml:space="preserve"> </w:t>
      </w:r>
      <w:r w:rsidR="00E82C91" w:rsidRPr="00281D35">
        <w:rPr>
          <w:rFonts w:ascii="Century Gothic" w:hAnsi="Century Gothic"/>
          <w:b/>
          <w:sz w:val="27"/>
          <w:szCs w:val="27"/>
        </w:rPr>
        <w:t xml:space="preserve">2:00-3:00 PM </w:t>
      </w:r>
    </w:p>
    <w:p w14:paraId="17CB4CB4" w14:textId="54625A85" w:rsidR="00DC5773" w:rsidRPr="008D04B3" w:rsidRDefault="00B81F94" w:rsidP="002F547F">
      <w:pPr>
        <w:spacing w:after="0"/>
        <w:rPr>
          <w:rFonts w:ascii="Century Gothic" w:hAnsi="Century Gothic"/>
          <w:sz w:val="25"/>
          <w:szCs w:val="25"/>
        </w:rPr>
      </w:pPr>
      <w:r w:rsidRPr="008D04B3">
        <w:rPr>
          <w:rFonts w:ascii="Century Gothic" w:hAnsi="Century Gothic"/>
          <w:sz w:val="25"/>
          <w:szCs w:val="25"/>
        </w:rPr>
        <w:t xml:space="preserve">Learn about </w:t>
      </w:r>
      <w:r w:rsidR="000646E4" w:rsidRPr="008D04B3">
        <w:rPr>
          <w:rFonts w:ascii="Century Gothic" w:hAnsi="Century Gothic"/>
          <w:sz w:val="25"/>
          <w:szCs w:val="25"/>
        </w:rPr>
        <w:t xml:space="preserve">available recovery </w:t>
      </w:r>
      <w:r w:rsidR="003044C3" w:rsidRPr="008D04B3">
        <w:rPr>
          <w:rFonts w:ascii="Century Gothic" w:hAnsi="Century Gothic"/>
          <w:sz w:val="25"/>
          <w:szCs w:val="25"/>
        </w:rPr>
        <w:t>programs</w:t>
      </w:r>
      <w:r w:rsidR="000646E4" w:rsidRPr="008D04B3">
        <w:rPr>
          <w:rFonts w:ascii="Century Gothic" w:hAnsi="Century Gothic"/>
          <w:sz w:val="25"/>
          <w:szCs w:val="25"/>
        </w:rPr>
        <w:t xml:space="preserve"> &amp; </w:t>
      </w:r>
      <w:r w:rsidR="00AE00D6" w:rsidRPr="008D04B3">
        <w:rPr>
          <w:rFonts w:ascii="Century Gothic" w:hAnsi="Century Gothic"/>
          <w:sz w:val="25"/>
          <w:szCs w:val="25"/>
        </w:rPr>
        <w:t xml:space="preserve">CalOES’ </w:t>
      </w:r>
      <w:r w:rsidR="00787335" w:rsidRPr="008D04B3">
        <w:rPr>
          <w:rFonts w:ascii="Century Gothic" w:hAnsi="Century Gothic"/>
          <w:sz w:val="25"/>
          <w:szCs w:val="25"/>
        </w:rPr>
        <w:t>Watershed Mitigation Team</w:t>
      </w:r>
      <w:r w:rsidR="009A007D" w:rsidRPr="008D04B3">
        <w:rPr>
          <w:rFonts w:ascii="Century Gothic" w:hAnsi="Century Gothic"/>
          <w:sz w:val="25"/>
          <w:szCs w:val="25"/>
        </w:rPr>
        <w:t>!</w:t>
      </w:r>
      <w:r w:rsidR="00AD374E" w:rsidRPr="008D04B3">
        <w:rPr>
          <w:rFonts w:ascii="Century Gothic" w:hAnsi="Century Gothic"/>
          <w:sz w:val="25"/>
          <w:szCs w:val="25"/>
        </w:rPr>
        <w:t xml:space="preserve">      </w:t>
      </w:r>
    </w:p>
    <w:p w14:paraId="2F2D8ACB" w14:textId="77777777" w:rsidR="0031022E" w:rsidRPr="0031022E" w:rsidRDefault="0031022E" w:rsidP="002F547F">
      <w:pPr>
        <w:spacing w:after="0"/>
        <w:rPr>
          <w:rFonts w:ascii="Century Gothic" w:hAnsi="Century Gothic"/>
          <w:noProof/>
          <w:sz w:val="2"/>
          <w:szCs w:val="2"/>
        </w:rPr>
      </w:pPr>
    </w:p>
    <w:p w14:paraId="46819269" w14:textId="016892F2" w:rsidR="00E0057E" w:rsidRDefault="0040640F" w:rsidP="008A679F">
      <w:pPr>
        <w:spacing w:after="0"/>
        <w:rPr>
          <w:noProof/>
        </w:rPr>
      </w:pPr>
      <w:r>
        <w:rPr>
          <w:noProof/>
        </w:rPr>
        <w:drawing>
          <wp:anchor distT="0" distB="0" distL="114300" distR="114300" simplePos="0" relativeHeight="251658245" behindDoc="0" locked="0" layoutInCell="1" allowOverlap="1" wp14:anchorId="770B2D2A" wp14:editId="15FF29E8">
            <wp:simplePos x="0" y="0"/>
            <wp:positionH relativeFrom="page">
              <wp:align>right</wp:align>
            </wp:positionH>
            <wp:positionV relativeFrom="page">
              <wp:align>top</wp:align>
            </wp:positionV>
            <wp:extent cx="7762875" cy="1924050"/>
            <wp:effectExtent l="0" t="0" r="9525" b="0"/>
            <wp:wrapTopAndBottom/>
            <wp:docPr id="3527245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287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B41D1C" w14:textId="3795CBE4" w:rsidR="0040640F" w:rsidRPr="00281D35" w:rsidRDefault="001A233D">
      <w:pPr>
        <w:rPr>
          <w:rFonts w:ascii="Century Gothic" w:hAnsi="Century Gothic"/>
          <w:b/>
          <w:color w:val="44546A" w:themeColor="text2"/>
          <w:sz w:val="28"/>
          <w:szCs w:val="28"/>
        </w:rPr>
      </w:pPr>
      <w:r w:rsidRPr="00281D35">
        <w:rPr>
          <w:rFonts w:ascii="Century Gothic" w:hAnsi="Century Gothic"/>
          <w:b/>
          <w:noProof/>
          <w:color w:val="44546A" w:themeColor="text2"/>
          <w:sz w:val="28"/>
          <w:szCs w:val="28"/>
        </w:rPr>
        <mc:AlternateContent>
          <mc:Choice Requires="wps">
            <w:drawing>
              <wp:anchor distT="0" distB="0" distL="114300" distR="114300" simplePos="0" relativeHeight="251658240" behindDoc="0" locked="0" layoutInCell="1" allowOverlap="1" wp14:anchorId="42FDA453" wp14:editId="6DA3DEE7">
                <wp:simplePos x="0" y="0"/>
                <wp:positionH relativeFrom="margin">
                  <wp:posOffset>14767</wp:posOffset>
                </wp:positionH>
                <wp:positionV relativeFrom="paragraph">
                  <wp:posOffset>269240</wp:posOffset>
                </wp:positionV>
                <wp:extent cx="7166344" cy="45719"/>
                <wp:effectExtent l="0" t="0" r="0" b="0"/>
                <wp:wrapNone/>
                <wp:docPr id="1051159754" name="Rectangle 6"/>
                <wp:cNvGraphicFramePr/>
                <a:graphic xmlns:a="http://schemas.openxmlformats.org/drawingml/2006/main">
                  <a:graphicData uri="http://schemas.microsoft.com/office/word/2010/wordprocessingShape">
                    <wps:wsp>
                      <wps:cNvSpPr/>
                      <wps:spPr>
                        <a:xfrm>
                          <a:off x="0" y="0"/>
                          <a:ext cx="7166344" cy="45719"/>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2048BFAF" id="Rectangle 6" o:spid="_x0000_s1026" style="position:absolute;margin-left:1.15pt;margin-top:21.2pt;width:564.3pt;height:3.6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" fillcolor="#bf8f00 [2407]" stroked="f" strokeweight="1pt">
                <w10:wrap anchorx="margin"/>
              </v:rect>
            </w:pict>
          </mc:Fallback>
        </mc:AlternateContent>
      </w:r>
      <w:r w:rsidR="006035A7" w:rsidRPr="00281D35">
        <w:rPr>
          <w:rFonts w:ascii="Century Gothic" w:hAnsi="Century Gothic"/>
          <w:b/>
          <w:color w:val="44546A" w:themeColor="text2"/>
          <w:sz w:val="28"/>
          <w:szCs w:val="28"/>
        </w:rPr>
        <w:t>INFORMATION FROM CAL OES RECOVERY SUPPORT FUNCTIONS</w:t>
      </w:r>
    </w:p>
    <w:p w14:paraId="6086DB59" w14:textId="77777777" w:rsidR="00281D35" w:rsidRPr="00281D35" w:rsidRDefault="00281D35" w:rsidP="00281D35">
      <w:pPr>
        <w:pStyle w:val="ListParagraph"/>
        <w:keepNext/>
        <w:pBdr>
          <w:bottom w:val="single" w:sz="4" w:space="1" w:color="FFFFFF"/>
        </w:pBdr>
        <w:spacing w:after="0" w:line="240" w:lineRule="auto"/>
        <w:ind w:left="360"/>
        <w:jc w:val="both"/>
        <w:rPr>
          <w:rFonts w:ascii="Century Gothic" w:hAnsi="Century Gothic"/>
          <w:color w:val="701423"/>
          <w:sz w:val="4"/>
          <w:szCs w:val="4"/>
          <w:lang w:val="en-GB"/>
        </w:rPr>
      </w:pPr>
    </w:p>
    <w:p w14:paraId="75567A0B" w14:textId="484281A9" w:rsidR="0040640F" w:rsidRPr="005D3686" w:rsidRDefault="002F1847" w:rsidP="005D3686">
      <w:pPr>
        <w:pStyle w:val="ListParagraph"/>
        <w:keepNext/>
        <w:numPr>
          <w:ilvl w:val="0"/>
          <w:numId w:val="6"/>
        </w:numPr>
        <w:pBdr>
          <w:bottom w:val="single" w:sz="4" w:space="1" w:color="FFFFFF"/>
        </w:pBdr>
        <w:spacing w:after="0" w:line="240" w:lineRule="auto"/>
        <w:jc w:val="both"/>
        <w:rPr>
          <w:rFonts w:ascii="Century Gothic" w:hAnsi="Century Gothic"/>
          <w:color w:val="701423"/>
          <w:sz w:val="24"/>
          <w:szCs w:val="24"/>
          <w:lang w:val="en-GB"/>
        </w:rPr>
      </w:pPr>
      <w:hyperlink r:id="rId10" w:history="1">
        <w:r w:rsidR="0040640F" w:rsidRPr="004D632D">
          <w:rPr>
            <w:rFonts w:ascii="Century Gothic" w:eastAsiaTheme="minorEastAsia" w:hAnsi="Century Gothic"/>
            <w:color w:val="0000FF"/>
            <w:sz w:val="24"/>
            <w:szCs w:val="24"/>
            <w:u w:val="single"/>
          </w:rPr>
          <w:t>Cal OES RSF Quick Start: Guidance for the Development of County/Municipal Recovery Support Functions</w:t>
        </w:r>
      </w:hyperlink>
      <w:r w:rsidR="005D3686">
        <w:rPr>
          <w:rFonts w:ascii="Century Gothic" w:hAnsi="Century Gothic"/>
          <w:color w:val="701423"/>
          <w:sz w:val="24"/>
          <w:szCs w:val="24"/>
          <w:lang w:val="en-GB"/>
        </w:rPr>
        <w:t xml:space="preserve"> </w:t>
      </w:r>
      <w:r w:rsidR="005D3686">
        <w:rPr>
          <w:rFonts w:ascii="Century Gothic" w:hAnsi="Century Gothic"/>
          <w:sz w:val="24"/>
          <w:szCs w:val="24"/>
          <w:lang w:val="en-GB"/>
        </w:rPr>
        <w:t>p</w:t>
      </w:r>
      <w:r w:rsidR="0040640F" w:rsidRPr="005D3686">
        <w:rPr>
          <w:rFonts w:ascii="Century Gothic" w:hAnsi="Century Gothic"/>
          <w:sz w:val="24"/>
          <w:szCs w:val="24"/>
          <w:lang w:val="en-GB"/>
        </w:rPr>
        <w:t>rovide</w:t>
      </w:r>
      <w:r w:rsidR="005756EF" w:rsidRPr="005D3686">
        <w:rPr>
          <w:rFonts w:ascii="Century Gothic" w:hAnsi="Century Gothic"/>
          <w:sz w:val="24"/>
          <w:szCs w:val="24"/>
          <w:lang w:val="en-GB"/>
        </w:rPr>
        <w:t>s</w:t>
      </w:r>
      <w:r w:rsidR="0040640F" w:rsidRPr="005D3686">
        <w:rPr>
          <w:rFonts w:ascii="Century Gothic" w:hAnsi="Century Gothic"/>
          <w:sz w:val="24"/>
          <w:szCs w:val="24"/>
          <w:lang w:val="en-GB"/>
        </w:rPr>
        <w:t xml:space="preserve"> emergency managers with a starting place to assemble RSF working groups within municipalities and counties. Reference the guide for recommended public, private, and nonprofit working group partners</w:t>
      </w:r>
      <w:r w:rsidR="0040640F" w:rsidRPr="005D3686">
        <w:rPr>
          <w:rFonts w:ascii="Century Gothic" w:hAnsi="Century Gothic"/>
          <w:sz w:val="24"/>
          <w:szCs w:val="24"/>
        </w:rPr>
        <w:t xml:space="preserve">; </w:t>
      </w:r>
      <w:r w:rsidR="00DF68E0" w:rsidRPr="005D3686">
        <w:rPr>
          <w:rFonts w:ascii="Century Gothic" w:hAnsi="Century Gothic"/>
          <w:sz w:val="24"/>
          <w:szCs w:val="24"/>
          <w:lang w:val="en-GB"/>
        </w:rPr>
        <w:t>federally</w:t>
      </w:r>
      <w:r w:rsidR="0040640F" w:rsidRPr="005D3686">
        <w:rPr>
          <w:rFonts w:ascii="Century Gothic" w:hAnsi="Century Gothic"/>
          <w:sz w:val="24"/>
          <w:szCs w:val="24"/>
          <w:lang w:val="en-GB"/>
        </w:rPr>
        <w:t xml:space="preserve"> funded, online disaster recovery training;</w:t>
      </w:r>
      <w:r w:rsidR="0040640F" w:rsidRPr="005D3686">
        <w:rPr>
          <w:rFonts w:ascii="Century Gothic" w:hAnsi="Century Gothic"/>
          <w:sz w:val="24"/>
          <w:szCs w:val="24"/>
        </w:rPr>
        <w:t xml:space="preserve"> and </w:t>
      </w:r>
      <w:r w:rsidR="00DF68E0" w:rsidRPr="005D3686">
        <w:rPr>
          <w:rFonts w:ascii="Century Gothic" w:hAnsi="Century Gothic"/>
          <w:sz w:val="24"/>
          <w:szCs w:val="24"/>
          <w:lang w:val="en-GB"/>
        </w:rPr>
        <w:t>written</w:t>
      </w:r>
      <w:r w:rsidR="0040640F" w:rsidRPr="005D3686">
        <w:rPr>
          <w:rFonts w:ascii="Century Gothic" w:hAnsi="Century Gothic"/>
          <w:sz w:val="24"/>
          <w:szCs w:val="24"/>
          <w:lang w:val="en-GB"/>
        </w:rPr>
        <w:t xml:space="preserve"> resources from federal, state, private, and other key partners.</w:t>
      </w:r>
    </w:p>
    <w:p w14:paraId="0BC2F845" w14:textId="77777777" w:rsidR="00474E8E" w:rsidRDefault="00474E8E" w:rsidP="00474E8E">
      <w:pPr>
        <w:pBdr>
          <w:bottom w:val="single" w:sz="4" w:space="1" w:color="FFFFFF"/>
        </w:pBdr>
        <w:spacing w:after="0" w:line="240" w:lineRule="auto"/>
        <w:jc w:val="both"/>
        <w:rPr>
          <w:rFonts w:ascii="Century Gothic" w:hAnsi="Century Gothic"/>
          <w:sz w:val="24"/>
          <w:szCs w:val="24"/>
          <w14:ligatures w14:val="none"/>
        </w:rPr>
      </w:pPr>
    </w:p>
    <w:p w14:paraId="23B6D221" w14:textId="1778125C" w:rsidR="00E43A4B" w:rsidRPr="005D3686" w:rsidRDefault="002F1847" w:rsidP="005D3686">
      <w:pPr>
        <w:pStyle w:val="ListParagraph"/>
        <w:keepNext/>
        <w:numPr>
          <w:ilvl w:val="0"/>
          <w:numId w:val="6"/>
        </w:numPr>
        <w:pBdr>
          <w:bottom w:val="single" w:sz="4" w:space="1" w:color="FFFFFF"/>
        </w:pBdr>
        <w:spacing w:after="0" w:line="240" w:lineRule="auto"/>
        <w:jc w:val="both"/>
        <w:rPr>
          <w:rFonts w:ascii="Century Gothic" w:hAnsi="Century Gothic"/>
          <w:color w:val="701423"/>
          <w:sz w:val="24"/>
          <w:szCs w:val="24"/>
          <w:lang w:val="en-GB"/>
        </w:rPr>
      </w:pPr>
      <w:hyperlink r:id="rId11" w:history="1">
        <w:r w:rsidR="0040640F" w:rsidRPr="004D632D">
          <w:rPr>
            <w:rFonts w:ascii="Century Gothic" w:eastAsiaTheme="minorEastAsia" w:hAnsi="Century Gothic"/>
            <w:color w:val="0000FF"/>
            <w:sz w:val="24"/>
            <w:szCs w:val="24"/>
            <w:u w:val="single"/>
          </w:rPr>
          <w:t>Cal OES Post-Disaster Long-Term Recovery Plan Guide</w:t>
        </w:r>
      </w:hyperlink>
      <w:r w:rsidR="005D3686">
        <w:rPr>
          <w:rFonts w:ascii="Century Gothic" w:hAnsi="Century Gothic"/>
          <w:color w:val="701423"/>
          <w:sz w:val="24"/>
          <w:szCs w:val="24"/>
          <w:lang w:val="en-GB"/>
        </w:rPr>
        <w:t xml:space="preserve"> </w:t>
      </w:r>
      <w:r w:rsidR="0040640F" w:rsidRPr="005D3686">
        <w:rPr>
          <w:rFonts w:ascii="Century Gothic" w:hAnsi="Century Gothic"/>
          <w:color w:val="000000"/>
          <w:sz w:val="24"/>
          <w:szCs w:val="24"/>
          <w:lang w:val="en-GB"/>
        </w:rPr>
        <w:t>contains key recovery planning concepts, tips for community engagement, data sources, examples from existing recovery plans, and a template for organizing recovery projects.</w:t>
      </w:r>
      <w:r w:rsidR="0040640F" w:rsidRPr="005D3686">
        <w:rPr>
          <w:rFonts w:ascii="Century Gothic" w:hAnsi="Century Gothic"/>
          <w:sz w:val="24"/>
          <w:szCs w:val="24"/>
          <w:lang w:val="en-GB"/>
        </w:rPr>
        <w:t xml:space="preserve"> The Guide walks the reader through the key sections of a Post-Disaster Long-Term Recovery Plan, including disaster impacts, community engagement, key data points, recovery projects, and plan implementation. The Guide is full of disaster recovery plan examples, project management tools, and links to additional resources and references. </w:t>
      </w:r>
    </w:p>
    <w:p w14:paraId="6E2A3D16" w14:textId="77777777" w:rsidR="00474E8E" w:rsidRDefault="00474E8E" w:rsidP="00474E8E">
      <w:pPr>
        <w:spacing w:after="0" w:line="240" w:lineRule="auto"/>
        <w:jc w:val="both"/>
        <w:rPr>
          <w:rFonts w:ascii="Century Gothic" w:hAnsi="Century Gothic"/>
          <w:sz w:val="24"/>
          <w:szCs w:val="24"/>
          <w:lang w:val="en-GB"/>
          <w14:ligatures w14:val="none"/>
        </w:rPr>
      </w:pPr>
    </w:p>
    <w:p w14:paraId="28EE2DD7" w14:textId="19CF2AA3" w:rsidR="0040640F" w:rsidRPr="00281D35" w:rsidRDefault="00E43A4B">
      <w:pPr>
        <w:rPr>
          <w:rFonts w:ascii="Century Gothic" w:hAnsi="Century Gothic"/>
          <w:b/>
          <w:color w:val="44546A" w:themeColor="text2"/>
          <w:sz w:val="28"/>
          <w:szCs w:val="28"/>
        </w:rPr>
      </w:pPr>
      <w:r w:rsidRPr="00281D35">
        <w:rPr>
          <w:rFonts w:ascii="Century Gothic" w:hAnsi="Century Gothic"/>
          <w:b/>
          <w:noProof/>
          <w:color w:val="44546A" w:themeColor="text2"/>
          <w:sz w:val="28"/>
          <w:szCs w:val="28"/>
        </w:rPr>
        <mc:AlternateContent>
          <mc:Choice Requires="wps">
            <w:drawing>
              <wp:anchor distT="0" distB="0" distL="114300" distR="114300" simplePos="0" relativeHeight="251658241" behindDoc="0" locked="0" layoutInCell="1" allowOverlap="1" wp14:anchorId="00128D05" wp14:editId="62B8ACAA">
                <wp:simplePos x="0" y="0"/>
                <wp:positionH relativeFrom="margin">
                  <wp:posOffset>14767</wp:posOffset>
                </wp:positionH>
                <wp:positionV relativeFrom="paragraph">
                  <wp:posOffset>269240</wp:posOffset>
                </wp:positionV>
                <wp:extent cx="7166344" cy="45719"/>
                <wp:effectExtent l="0" t="0" r="0" b="0"/>
                <wp:wrapNone/>
                <wp:docPr id="1154104108" name="Rectangle 6"/>
                <wp:cNvGraphicFramePr/>
                <a:graphic xmlns:a="http://schemas.openxmlformats.org/drawingml/2006/main">
                  <a:graphicData uri="http://schemas.microsoft.com/office/word/2010/wordprocessingShape">
                    <wps:wsp>
                      <wps:cNvSpPr/>
                      <wps:spPr>
                        <a:xfrm>
                          <a:off x="0" y="0"/>
                          <a:ext cx="7166344" cy="45719"/>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40CD78D7" id="Rectangle 6" o:spid="_x0000_s1026" style="position:absolute;margin-left:1.15pt;margin-top:21.2pt;width:564.3pt;height:3.6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" fillcolor="#bf8f00 [2407]" stroked="f" strokeweight="1pt">
                <w10:wrap anchorx="margin"/>
              </v:rect>
            </w:pict>
          </mc:Fallback>
        </mc:AlternateContent>
      </w:r>
      <w:r w:rsidRPr="00281D35">
        <w:rPr>
          <w:rFonts w:ascii="Century Gothic" w:hAnsi="Century Gothic"/>
          <w:b/>
          <w:color w:val="44546A" w:themeColor="text2"/>
          <w:sz w:val="28"/>
          <w:szCs w:val="28"/>
        </w:rPr>
        <w:t>FUNDING OPPORTUNITIES</w:t>
      </w:r>
    </w:p>
    <w:p w14:paraId="41128BF7" w14:textId="10EE08CE" w:rsidR="00281D35" w:rsidRPr="00281D35" w:rsidRDefault="00281D35" w:rsidP="00281D35">
      <w:pPr>
        <w:pStyle w:val="ListParagraph"/>
        <w:spacing w:after="0" w:line="240" w:lineRule="auto"/>
        <w:ind w:left="360"/>
        <w:jc w:val="both"/>
        <w:rPr>
          <w:rFonts w:ascii="Century Gothic" w:eastAsia="Century Gothic" w:hAnsi="Century Gothic" w:cs="Century Gothic"/>
          <w:sz w:val="4"/>
          <w:szCs w:val="4"/>
        </w:rPr>
      </w:pPr>
    </w:p>
    <w:p w14:paraId="3FE82DFC" w14:textId="16D26C08" w:rsidR="002B2195" w:rsidRPr="002B2195" w:rsidRDefault="002B2195" w:rsidP="009245BA">
      <w:pPr>
        <w:pStyle w:val="ListParagraph"/>
        <w:numPr>
          <w:ilvl w:val="0"/>
          <w:numId w:val="4"/>
        </w:numPr>
        <w:spacing w:after="0" w:line="240" w:lineRule="auto"/>
        <w:jc w:val="both"/>
        <w:rPr>
          <w:rFonts w:ascii="Century Gothic" w:eastAsia="Century Gothic" w:hAnsi="Century Gothic" w:cs="Century Gothic"/>
          <w:sz w:val="24"/>
          <w:szCs w:val="24"/>
        </w:rPr>
      </w:pPr>
      <w:r w:rsidRPr="00E514BF">
        <w:rPr>
          <w:rFonts w:ascii="Century Gothic" w:eastAsia="Times New Roman" w:hAnsi="Century Gothic" w:cstheme="minorHAnsi"/>
          <w:color w:val="403F42"/>
          <w:sz w:val="24"/>
          <w:szCs w:val="24"/>
        </w:rPr>
        <w:t xml:space="preserve">The </w:t>
      </w:r>
      <w:r w:rsidRPr="00E514BF">
        <w:rPr>
          <w:rStyle w:val="Hyperlink"/>
          <w:rFonts w:ascii="Century Gothic" w:eastAsia="Times New Roman" w:hAnsi="Century Gothic"/>
          <w:color w:val="auto"/>
          <w:sz w:val="24"/>
          <w:szCs w:val="24"/>
          <w:u w:val="none"/>
        </w:rPr>
        <w:t xml:space="preserve">US Environmental Protection Agency (EPA) </w:t>
      </w:r>
      <w:r w:rsidRPr="002B2195">
        <w:rPr>
          <w:rFonts w:ascii="Century Gothic" w:eastAsia="Century Gothic" w:hAnsi="Century Gothic" w:cs="Century Gothic"/>
          <w:sz w:val="24"/>
          <w:szCs w:val="24"/>
        </w:rPr>
        <w:t>announced $276 million in available funding for California water infrastructure projects.</w:t>
      </w:r>
      <w:r w:rsidR="00476BCC" w:rsidRPr="00476BCC">
        <w:t xml:space="preserve"> </w:t>
      </w:r>
      <w:r w:rsidR="00476BCC" w:rsidRPr="00476BCC">
        <w:rPr>
          <w:rFonts w:ascii="Century Gothic" w:eastAsia="Century Gothic" w:hAnsi="Century Gothic" w:cs="Century Gothic"/>
          <w:sz w:val="24"/>
          <w:szCs w:val="24"/>
        </w:rPr>
        <w:t xml:space="preserve">The funding will be available through </w:t>
      </w:r>
      <w:r w:rsidR="0071182A">
        <w:rPr>
          <w:rFonts w:ascii="Century Gothic" w:eastAsia="Century Gothic" w:hAnsi="Century Gothic" w:cs="Century Gothic"/>
          <w:sz w:val="24"/>
          <w:szCs w:val="24"/>
        </w:rPr>
        <w:t xml:space="preserve">California’s </w:t>
      </w:r>
      <w:hyperlink r:id="rId12" w:history="1">
        <w:r w:rsidR="00476BCC" w:rsidRPr="0071182A">
          <w:rPr>
            <w:rStyle w:val="Hyperlink"/>
            <w:rFonts w:ascii="Century Gothic" w:eastAsia="Century Gothic" w:hAnsi="Century Gothic" w:cs="Century Gothic"/>
            <w:color w:val="0000FF"/>
            <w:sz w:val="24"/>
            <w:szCs w:val="24"/>
          </w:rPr>
          <w:t>Clean Water State Revolving Fund (CWSRF)</w:t>
        </w:r>
      </w:hyperlink>
      <w:r w:rsidR="00476BCC" w:rsidRPr="00476BCC">
        <w:rPr>
          <w:rFonts w:ascii="Century Gothic" w:eastAsia="Century Gothic" w:hAnsi="Century Gothic" w:cs="Century Gothic"/>
          <w:sz w:val="24"/>
          <w:szCs w:val="24"/>
        </w:rPr>
        <w:t xml:space="preserve"> and </w:t>
      </w:r>
      <w:hyperlink r:id="rId13" w:history="1">
        <w:r w:rsidR="00476BCC" w:rsidRPr="0071182A">
          <w:rPr>
            <w:rStyle w:val="Hyperlink"/>
            <w:rFonts w:ascii="Century Gothic" w:eastAsia="Century Gothic" w:hAnsi="Century Gothic" w:cs="Century Gothic"/>
            <w:color w:val="0000FF"/>
            <w:sz w:val="24"/>
            <w:szCs w:val="24"/>
          </w:rPr>
          <w:t>Drinking Water State Revolving Fund (DWSRF).</w:t>
        </w:r>
      </w:hyperlink>
      <w:r w:rsidR="00476BCC" w:rsidRPr="00476BCC">
        <w:rPr>
          <w:rFonts w:ascii="Century Gothic" w:eastAsia="Century Gothic" w:hAnsi="Century Gothic" w:cs="Century Gothic"/>
          <w:sz w:val="24"/>
          <w:szCs w:val="24"/>
        </w:rPr>
        <w:t xml:space="preserve"> The revolving funds generally operate by providing low interest loans and a variety of other services.</w:t>
      </w:r>
    </w:p>
    <w:p w14:paraId="2A760062" w14:textId="216C8E03" w:rsidR="00006463" w:rsidRPr="0014663F" w:rsidRDefault="00FD7709" w:rsidP="0014663F">
      <w:pPr>
        <w:pStyle w:val="ListParagraph"/>
        <w:numPr>
          <w:ilvl w:val="1"/>
          <w:numId w:val="4"/>
        </w:numPr>
        <w:spacing w:after="0" w:line="240" w:lineRule="auto"/>
        <w:jc w:val="both"/>
        <w:rPr>
          <w:rFonts w:ascii="Century Gothic" w:eastAsia="Century Gothic" w:hAnsi="Century Gothic" w:cs="Century Gothic"/>
          <w:b/>
          <w:sz w:val="24"/>
          <w:szCs w:val="24"/>
        </w:rPr>
      </w:pPr>
      <w:r w:rsidRPr="00570C47">
        <w:rPr>
          <w:rFonts w:ascii="Century Gothic" w:eastAsia="Times New Roman" w:hAnsi="Century Gothic" w:cstheme="minorHAnsi"/>
          <w:b/>
          <w:sz w:val="24"/>
          <w:szCs w:val="24"/>
        </w:rPr>
        <w:t>Available until funding runs out</w:t>
      </w:r>
    </w:p>
    <w:p w14:paraId="3CE01BD3" w14:textId="77777777" w:rsidR="0014663F" w:rsidRPr="0014663F" w:rsidRDefault="0014663F" w:rsidP="00570C47">
      <w:pPr>
        <w:spacing w:after="0" w:line="240" w:lineRule="auto"/>
        <w:jc w:val="both"/>
        <w:rPr>
          <w:rFonts w:ascii="Century Gothic" w:eastAsia="Century Gothic" w:hAnsi="Century Gothic" w:cs="Century Gothic"/>
          <w:b/>
          <w:bCs/>
          <w:sz w:val="24"/>
          <w:szCs w:val="24"/>
        </w:rPr>
      </w:pPr>
    </w:p>
    <w:p w14:paraId="0BF9888C" w14:textId="769A9949" w:rsidR="00006463" w:rsidRPr="00570C47" w:rsidRDefault="00006463" w:rsidP="00006463">
      <w:pPr>
        <w:pStyle w:val="ListParagraph"/>
        <w:numPr>
          <w:ilvl w:val="0"/>
          <w:numId w:val="4"/>
        </w:numPr>
        <w:spacing w:after="0" w:line="240" w:lineRule="auto"/>
        <w:jc w:val="both"/>
        <w:rPr>
          <w:rFonts w:ascii="Century Gothic" w:hAnsi="Century Gothic" w:cs="Helvetica"/>
          <w:sz w:val="24"/>
          <w:szCs w:val="24"/>
          <w:shd w:val="clear" w:color="auto" w:fill="FFFFFF"/>
        </w:rPr>
      </w:pPr>
      <w:r w:rsidRPr="00E514BF">
        <w:rPr>
          <w:rFonts w:ascii="Century Gothic" w:hAnsi="Century Gothic"/>
          <w:sz w:val="24"/>
          <w:szCs w:val="24"/>
        </w:rPr>
        <w:t xml:space="preserve">EPA’s </w:t>
      </w:r>
      <w:hyperlink r:id="rId14" w:history="1">
        <w:r w:rsidRPr="004D632D">
          <w:rPr>
            <w:rFonts w:ascii="Century Gothic" w:eastAsiaTheme="minorEastAsia" w:hAnsi="Century Gothic"/>
            <w:color w:val="0000FF"/>
            <w:sz w:val="24"/>
            <w:szCs w:val="24"/>
            <w:u w:val="single"/>
          </w:rPr>
          <w:t>Water Infrastructure Finance and Innovation Act (WIFIA)</w:t>
        </w:r>
      </w:hyperlink>
      <w:r w:rsidRPr="00E514BF">
        <w:rPr>
          <w:rFonts w:ascii="Century Gothic" w:hAnsi="Century Gothic"/>
          <w:color w:val="373D3E"/>
          <w:sz w:val="24"/>
          <w:szCs w:val="24"/>
          <w:shd w:val="clear" w:color="auto" w:fill="FFFEFD"/>
        </w:rPr>
        <w:t xml:space="preserve"> </w:t>
      </w:r>
      <w:r w:rsidRPr="00570C47">
        <w:rPr>
          <w:rFonts w:ascii="Century Gothic" w:hAnsi="Century Gothic"/>
          <w:sz w:val="24"/>
          <w:szCs w:val="24"/>
          <w:shd w:val="clear" w:color="auto" w:fill="FFFEFD"/>
        </w:rPr>
        <w:t>program accelerates investment in our nation’s water infrastructure by providing long-term, low-cost supplemental loans for regionally and nationally significant projects</w:t>
      </w:r>
      <w:r w:rsidRPr="00570C47">
        <w:rPr>
          <w:rFonts w:ascii="Century Gothic" w:hAnsi="Century Gothic" w:cs="Helvetica"/>
          <w:sz w:val="24"/>
          <w:szCs w:val="24"/>
          <w:shd w:val="clear" w:color="auto" w:fill="FFFFFF"/>
        </w:rPr>
        <w:t xml:space="preserve">. </w:t>
      </w:r>
    </w:p>
    <w:p w14:paraId="7EF80745" w14:textId="49D537F2" w:rsidR="00006463" w:rsidRPr="00570C47" w:rsidRDefault="00006463" w:rsidP="00006463">
      <w:pPr>
        <w:pStyle w:val="ListParagraph"/>
        <w:numPr>
          <w:ilvl w:val="1"/>
          <w:numId w:val="4"/>
        </w:numPr>
        <w:spacing w:after="0" w:line="240" w:lineRule="auto"/>
        <w:jc w:val="both"/>
        <w:rPr>
          <w:rFonts w:ascii="Century Gothic" w:hAnsi="Century Gothic"/>
          <w:b/>
          <w:sz w:val="24"/>
          <w:szCs w:val="24"/>
        </w:rPr>
      </w:pPr>
      <w:r w:rsidRPr="00570C47">
        <w:rPr>
          <w:rFonts w:ascii="Century Gothic" w:hAnsi="Century Gothic"/>
          <w:b/>
          <w:sz w:val="24"/>
          <w:szCs w:val="24"/>
        </w:rPr>
        <w:t xml:space="preserve">Open Year Round </w:t>
      </w:r>
    </w:p>
    <w:p w14:paraId="13F9E63E" w14:textId="77777777" w:rsidR="00006463" w:rsidRPr="00006463" w:rsidRDefault="00006463" w:rsidP="00006463">
      <w:pPr>
        <w:spacing w:after="0" w:line="240" w:lineRule="auto"/>
        <w:jc w:val="both"/>
        <w:rPr>
          <w:rFonts w:ascii="Century Gothic" w:eastAsia="Century Gothic" w:hAnsi="Century Gothic" w:cs="Century Gothic"/>
          <w:sz w:val="24"/>
          <w:szCs w:val="24"/>
        </w:rPr>
      </w:pPr>
    </w:p>
    <w:p w14:paraId="39142823" w14:textId="055542F7" w:rsidR="00084EAD" w:rsidRPr="00E514BF" w:rsidRDefault="00084EAD" w:rsidP="00EB0DA3">
      <w:pPr>
        <w:pStyle w:val="ListParagraph"/>
        <w:numPr>
          <w:ilvl w:val="0"/>
          <w:numId w:val="4"/>
        </w:numPr>
        <w:spacing w:after="0" w:line="240" w:lineRule="auto"/>
        <w:jc w:val="both"/>
        <w:rPr>
          <w:rFonts w:ascii="Century Gothic" w:eastAsia="Century Gothic" w:hAnsi="Century Gothic" w:cs="Century Gothic"/>
          <w:sz w:val="24"/>
          <w:szCs w:val="24"/>
        </w:rPr>
      </w:pPr>
      <w:r w:rsidRPr="00570C47">
        <w:rPr>
          <w:rFonts w:ascii="Century Gothic" w:eastAsia="Times New Roman" w:hAnsi="Century Gothic"/>
          <w:sz w:val="24"/>
          <w:szCs w:val="24"/>
        </w:rPr>
        <w:t xml:space="preserve">The </w:t>
      </w:r>
      <w:hyperlink r:id="rId15" w:history="1">
        <w:r w:rsidRPr="000003FD">
          <w:rPr>
            <w:rStyle w:val="Hyperlink"/>
            <w:rFonts w:ascii="Century Gothic" w:eastAsiaTheme="minorEastAsia" w:hAnsi="Century Gothic"/>
            <w:color w:val="0000FF"/>
            <w:sz w:val="24"/>
            <w:szCs w:val="24"/>
          </w:rPr>
          <w:t>2025 Cooperative Endangered Species Conservation Fund: HCP Land Acquisition</w:t>
        </w:r>
      </w:hyperlink>
      <w:r w:rsidRPr="00E514BF">
        <w:rPr>
          <w:rFonts w:ascii="Century Gothic" w:eastAsia="Century Gothic" w:hAnsi="Century Gothic" w:cs="Century Gothic"/>
          <w:sz w:val="24"/>
          <w:szCs w:val="24"/>
        </w:rPr>
        <w:t xml:space="preserve"> funds </w:t>
      </w:r>
      <w:r w:rsidRPr="00570C47">
        <w:rPr>
          <w:rFonts w:ascii="Century Gothic" w:eastAsiaTheme="minorEastAsia" w:hAnsi="Century Gothic"/>
          <w:sz w:val="24"/>
          <w:szCs w:val="24"/>
        </w:rPr>
        <w:t>land acquisition projects that will conserve species habitat in perpetuity to promote species recovery, prevent extinction, and preclude the need to list species under the ESA in the future.</w:t>
      </w:r>
    </w:p>
    <w:p w14:paraId="5554A2CD" w14:textId="77AC8A99" w:rsidR="00084EAD" w:rsidRPr="00E450E3" w:rsidRDefault="00084EAD" w:rsidP="00EB0DA3">
      <w:pPr>
        <w:numPr>
          <w:ilvl w:val="1"/>
          <w:numId w:val="4"/>
        </w:numPr>
        <w:spacing w:after="0" w:line="240" w:lineRule="auto"/>
        <w:jc w:val="both"/>
        <w:rPr>
          <w:rFonts w:ascii="Century Gothic" w:eastAsia="Century Gothic" w:hAnsi="Century Gothic" w:cs="Century Gothic"/>
          <w:sz w:val="24"/>
          <w:szCs w:val="24"/>
        </w:rPr>
      </w:pPr>
      <w:r w:rsidRPr="00570C47">
        <w:rPr>
          <w:rFonts w:ascii="Century Gothic" w:eastAsiaTheme="minorEastAsia" w:hAnsi="Century Gothic"/>
          <w:sz w:val="24"/>
          <w:szCs w:val="24"/>
        </w:rPr>
        <w:t xml:space="preserve">Applications due </w:t>
      </w:r>
      <w:r w:rsidRPr="00570C47">
        <w:rPr>
          <w:rFonts w:ascii="Century Gothic" w:eastAsiaTheme="minorEastAsia" w:hAnsi="Century Gothic"/>
          <w:b/>
          <w:sz w:val="24"/>
          <w:szCs w:val="24"/>
        </w:rPr>
        <w:t>November 13, 2025</w:t>
      </w:r>
    </w:p>
    <w:p w14:paraId="3EBA9D00" w14:textId="37F197E3" w:rsidR="00E450E3" w:rsidRPr="0071089F" w:rsidRDefault="00E450E3" w:rsidP="00EB0DA3">
      <w:pPr>
        <w:spacing w:after="0" w:line="240" w:lineRule="auto"/>
        <w:jc w:val="both"/>
        <w:rPr>
          <w:rFonts w:ascii="Century Gothic" w:eastAsia="Century Gothic" w:hAnsi="Century Gothic" w:cs="Century Gothic"/>
          <w:sz w:val="24"/>
          <w:szCs w:val="24"/>
        </w:rPr>
      </w:pPr>
    </w:p>
    <w:p w14:paraId="2AF67561" w14:textId="5DAA4881" w:rsidR="00084EAD" w:rsidRPr="00570C47" w:rsidRDefault="00084EAD" w:rsidP="009245BA">
      <w:pPr>
        <w:pStyle w:val="ListParagraph"/>
        <w:numPr>
          <w:ilvl w:val="0"/>
          <w:numId w:val="4"/>
        </w:numPr>
        <w:spacing w:after="0" w:line="240" w:lineRule="auto"/>
        <w:jc w:val="both"/>
        <w:rPr>
          <w:rFonts w:ascii="Century Gothic" w:eastAsia="Times New Roman" w:hAnsi="Century Gothic" w:cstheme="minorHAnsi"/>
          <w:sz w:val="24"/>
          <w:szCs w:val="24"/>
        </w:rPr>
      </w:pPr>
      <w:r w:rsidRPr="00570C47">
        <w:rPr>
          <w:rFonts w:ascii="Century Gothic" w:eastAsia="Times New Roman" w:hAnsi="Century Gothic" w:cstheme="minorHAnsi"/>
          <w:sz w:val="24"/>
          <w:szCs w:val="24"/>
        </w:rPr>
        <w:lastRenderedPageBreak/>
        <w:t xml:space="preserve">The </w:t>
      </w:r>
      <w:r w:rsidR="002B2195">
        <w:rPr>
          <w:rStyle w:val="Hyperlink"/>
          <w:rFonts w:ascii="Century Gothic" w:eastAsia="Times New Roman" w:hAnsi="Century Gothic"/>
          <w:color w:val="auto"/>
          <w:sz w:val="24"/>
          <w:szCs w:val="24"/>
          <w:u w:val="none"/>
        </w:rPr>
        <w:t>EPA’s</w:t>
      </w:r>
      <w:r w:rsidR="002B432E" w:rsidRPr="00E514BF">
        <w:rPr>
          <w:rStyle w:val="Hyperlink"/>
          <w:rFonts w:ascii="Century Gothic" w:eastAsia="Times New Roman" w:hAnsi="Century Gothic"/>
          <w:color w:val="auto"/>
          <w:sz w:val="24"/>
          <w:szCs w:val="24"/>
          <w:u w:val="none"/>
        </w:rPr>
        <w:t xml:space="preserve"> </w:t>
      </w:r>
      <w:r w:rsidRPr="00570C47">
        <w:rPr>
          <w:rFonts w:ascii="Century Gothic" w:eastAsia="Times New Roman" w:hAnsi="Century Gothic" w:cstheme="minorHAnsi"/>
          <w:sz w:val="24"/>
          <w:szCs w:val="24"/>
        </w:rPr>
        <w:t xml:space="preserve">2025 Brownfields </w:t>
      </w:r>
      <w:hyperlink r:id="rId16" w:anchor=":~:text=Grants%20offered%20by%20the%20Brownfields%20Program%20may%20be%20used%20to" w:history="1">
        <w:r w:rsidRPr="004D632D">
          <w:rPr>
            <w:rFonts w:ascii="Century Gothic" w:eastAsiaTheme="minorEastAsia" w:hAnsi="Century Gothic"/>
            <w:color w:val="0000FF"/>
            <w:sz w:val="24"/>
            <w:szCs w:val="24"/>
            <w:u w:val="single"/>
          </w:rPr>
          <w:t>Multipurpose, Assessment, RLF, and Cleanup (MARC) Grant Application Resources</w:t>
        </w:r>
      </w:hyperlink>
      <w:r w:rsidRPr="00E514BF">
        <w:rPr>
          <w:rFonts w:ascii="Century Gothic" w:eastAsia="Times New Roman" w:hAnsi="Century Gothic" w:cstheme="minorHAnsi"/>
          <w:color w:val="403F42"/>
          <w:sz w:val="24"/>
          <w:szCs w:val="24"/>
        </w:rPr>
        <w:t xml:space="preserve"> </w:t>
      </w:r>
      <w:r w:rsidRPr="00570C47">
        <w:rPr>
          <w:rFonts w:ascii="Century Gothic" w:eastAsia="Times New Roman" w:hAnsi="Century Gothic" w:cstheme="minorHAnsi"/>
          <w:sz w:val="24"/>
          <w:szCs w:val="24"/>
        </w:rPr>
        <w:t>guidelines are now available. Grants offered by the Brownfields Program may be used to address sites contaminated by hazardous substances, pollutants, contaminants, and petroleum. See Technical Assistance section for assistance with applications.</w:t>
      </w:r>
    </w:p>
    <w:p w14:paraId="4C01DB16" w14:textId="7E06149F" w:rsidR="00084EAD" w:rsidRPr="00570C47" w:rsidRDefault="00084EAD" w:rsidP="009245BA">
      <w:pPr>
        <w:numPr>
          <w:ilvl w:val="1"/>
          <w:numId w:val="4"/>
        </w:numPr>
        <w:spacing w:after="0" w:line="240" w:lineRule="auto"/>
        <w:jc w:val="both"/>
        <w:rPr>
          <w:rFonts w:ascii="Century Gothic" w:eastAsia="Times New Roman" w:hAnsi="Century Gothic"/>
          <w:sz w:val="24"/>
          <w:szCs w:val="24"/>
        </w:rPr>
      </w:pPr>
      <w:r w:rsidRPr="00570C47">
        <w:rPr>
          <w:rFonts w:ascii="Century Gothic" w:eastAsia="Times New Roman" w:hAnsi="Century Gothic"/>
          <w:sz w:val="24"/>
          <w:szCs w:val="24"/>
        </w:rPr>
        <w:t xml:space="preserve">Applications due </w:t>
      </w:r>
      <w:r w:rsidRPr="00570C47">
        <w:rPr>
          <w:rFonts w:ascii="Century Gothic" w:eastAsia="Times New Roman" w:hAnsi="Century Gothic"/>
          <w:b/>
          <w:sz w:val="24"/>
          <w:szCs w:val="24"/>
        </w:rPr>
        <w:t>November 14, 2024</w:t>
      </w:r>
    </w:p>
    <w:p w14:paraId="74934DD5" w14:textId="5B0DB423" w:rsidR="00E450E3" w:rsidRPr="0071089F" w:rsidRDefault="00E450E3" w:rsidP="00570C47">
      <w:pPr>
        <w:spacing w:after="0" w:line="240" w:lineRule="auto"/>
        <w:jc w:val="both"/>
        <w:rPr>
          <w:rFonts w:ascii="Century Gothic" w:eastAsia="Times New Roman" w:hAnsi="Century Gothic"/>
          <w:color w:val="403F42"/>
          <w:sz w:val="24"/>
          <w:szCs w:val="24"/>
        </w:rPr>
      </w:pPr>
    </w:p>
    <w:p w14:paraId="7E3EB474" w14:textId="6E869ED9" w:rsidR="00084EAD" w:rsidRPr="00570C47" w:rsidRDefault="00084EAD" w:rsidP="009245BA">
      <w:pPr>
        <w:pStyle w:val="ListParagraph"/>
        <w:numPr>
          <w:ilvl w:val="0"/>
          <w:numId w:val="4"/>
        </w:numPr>
        <w:spacing w:after="0" w:line="240" w:lineRule="auto"/>
        <w:jc w:val="both"/>
        <w:rPr>
          <w:rFonts w:ascii="Century Gothic" w:eastAsia="Times New Roman" w:hAnsi="Century Gothic" w:cstheme="minorHAnsi"/>
          <w:sz w:val="24"/>
          <w:szCs w:val="24"/>
        </w:rPr>
      </w:pPr>
      <w:r w:rsidRPr="00570C47">
        <w:rPr>
          <w:rFonts w:ascii="Century Gothic" w:eastAsia="Times New Roman" w:hAnsi="Century Gothic" w:cstheme="minorHAnsi"/>
          <w:sz w:val="24"/>
          <w:szCs w:val="24"/>
        </w:rPr>
        <w:t>The Western Forestry Leadership Coalition’s</w:t>
      </w:r>
      <w:r w:rsidRPr="00E514BF">
        <w:rPr>
          <w:rFonts w:ascii="Century Gothic" w:hAnsi="Century Gothic"/>
          <w:sz w:val="24"/>
          <w:szCs w:val="24"/>
        </w:rPr>
        <w:t xml:space="preserve"> </w:t>
      </w:r>
      <w:hyperlink r:id="rId17" w:tgtFrame="_blank" w:history="1">
        <w:r w:rsidRPr="004D632D">
          <w:rPr>
            <w:rFonts w:ascii="Century Gothic" w:eastAsiaTheme="minorEastAsia" w:hAnsi="Century Gothic"/>
            <w:color w:val="0000FF"/>
            <w:sz w:val="24"/>
            <w:szCs w:val="24"/>
            <w:u w:val="single"/>
          </w:rPr>
          <w:t>Landscape Scale Restoration Competitive Grant Program</w:t>
        </w:r>
      </w:hyperlink>
      <w:r w:rsidRPr="00E514BF">
        <w:rPr>
          <w:rFonts w:ascii="Century Gothic" w:eastAsia="Times New Roman" w:hAnsi="Century Gothic" w:cstheme="minorHAnsi"/>
          <w:color w:val="403F42"/>
          <w:sz w:val="24"/>
          <w:szCs w:val="24"/>
        </w:rPr>
        <w:t xml:space="preserve"> </w:t>
      </w:r>
      <w:r w:rsidRPr="00570C47">
        <w:rPr>
          <w:rFonts w:ascii="Century Gothic" w:eastAsia="Times New Roman" w:hAnsi="Century Gothic" w:cstheme="minorHAnsi"/>
          <w:sz w:val="24"/>
          <w:szCs w:val="24"/>
        </w:rPr>
        <w:t>supports collaborative, science-based restoration projects that focus on priority landscapes on nonfederal rural forest land.</w:t>
      </w:r>
    </w:p>
    <w:p w14:paraId="469DC1B3" w14:textId="77A967F5" w:rsidR="00084EAD" w:rsidRPr="00570C47" w:rsidRDefault="00084EAD" w:rsidP="009245BA">
      <w:pPr>
        <w:numPr>
          <w:ilvl w:val="1"/>
          <w:numId w:val="4"/>
        </w:numPr>
        <w:spacing w:after="0" w:line="240" w:lineRule="auto"/>
        <w:jc w:val="both"/>
        <w:rPr>
          <w:rFonts w:ascii="Century Gothic" w:eastAsia="Times New Roman" w:hAnsi="Century Gothic" w:cstheme="minorHAnsi"/>
          <w:sz w:val="24"/>
          <w:szCs w:val="24"/>
        </w:rPr>
      </w:pPr>
      <w:r w:rsidRPr="00570C47">
        <w:rPr>
          <w:rFonts w:ascii="Century Gothic" w:eastAsia="Times New Roman" w:hAnsi="Century Gothic" w:cstheme="minorHAnsi"/>
          <w:sz w:val="24"/>
          <w:szCs w:val="24"/>
        </w:rPr>
        <w:t xml:space="preserve">Applications due </w:t>
      </w:r>
      <w:r w:rsidRPr="00570C47">
        <w:rPr>
          <w:rFonts w:ascii="Century Gothic" w:eastAsia="Times New Roman" w:hAnsi="Century Gothic" w:cstheme="minorHAnsi"/>
          <w:b/>
          <w:sz w:val="24"/>
          <w:szCs w:val="24"/>
        </w:rPr>
        <w:t>November 15, 2024</w:t>
      </w:r>
    </w:p>
    <w:p w14:paraId="4F4763EC" w14:textId="77777777" w:rsidR="00E450E3" w:rsidRPr="0071089F" w:rsidRDefault="00E450E3" w:rsidP="00570C47">
      <w:pPr>
        <w:spacing w:after="0" w:line="240" w:lineRule="auto"/>
        <w:jc w:val="both"/>
        <w:rPr>
          <w:rFonts w:ascii="Century Gothic" w:eastAsia="Times New Roman" w:hAnsi="Century Gothic" w:cstheme="minorHAnsi"/>
          <w:color w:val="403F42"/>
          <w:sz w:val="24"/>
          <w:szCs w:val="24"/>
        </w:rPr>
      </w:pPr>
    </w:p>
    <w:p w14:paraId="2C3A9846" w14:textId="77777777" w:rsidR="008B1E88" w:rsidRPr="00570C47" w:rsidRDefault="008B1E88" w:rsidP="008B1E88">
      <w:pPr>
        <w:pStyle w:val="ListParagraph"/>
        <w:numPr>
          <w:ilvl w:val="0"/>
          <w:numId w:val="4"/>
        </w:numPr>
        <w:spacing w:after="0" w:line="240" w:lineRule="auto"/>
        <w:jc w:val="both"/>
        <w:rPr>
          <w:rFonts w:ascii="Century Gothic" w:hAnsi="Century Gothic"/>
          <w:sz w:val="24"/>
          <w:szCs w:val="24"/>
          <w:shd w:val="clear" w:color="auto" w:fill="FFFEFD"/>
        </w:rPr>
      </w:pPr>
      <w:r w:rsidRPr="00E514BF">
        <w:rPr>
          <w:rFonts w:ascii="Century Gothic" w:hAnsi="Century Gothic"/>
          <w:sz w:val="24"/>
          <w:szCs w:val="24"/>
        </w:rPr>
        <w:t xml:space="preserve">The Hazard Mitigation Grant Program’s (HMGP) </w:t>
      </w:r>
      <w:hyperlink r:id="rId18" w:history="1">
        <w:r w:rsidRPr="004D632D">
          <w:rPr>
            <w:rFonts w:ascii="Century Gothic" w:eastAsiaTheme="minorEastAsia" w:hAnsi="Century Gothic"/>
            <w:color w:val="0000FF"/>
            <w:sz w:val="24"/>
            <w:szCs w:val="24"/>
            <w:u w:val="single"/>
          </w:rPr>
          <w:t>Post Fire 2024 NOFO</w:t>
        </w:r>
      </w:hyperlink>
      <w:r w:rsidRPr="00E514BF">
        <w:rPr>
          <w:rStyle w:val="Hyperlink"/>
          <w:rFonts w:ascii="Century Gothic" w:hAnsi="Century Gothic"/>
          <w:sz w:val="24"/>
          <w:szCs w:val="24"/>
        </w:rPr>
        <w:t xml:space="preserve"> </w:t>
      </w:r>
      <w:r w:rsidRPr="00570C47">
        <w:rPr>
          <w:rFonts w:ascii="Century Gothic" w:hAnsi="Century Gothic"/>
          <w:sz w:val="24"/>
          <w:szCs w:val="24"/>
          <w:shd w:val="clear" w:color="auto" w:fill="FFFEFD"/>
        </w:rPr>
        <w:t>provides funding for counties to implement post-disaster mitigation activities that reduce risk to life, property, and infrastructure from wildfire. Counties eligible for 2024 HMGP Post Fire include Butte, Mariposa, Riverside, Kern, Tehama, Lake, San Bernardino, and Los Angeles.</w:t>
      </w:r>
    </w:p>
    <w:p w14:paraId="5EF07232" w14:textId="77777777" w:rsidR="008B1E88" w:rsidRPr="00570C47" w:rsidRDefault="008B1E88" w:rsidP="008B1E88">
      <w:pPr>
        <w:pStyle w:val="ListParagraph"/>
        <w:numPr>
          <w:ilvl w:val="1"/>
          <w:numId w:val="4"/>
        </w:numPr>
        <w:spacing w:after="0" w:line="240" w:lineRule="auto"/>
        <w:jc w:val="both"/>
        <w:rPr>
          <w:rFonts w:ascii="Century Gothic" w:hAnsi="Century Gothic"/>
          <w:b/>
          <w:sz w:val="24"/>
          <w:szCs w:val="24"/>
          <w:shd w:val="clear" w:color="auto" w:fill="FFFEFD"/>
        </w:rPr>
      </w:pPr>
      <w:r w:rsidRPr="00570C47">
        <w:rPr>
          <w:rFonts w:ascii="Century Gothic" w:hAnsi="Century Gothic"/>
          <w:sz w:val="24"/>
          <w:szCs w:val="24"/>
          <w:shd w:val="clear" w:color="auto" w:fill="FFFEFD"/>
        </w:rPr>
        <w:t>Notice of Interest due</w:t>
      </w:r>
      <w:r w:rsidRPr="00570C47">
        <w:rPr>
          <w:rFonts w:ascii="Century Gothic" w:hAnsi="Century Gothic"/>
          <w:b/>
          <w:sz w:val="24"/>
          <w:szCs w:val="24"/>
          <w:shd w:val="clear" w:color="auto" w:fill="FFFEFD"/>
        </w:rPr>
        <w:t xml:space="preserve"> November 15, 2024 </w:t>
      </w:r>
    </w:p>
    <w:p w14:paraId="4959CDEB" w14:textId="77777777" w:rsidR="008B1E88" w:rsidRPr="00570C47" w:rsidRDefault="008B1E88" w:rsidP="008B1E88">
      <w:pPr>
        <w:pStyle w:val="ListParagraph"/>
        <w:numPr>
          <w:ilvl w:val="1"/>
          <w:numId w:val="4"/>
        </w:numPr>
        <w:spacing w:after="0" w:line="240" w:lineRule="auto"/>
        <w:jc w:val="both"/>
        <w:rPr>
          <w:rFonts w:ascii="Century Gothic" w:hAnsi="Century Gothic"/>
          <w:b/>
          <w:sz w:val="24"/>
          <w:szCs w:val="24"/>
          <w:shd w:val="clear" w:color="auto" w:fill="FFFEFD"/>
        </w:rPr>
      </w:pPr>
      <w:r w:rsidRPr="00570C47">
        <w:rPr>
          <w:rFonts w:ascii="Century Gothic" w:hAnsi="Century Gothic"/>
          <w:sz w:val="24"/>
          <w:szCs w:val="24"/>
          <w:shd w:val="clear" w:color="auto" w:fill="FFFEFD"/>
        </w:rPr>
        <w:t>Sub-application due</w:t>
      </w:r>
      <w:r w:rsidRPr="00570C47">
        <w:rPr>
          <w:rFonts w:ascii="Century Gothic" w:hAnsi="Century Gothic"/>
          <w:b/>
          <w:sz w:val="24"/>
          <w:szCs w:val="24"/>
          <w:shd w:val="clear" w:color="auto" w:fill="FFFEFD"/>
        </w:rPr>
        <w:t xml:space="preserve"> January 8, 2025</w:t>
      </w:r>
    </w:p>
    <w:p w14:paraId="1FFBA7FC" w14:textId="5F4F78C3" w:rsidR="008B1E88" w:rsidRDefault="008B1E88" w:rsidP="00570C47">
      <w:pPr>
        <w:spacing w:after="0" w:line="240" w:lineRule="auto"/>
        <w:jc w:val="both"/>
        <w:rPr>
          <w:rFonts w:ascii="Century Gothic" w:hAnsi="Century Gothic"/>
          <w:b/>
          <w:bCs/>
          <w:color w:val="373D3E"/>
          <w:sz w:val="24"/>
          <w:szCs w:val="24"/>
          <w:shd w:val="clear" w:color="auto" w:fill="FFFEFD"/>
        </w:rPr>
      </w:pPr>
    </w:p>
    <w:p w14:paraId="18BE60DE" w14:textId="77777777" w:rsidR="008B1E88" w:rsidRPr="00E514BF" w:rsidRDefault="008B1E88" w:rsidP="008B1E88">
      <w:pPr>
        <w:pStyle w:val="ListParagraph"/>
        <w:numPr>
          <w:ilvl w:val="0"/>
          <w:numId w:val="4"/>
        </w:numPr>
        <w:spacing w:after="0" w:line="240" w:lineRule="auto"/>
        <w:jc w:val="both"/>
        <w:rPr>
          <w:rFonts w:ascii="Century Gothic" w:hAnsi="Century Gothic"/>
          <w:sz w:val="24"/>
          <w:szCs w:val="24"/>
        </w:rPr>
      </w:pPr>
      <w:r w:rsidRPr="00E514BF">
        <w:rPr>
          <w:rFonts w:ascii="Century Gothic" w:hAnsi="Century Gothic"/>
          <w:sz w:val="24"/>
          <w:szCs w:val="24"/>
        </w:rPr>
        <w:t xml:space="preserve">The California Transportation Commission’s (CTC) </w:t>
      </w:r>
      <w:hyperlink r:id="rId19" w:history="1">
        <w:r w:rsidRPr="004D632D">
          <w:rPr>
            <w:rFonts w:ascii="Century Gothic" w:eastAsiaTheme="minorEastAsia" w:hAnsi="Century Gothic"/>
            <w:color w:val="0000FF"/>
            <w:sz w:val="24"/>
            <w:szCs w:val="24"/>
            <w:u w:val="single"/>
          </w:rPr>
          <w:t>Local Partnership Program (LPP) - Competitive</w:t>
        </w:r>
      </w:hyperlink>
      <w:r w:rsidRPr="00E514BF">
        <w:rPr>
          <w:rFonts w:ascii="Century Gothic" w:hAnsi="Century Gothic"/>
          <w:sz w:val="24"/>
          <w:szCs w:val="24"/>
        </w:rPr>
        <w:t xml:space="preserve"> provides funding</w:t>
      </w:r>
      <w:r w:rsidRPr="00E514BF">
        <w:rPr>
          <w:rFonts w:ascii="Century Gothic" w:hAnsi="Century Gothic"/>
          <w:sz w:val="24"/>
          <w:szCs w:val="24"/>
          <w:shd w:val="clear" w:color="auto" w:fill="FFFEFD"/>
        </w:rPr>
        <w:t xml:space="preserve"> for counties, cities, districts, and regional transportation agencies which have fees or taxes</w:t>
      </w:r>
      <w:r>
        <w:rPr>
          <w:rFonts w:ascii="Century Gothic" w:hAnsi="Century Gothic"/>
          <w:sz w:val="24"/>
          <w:szCs w:val="24"/>
          <w:shd w:val="clear" w:color="auto" w:fill="FFFEFD"/>
        </w:rPr>
        <w:t xml:space="preserve"> </w:t>
      </w:r>
      <w:r w:rsidRPr="00E514BF">
        <w:rPr>
          <w:rFonts w:ascii="Century Gothic" w:hAnsi="Century Gothic"/>
          <w:sz w:val="24"/>
          <w:szCs w:val="24"/>
          <w:shd w:val="clear" w:color="auto" w:fill="FFFEFD"/>
        </w:rPr>
        <w:t>dedicated solely to transportation improvements. </w:t>
      </w:r>
      <w:r w:rsidRPr="00E514BF">
        <w:rPr>
          <w:rFonts w:ascii="Century Gothic" w:hAnsi="Century Gothic"/>
          <w:sz w:val="24"/>
          <w:szCs w:val="24"/>
        </w:rPr>
        <w:t>The LPP provides funding to local and regional agencies to improve aging infrastructure, road conditions, active transportation, transit, rail, and health and safety benefits.</w:t>
      </w:r>
    </w:p>
    <w:p w14:paraId="5A96D979" w14:textId="77777777" w:rsidR="008B1E88" w:rsidRPr="008B1E88" w:rsidRDefault="008B1E88" w:rsidP="008B1E88">
      <w:pPr>
        <w:pStyle w:val="ListParagraph"/>
        <w:numPr>
          <w:ilvl w:val="1"/>
          <w:numId w:val="4"/>
        </w:numPr>
        <w:spacing w:after="0" w:line="240" w:lineRule="auto"/>
        <w:jc w:val="both"/>
        <w:rPr>
          <w:rFonts w:ascii="Century Gothic" w:eastAsia="Times New Roman" w:hAnsi="Century Gothic"/>
          <w:b/>
          <w:bCs/>
          <w:sz w:val="24"/>
          <w:szCs w:val="24"/>
          <w:u w:val="single"/>
        </w:rPr>
      </w:pPr>
      <w:r w:rsidRPr="0020078A">
        <w:rPr>
          <w:rFonts w:ascii="Century Gothic" w:hAnsi="Century Gothic"/>
          <w:sz w:val="24"/>
          <w:szCs w:val="24"/>
          <w:shd w:val="clear" w:color="auto" w:fill="FFFEFD"/>
        </w:rPr>
        <w:t>Application</w:t>
      </w:r>
      <w:r>
        <w:rPr>
          <w:rFonts w:ascii="Century Gothic" w:hAnsi="Century Gothic"/>
          <w:sz w:val="24"/>
          <w:szCs w:val="24"/>
          <w:shd w:val="clear" w:color="auto" w:fill="FFFEFD"/>
        </w:rPr>
        <w:t>s due</w:t>
      </w:r>
      <w:r w:rsidRPr="0020078A">
        <w:rPr>
          <w:rFonts w:ascii="Century Gothic" w:hAnsi="Century Gothic"/>
          <w:sz w:val="24"/>
          <w:szCs w:val="24"/>
          <w:shd w:val="clear" w:color="auto" w:fill="FFFEFD"/>
        </w:rPr>
        <w:t xml:space="preserve"> </w:t>
      </w:r>
      <w:r w:rsidRPr="00E51302">
        <w:rPr>
          <w:rFonts w:ascii="Century Gothic" w:hAnsi="Century Gothic"/>
          <w:b/>
          <w:color w:val="373D3E"/>
          <w:sz w:val="24"/>
          <w:szCs w:val="24"/>
          <w:shd w:val="clear" w:color="auto" w:fill="FFFEFD"/>
        </w:rPr>
        <w:t>November 20, 2024</w:t>
      </w:r>
    </w:p>
    <w:p w14:paraId="742D87A5" w14:textId="77777777" w:rsidR="008B1E88" w:rsidRPr="00437B71" w:rsidRDefault="008B1E88" w:rsidP="000F2118">
      <w:pPr>
        <w:spacing w:after="0" w:line="240" w:lineRule="auto"/>
        <w:jc w:val="both"/>
        <w:rPr>
          <w:rFonts w:ascii="Century Gothic" w:eastAsia="Times New Roman" w:hAnsi="Century Gothic"/>
          <w:b/>
          <w:bCs/>
          <w:sz w:val="24"/>
          <w:szCs w:val="24"/>
          <w:u w:val="single"/>
        </w:rPr>
      </w:pPr>
    </w:p>
    <w:p w14:paraId="2D1CB7BC" w14:textId="0A47963A" w:rsidR="00084EAD" w:rsidRPr="00E514BF" w:rsidRDefault="00084EAD" w:rsidP="009245BA">
      <w:pPr>
        <w:pStyle w:val="ListParagraph"/>
        <w:numPr>
          <w:ilvl w:val="0"/>
          <w:numId w:val="4"/>
        </w:numPr>
        <w:spacing w:after="0" w:line="240" w:lineRule="auto"/>
        <w:jc w:val="both"/>
        <w:rPr>
          <w:rStyle w:val="Hyperlink"/>
          <w:rFonts w:ascii="Century Gothic" w:hAnsi="Century Gothic"/>
          <w:color w:val="auto"/>
          <w:sz w:val="24"/>
          <w:szCs w:val="24"/>
          <w:u w:val="none"/>
        </w:rPr>
      </w:pPr>
      <w:r w:rsidRPr="00E514BF">
        <w:rPr>
          <w:rStyle w:val="Hyperlink"/>
          <w:rFonts w:ascii="Century Gothic" w:eastAsia="Times New Roman" w:hAnsi="Century Gothic"/>
          <w:color w:val="auto"/>
          <w:sz w:val="24"/>
          <w:szCs w:val="24"/>
          <w:u w:val="none"/>
        </w:rPr>
        <w:t xml:space="preserve">The </w:t>
      </w:r>
      <w:r w:rsidR="002B432E" w:rsidRPr="00E514BF">
        <w:rPr>
          <w:rStyle w:val="Hyperlink"/>
          <w:rFonts w:ascii="Century Gothic" w:eastAsia="Times New Roman" w:hAnsi="Century Gothic"/>
          <w:color w:val="auto"/>
          <w:sz w:val="24"/>
          <w:szCs w:val="24"/>
          <w:u w:val="none"/>
        </w:rPr>
        <w:t>EPA’s</w:t>
      </w:r>
      <w:r w:rsidR="00F11C72" w:rsidRPr="00E514BF">
        <w:rPr>
          <w:rStyle w:val="Hyperlink"/>
          <w:rFonts w:ascii="Century Gothic" w:eastAsia="Times New Roman" w:hAnsi="Century Gothic"/>
          <w:color w:val="auto"/>
          <w:sz w:val="24"/>
          <w:szCs w:val="24"/>
          <w:u w:val="none"/>
        </w:rPr>
        <w:t xml:space="preserve"> </w:t>
      </w:r>
      <w:r w:rsidRPr="00E514BF">
        <w:rPr>
          <w:rStyle w:val="Hyperlink"/>
          <w:rFonts w:ascii="Century Gothic" w:eastAsia="Times New Roman" w:hAnsi="Century Gothic"/>
          <w:color w:val="auto"/>
          <w:sz w:val="24"/>
          <w:szCs w:val="24"/>
          <w:u w:val="none"/>
        </w:rPr>
        <w:t xml:space="preserve"> </w:t>
      </w:r>
      <w:hyperlink r:id="rId20">
        <w:r w:rsidRPr="004D632D">
          <w:rPr>
            <w:rFonts w:ascii="Century Gothic" w:eastAsiaTheme="minorEastAsia" w:hAnsi="Century Gothic"/>
            <w:color w:val="0000FF"/>
            <w:sz w:val="24"/>
            <w:szCs w:val="24"/>
            <w:u w:val="single"/>
          </w:rPr>
          <w:t>Environmental and Climate Justice Community Change Grants Program</w:t>
        </w:r>
      </w:hyperlink>
      <w:r w:rsidRPr="00E514BF">
        <w:rPr>
          <w:rStyle w:val="Hyperlink"/>
          <w:rFonts w:ascii="Century Gothic" w:eastAsia="Times New Roman" w:hAnsi="Century Gothic"/>
          <w:sz w:val="24"/>
          <w:szCs w:val="24"/>
        </w:rPr>
        <w:t xml:space="preserve"> </w:t>
      </w:r>
      <w:r w:rsidRPr="00E514BF">
        <w:rPr>
          <w:rStyle w:val="Hyperlink"/>
          <w:rFonts w:ascii="Century Gothic" w:eastAsia="Times New Roman" w:hAnsi="Century Gothic"/>
          <w:color w:val="auto"/>
          <w:sz w:val="24"/>
          <w:szCs w:val="24"/>
          <w:u w:val="none"/>
        </w:rPr>
        <w:t xml:space="preserve">is accepting applications on a rolling basis to support community-driven projects that build capacity for communities to tackle environmental and climate justice challenges, strengthen their climate resilience, and advance clean energy. </w:t>
      </w:r>
    </w:p>
    <w:p w14:paraId="41C17A9E" w14:textId="1020B246" w:rsidR="00084EAD" w:rsidRPr="00E450E3" w:rsidRDefault="00084EAD" w:rsidP="009245BA">
      <w:pPr>
        <w:pStyle w:val="ListParagraph"/>
        <w:numPr>
          <w:ilvl w:val="1"/>
          <w:numId w:val="4"/>
        </w:numPr>
        <w:spacing w:after="0" w:line="240" w:lineRule="auto"/>
        <w:jc w:val="both"/>
        <w:rPr>
          <w:rStyle w:val="Hyperlink"/>
          <w:rFonts w:ascii="Century Gothic" w:hAnsi="Century Gothic"/>
          <w:color w:val="auto"/>
          <w:sz w:val="24"/>
          <w:szCs w:val="24"/>
          <w:u w:val="none"/>
        </w:rPr>
      </w:pPr>
      <w:r w:rsidRPr="0071089F">
        <w:rPr>
          <w:rStyle w:val="Hyperlink"/>
          <w:rFonts w:ascii="Century Gothic" w:eastAsia="Times New Roman" w:hAnsi="Century Gothic"/>
          <w:color w:val="auto"/>
          <w:sz w:val="24"/>
          <w:szCs w:val="24"/>
          <w:u w:val="none"/>
        </w:rPr>
        <w:t xml:space="preserve">Applications due </w:t>
      </w:r>
      <w:r w:rsidRPr="00570C47">
        <w:rPr>
          <w:rFonts w:ascii="Century Gothic" w:eastAsia="Times New Roman" w:hAnsi="Century Gothic"/>
          <w:b/>
          <w:sz w:val="24"/>
          <w:szCs w:val="24"/>
        </w:rPr>
        <w:t>November 21, 2024</w:t>
      </w:r>
    </w:p>
    <w:p w14:paraId="6E134D58" w14:textId="77777777" w:rsidR="00E450E3" w:rsidRPr="008B1E88" w:rsidRDefault="00E450E3" w:rsidP="008B1E88">
      <w:pPr>
        <w:spacing w:after="0" w:line="240" w:lineRule="auto"/>
        <w:jc w:val="both"/>
        <w:rPr>
          <w:rFonts w:ascii="Century Gothic" w:hAnsi="Century Gothic"/>
          <w:b/>
          <w:color w:val="373D3E"/>
          <w:sz w:val="24"/>
          <w:szCs w:val="24"/>
          <w:shd w:val="clear" w:color="auto" w:fill="FFFEFD"/>
        </w:rPr>
      </w:pPr>
    </w:p>
    <w:p w14:paraId="3689D8A4" w14:textId="6143AA07" w:rsidR="00084EAD" w:rsidRPr="00E514BF" w:rsidRDefault="00084EAD" w:rsidP="009245BA">
      <w:pPr>
        <w:pStyle w:val="ListParagraph"/>
        <w:numPr>
          <w:ilvl w:val="0"/>
          <w:numId w:val="4"/>
        </w:numPr>
        <w:spacing w:after="0" w:line="240" w:lineRule="auto"/>
        <w:jc w:val="both"/>
        <w:rPr>
          <w:rStyle w:val="Hyperlink"/>
          <w:rFonts w:ascii="Century Gothic" w:hAnsi="Century Gothic"/>
          <w:color w:val="auto"/>
          <w:sz w:val="24"/>
          <w:szCs w:val="24"/>
          <w:u w:val="none"/>
        </w:rPr>
      </w:pPr>
      <w:r w:rsidRPr="00E514BF">
        <w:rPr>
          <w:rStyle w:val="Hyperlink"/>
          <w:rFonts w:ascii="Century Gothic" w:eastAsia="Times New Roman" w:hAnsi="Century Gothic"/>
          <w:color w:val="auto"/>
          <w:sz w:val="24"/>
          <w:szCs w:val="24"/>
          <w:u w:val="none"/>
        </w:rPr>
        <w:t>The US Fish and Wildlife Service</w:t>
      </w:r>
      <w:r w:rsidRPr="00E514BF">
        <w:rPr>
          <w:rStyle w:val="Hyperlink"/>
          <w:rFonts w:ascii="Century Gothic" w:eastAsia="Times New Roman" w:hAnsi="Century Gothic"/>
          <w:sz w:val="24"/>
          <w:szCs w:val="24"/>
        </w:rPr>
        <w:t xml:space="preserve"> </w:t>
      </w:r>
      <w:hyperlink r:id="rId21" w:history="1">
        <w:r w:rsidRPr="004D632D">
          <w:rPr>
            <w:rFonts w:ascii="Century Gothic" w:eastAsiaTheme="minorEastAsia" w:hAnsi="Century Gothic"/>
            <w:color w:val="0000FF"/>
            <w:sz w:val="24"/>
            <w:szCs w:val="24"/>
            <w:u w:val="single"/>
          </w:rPr>
          <w:t>National Fish Passage Program</w:t>
        </w:r>
      </w:hyperlink>
      <w:r w:rsidRPr="00E514BF">
        <w:rPr>
          <w:rFonts w:ascii="Century Gothic" w:hAnsi="Century Gothic"/>
          <w:sz w:val="24"/>
          <w:szCs w:val="24"/>
        </w:rPr>
        <w:t xml:space="preserve"> </w:t>
      </w:r>
      <w:r w:rsidRPr="00E514BF">
        <w:rPr>
          <w:rStyle w:val="Hyperlink"/>
          <w:rFonts w:ascii="Century Gothic" w:eastAsia="Times New Roman" w:hAnsi="Century Gothic"/>
          <w:color w:val="auto"/>
          <w:sz w:val="24"/>
          <w:szCs w:val="24"/>
          <w:u w:val="none"/>
        </w:rPr>
        <w:t xml:space="preserve">restores rivers, protects wildlife, and rebuilds economies through technical assistance and funding. Improving fish passage is one of the most effective ways to help conserve vulnerable species, build safer infrastructure, and improve climate resilience. </w:t>
      </w:r>
    </w:p>
    <w:p w14:paraId="46C55E22" w14:textId="38D32426" w:rsidR="00834245" w:rsidRDefault="00084EAD" w:rsidP="008B1E88">
      <w:pPr>
        <w:pStyle w:val="ListParagraph"/>
        <w:numPr>
          <w:ilvl w:val="1"/>
          <w:numId w:val="4"/>
        </w:numPr>
        <w:spacing w:after="0"/>
      </w:pPr>
      <w:r w:rsidRPr="000F2118">
        <w:rPr>
          <w:rFonts w:ascii="Century Gothic" w:eastAsia="Times New Roman" w:hAnsi="Century Gothic"/>
          <w:sz w:val="24"/>
          <w:szCs w:val="24"/>
        </w:rPr>
        <w:t xml:space="preserve">Applications due </w:t>
      </w:r>
      <w:r w:rsidRPr="000F2118">
        <w:rPr>
          <w:rFonts w:ascii="Century Gothic" w:eastAsia="Times New Roman" w:hAnsi="Century Gothic"/>
          <w:b/>
          <w:sz w:val="24"/>
          <w:szCs w:val="24"/>
        </w:rPr>
        <w:t>December 31, 2024</w:t>
      </w:r>
    </w:p>
    <w:p w14:paraId="0A588BB7" w14:textId="77777777" w:rsidR="008B1E88" w:rsidRDefault="008B1E88" w:rsidP="000F2118">
      <w:pPr>
        <w:spacing w:after="0"/>
        <w:rPr>
          <w:noProof/>
        </w:rPr>
      </w:pPr>
    </w:p>
    <w:p w14:paraId="6033875C" w14:textId="77777777" w:rsidR="008B1E88" w:rsidRPr="00080A3E" w:rsidRDefault="008B1E88" w:rsidP="008B1E88">
      <w:pPr>
        <w:pStyle w:val="ListParagraph"/>
        <w:numPr>
          <w:ilvl w:val="0"/>
          <w:numId w:val="4"/>
        </w:numPr>
        <w:shd w:val="clear" w:color="auto" w:fill="FFFFFF" w:themeFill="background1"/>
        <w:spacing w:after="0" w:line="240" w:lineRule="auto"/>
        <w:jc w:val="both"/>
        <w:rPr>
          <w:rFonts w:ascii="Century Gothic" w:eastAsiaTheme="minorEastAsia" w:hAnsi="Century Gothic"/>
          <w:color w:val="0000FF"/>
          <w:sz w:val="24"/>
          <w:szCs w:val="24"/>
          <w:u w:val="single"/>
        </w:rPr>
      </w:pPr>
      <w:r w:rsidRPr="00EA2C7B">
        <w:rPr>
          <w:rFonts w:ascii="Century Gothic" w:hAnsi="Century Gothic"/>
          <w:sz w:val="24"/>
          <w:szCs w:val="24"/>
        </w:rPr>
        <w:t xml:space="preserve">The US Department of Transportation’s (US DOT) </w:t>
      </w:r>
      <w:hyperlink r:id="rId22" w:history="1">
        <w:r w:rsidRPr="00EA2C7B">
          <w:rPr>
            <w:rFonts w:ascii="Century Gothic" w:eastAsiaTheme="minorEastAsia" w:hAnsi="Century Gothic"/>
            <w:color w:val="0000FF"/>
            <w:sz w:val="24"/>
            <w:szCs w:val="24"/>
            <w:u w:val="single"/>
          </w:rPr>
          <w:t>Rebuilding American Infrastructure with Sustainability and Equity (RAISE) Grant</w:t>
        </w:r>
      </w:hyperlink>
      <w:r w:rsidRPr="00E514BF">
        <w:rPr>
          <w:rStyle w:val="Hyperlink"/>
          <w:rFonts w:ascii="Century Gothic" w:eastAsia="Century Gothic" w:hAnsi="Century Gothic" w:cs="Century Gothic"/>
          <w:color w:val="auto"/>
          <w:sz w:val="24"/>
          <w:szCs w:val="24"/>
          <w:u w:val="none"/>
        </w:rPr>
        <w:t xml:space="preserve"> p</w:t>
      </w:r>
      <w:r w:rsidRPr="00EA2C7B">
        <w:rPr>
          <w:rFonts w:ascii="Century Gothic" w:hAnsi="Century Gothic"/>
          <w:sz w:val="24"/>
          <w:szCs w:val="24"/>
        </w:rPr>
        <w:t>rovides funding to invest in road, rail, transit, and port projects that achieve national objectives and have a significant local/regional impact. The objective is to improve safety, economic strength and global competitiveness, equity, and climate and sustainability.</w:t>
      </w:r>
      <w:r w:rsidRPr="00080A3E">
        <w:rPr>
          <w:rFonts w:ascii="Century Gothic" w:hAnsi="Century Gothic"/>
          <w:sz w:val="24"/>
          <w:szCs w:val="24"/>
        </w:rPr>
        <w:t xml:space="preserve"> </w:t>
      </w:r>
      <w:r w:rsidRPr="00000A91">
        <w:rPr>
          <w:rFonts w:ascii="Century Gothic" w:hAnsi="Century Gothic"/>
          <w:b/>
          <w:sz w:val="24"/>
          <w:szCs w:val="24"/>
        </w:rPr>
        <w:t>For information specific to 2025</w:t>
      </w:r>
      <w:r w:rsidRPr="00080A3E">
        <w:rPr>
          <w:rFonts w:ascii="Century Gothic" w:hAnsi="Century Gothic"/>
          <w:sz w:val="24"/>
          <w:szCs w:val="24"/>
        </w:rPr>
        <w:t xml:space="preserve">, click here: </w:t>
      </w:r>
      <w:hyperlink r:id="rId23" w:history="1">
        <w:r w:rsidRPr="00080A3E">
          <w:rPr>
            <w:rFonts w:ascii="Century Gothic" w:eastAsiaTheme="minorEastAsia" w:hAnsi="Century Gothic"/>
            <w:color w:val="0000FF"/>
            <w:sz w:val="24"/>
            <w:szCs w:val="24"/>
            <w:u w:val="single"/>
          </w:rPr>
          <w:t>FY 2025 RAISE.pdf</w:t>
        </w:r>
      </w:hyperlink>
    </w:p>
    <w:p w14:paraId="33DCB827" w14:textId="77777777" w:rsidR="008B1E88" w:rsidRPr="008B1E88" w:rsidRDefault="008B1E88" w:rsidP="008B1E88">
      <w:pPr>
        <w:pStyle w:val="ListParagraph"/>
        <w:numPr>
          <w:ilvl w:val="1"/>
          <w:numId w:val="4"/>
        </w:numPr>
        <w:spacing w:after="0" w:line="240" w:lineRule="auto"/>
        <w:jc w:val="both"/>
        <w:rPr>
          <w:rFonts w:ascii="Century Gothic" w:eastAsia="Century Gothic" w:hAnsi="Century Gothic" w:cs="Century Gothic"/>
          <w:sz w:val="24"/>
          <w:szCs w:val="24"/>
        </w:rPr>
      </w:pPr>
      <w:r w:rsidRPr="000F2118">
        <w:rPr>
          <w:rFonts w:ascii="Century Gothic" w:eastAsia="Times New Roman" w:hAnsi="Century Gothic" w:cs="Times New Roman"/>
          <w:sz w:val="24"/>
          <w:szCs w:val="24"/>
        </w:rPr>
        <w:t xml:space="preserve">Applications due </w:t>
      </w:r>
      <w:r w:rsidRPr="000F2118">
        <w:rPr>
          <w:rFonts w:ascii="Century Gothic" w:eastAsia="Times New Roman" w:hAnsi="Century Gothic" w:cs="Times New Roman"/>
          <w:b/>
          <w:sz w:val="24"/>
          <w:szCs w:val="24"/>
        </w:rPr>
        <w:t>January 13, 2025</w:t>
      </w:r>
    </w:p>
    <w:p w14:paraId="2ED24221" w14:textId="77777777" w:rsidR="008B1E88" w:rsidRPr="00570A4C" w:rsidRDefault="008B1E88" w:rsidP="000F2118">
      <w:pPr>
        <w:spacing w:after="0" w:line="240" w:lineRule="auto"/>
        <w:jc w:val="both"/>
        <w:rPr>
          <w:rFonts w:ascii="Century Gothic" w:eastAsia="Century Gothic" w:hAnsi="Century Gothic" w:cs="Century Gothic"/>
          <w:sz w:val="24"/>
          <w:szCs w:val="24"/>
        </w:rPr>
      </w:pPr>
    </w:p>
    <w:p w14:paraId="3C8C3B9E" w14:textId="25E9F3EC" w:rsidR="00CB7446" w:rsidRPr="00570C47" w:rsidRDefault="002F1847" w:rsidP="009245BA">
      <w:pPr>
        <w:pStyle w:val="ListParagraph"/>
        <w:numPr>
          <w:ilvl w:val="0"/>
          <w:numId w:val="4"/>
        </w:numPr>
        <w:shd w:val="clear" w:color="auto" w:fill="FFFFFF" w:themeFill="background1"/>
        <w:spacing w:after="0" w:line="240" w:lineRule="auto"/>
        <w:jc w:val="both"/>
        <w:rPr>
          <w:rFonts w:ascii="Century Gothic" w:eastAsia="Times New Roman" w:hAnsi="Century Gothic" w:cs="Times New Roman"/>
          <w:sz w:val="24"/>
          <w:szCs w:val="24"/>
        </w:rPr>
      </w:pPr>
      <w:hyperlink r:id="rId24">
        <w:r w:rsidR="009E4616" w:rsidRPr="00E514BF">
          <w:rPr>
            <w:rFonts w:ascii="Century Gothic" w:hAnsi="Century Gothic"/>
            <w:sz w:val="24"/>
            <w:szCs w:val="24"/>
          </w:rPr>
          <w:t xml:space="preserve">California </w:t>
        </w:r>
        <w:r w:rsidR="00910B2A" w:rsidRPr="00E514BF">
          <w:rPr>
            <w:rFonts w:ascii="Century Gothic" w:hAnsi="Century Gothic"/>
            <w:sz w:val="24"/>
            <w:szCs w:val="24"/>
          </w:rPr>
          <w:t>Department of Transportation (</w:t>
        </w:r>
        <w:proofErr w:type="spellStart"/>
        <w:r w:rsidR="00910B2A" w:rsidRPr="00E514BF">
          <w:rPr>
            <w:rFonts w:ascii="Century Gothic" w:hAnsi="Century Gothic"/>
            <w:sz w:val="24"/>
            <w:szCs w:val="24"/>
          </w:rPr>
          <w:t>CalTrans</w:t>
        </w:r>
        <w:proofErr w:type="spellEnd"/>
        <w:r w:rsidR="00910B2A" w:rsidRPr="00E514BF">
          <w:rPr>
            <w:rFonts w:ascii="Century Gothic" w:hAnsi="Century Gothic"/>
            <w:sz w:val="24"/>
            <w:szCs w:val="24"/>
          </w:rPr>
          <w:t xml:space="preserve">) </w:t>
        </w:r>
      </w:hyperlink>
      <w:r w:rsidR="00910B2A" w:rsidRPr="00E514BF">
        <w:rPr>
          <w:rFonts w:ascii="Century Gothic" w:hAnsi="Century Gothic"/>
          <w:color w:val="333333"/>
          <w:sz w:val="24"/>
          <w:szCs w:val="24"/>
          <w:shd w:val="clear" w:color="auto" w:fill="FFFFFF"/>
        </w:rPr>
        <w:t xml:space="preserve">released the Fiscal Year </w:t>
      </w:r>
      <w:hyperlink r:id="rId25" w:history="1">
        <w:r w:rsidR="00910B2A" w:rsidRPr="004D632D">
          <w:rPr>
            <w:rFonts w:ascii="Century Gothic" w:eastAsiaTheme="minorEastAsia" w:hAnsi="Century Gothic"/>
            <w:color w:val="0000FF"/>
            <w:sz w:val="24"/>
            <w:szCs w:val="24"/>
            <w:u w:val="single"/>
          </w:rPr>
          <w:t>(FY) 2025-26 Sustainable Transportation Planning Grant</w:t>
        </w:r>
      </w:hyperlink>
      <w:r w:rsidR="00910B2A" w:rsidRPr="00E514BF">
        <w:rPr>
          <w:rFonts w:ascii="Century Gothic" w:hAnsi="Century Gothic"/>
          <w:color w:val="333333"/>
          <w:sz w:val="24"/>
          <w:szCs w:val="24"/>
          <w:shd w:val="clear" w:color="auto" w:fill="FFFFFF"/>
        </w:rPr>
        <w:t xml:space="preserve"> </w:t>
      </w:r>
      <w:r w:rsidR="00910B2A" w:rsidRPr="00570C47">
        <w:rPr>
          <w:rFonts w:ascii="Century Gothic" w:hAnsi="Century Gothic"/>
          <w:sz w:val="24"/>
          <w:szCs w:val="24"/>
          <w:shd w:val="clear" w:color="auto" w:fill="FFFFFF"/>
        </w:rPr>
        <w:t>Application Guide and Call for Applications.  A total of $37.7 million is available for transportation planning projects statewide</w:t>
      </w:r>
      <w:r w:rsidR="00F83310" w:rsidRPr="00570C47">
        <w:rPr>
          <w:rFonts w:ascii="Century Gothic" w:hAnsi="Century Gothic"/>
          <w:sz w:val="24"/>
          <w:szCs w:val="24"/>
          <w:shd w:val="clear" w:color="auto" w:fill="FFFFFF"/>
        </w:rPr>
        <w:t xml:space="preserve">. </w:t>
      </w:r>
      <w:r w:rsidR="000571A7" w:rsidRPr="00570C47">
        <w:rPr>
          <w:rFonts w:ascii="Century Gothic" w:hAnsi="Century Gothic"/>
          <w:sz w:val="24"/>
          <w:szCs w:val="24"/>
        </w:rPr>
        <w:t xml:space="preserve">Grant Programs </w:t>
      </w:r>
      <w:r w:rsidR="00602598" w:rsidRPr="00570C47">
        <w:rPr>
          <w:rFonts w:ascii="Century Gothic" w:hAnsi="Century Gothic"/>
          <w:sz w:val="24"/>
          <w:szCs w:val="24"/>
        </w:rPr>
        <w:t>include</w:t>
      </w:r>
      <w:r w:rsidR="000571A7" w:rsidRPr="00570C47">
        <w:rPr>
          <w:rFonts w:ascii="Century Gothic" w:eastAsia="Times New Roman" w:hAnsi="Century Gothic" w:cs="Times New Roman"/>
          <w:sz w:val="24"/>
          <w:szCs w:val="24"/>
        </w:rPr>
        <w:t xml:space="preserve"> Sustainable Communities Grants, Climate Adaptation Planning, and Strategic Partnerships Grants.</w:t>
      </w:r>
    </w:p>
    <w:p w14:paraId="591495D1" w14:textId="011B2C32" w:rsidR="004850F6" w:rsidRPr="00570C47" w:rsidRDefault="000571A7" w:rsidP="009245BA">
      <w:pPr>
        <w:pStyle w:val="ListParagraph"/>
        <w:numPr>
          <w:ilvl w:val="1"/>
          <w:numId w:val="4"/>
        </w:numPr>
        <w:shd w:val="clear" w:color="auto" w:fill="FFFFFF" w:themeFill="background1"/>
        <w:spacing w:after="0" w:line="240" w:lineRule="auto"/>
        <w:jc w:val="both"/>
        <w:rPr>
          <w:rFonts w:ascii="Century Gothic" w:eastAsia="Times New Roman" w:hAnsi="Century Gothic" w:cs="Times New Roman"/>
          <w:sz w:val="24"/>
          <w:szCs w:val="24"/>
        </w:rPr>
      </w:pPr>
      <w:r w:rsidRPr="00570C47">
        <w:rPr>
          <w:rFonts w:ascii="Century Gothic" w:eastAsia="Times New Roman" w:hAnsi="Century Gothic" w:cs="Times New Roman"/>
          <w:sz w:val="24"/>
          <w:szCs w:val="24"/>
        </w:rPr>
        <w:t xml:space="preserve">Applications due </w:t>
      </w:r>
      <w:r w:rsidRPr="00570C47">
        <w:rPr>
          <w:rFonts w:ascii="Century Gothic" w:eastAsia="Times New Roman" w:hAnsi="Century Gothic" w:cs="Times New Roman"/>
          <w:b/>
          <w:sz w:val="24"/>
          <w:szCs w:val="24"/>
        </w:rPr>
        <w:t xml:space="preserve">January </w:t>
      </w:r>
      <w:r w:rsidR="00536997" w:rsidRPr="00570C47">
        <w:rPr>
          <w:rFonts w:ascii="Century Gothic" w:eastAsia="Times New Roman" w:hAnsi="Century Gothic" w:cs="Times New Roman"/>
          <w:b/>
          <w:sz w:val="24"/>
          <w:szCs w:val="24"/>
        </w:rPr>
        <w:t xml:space="preserve">22, </w:t>
      </w:r>
      <w:r w:rsidRPr="00570C47">
        <w:rPr>
          <w:rFonts w:ascii="Century Gothic" w:eastAsia="Times New Roman" w:hAnsi="Century Gothic" w:cs="Times New Roman"/>
          <w:b/>
          <w:sz w:val="24"/>
          <w:szCs w:val="24"/>
        </w:rPr>
        <w:t>2025</w:t>
      </w:r>
    </w:p>
    <w:p w14:paraId="230A4A73" w14:textId="77777777" w:rsidR="00216F7C" w:rsidRDefault="00216F7C" w:rsidP="009245BA">
      <w:pPr>
        <w:spacing w:after="0"/>
        <w:jc w:val="both"/>
        <w:rPr>
          <w:rFonts w:ascii="Century Gothic" w:hAnsi="Century Gothic"/>
          <w:b/>
          <w:bCs/>
          <w:noProof/>
          <w:color w:val="44546A" w:themeColor="text2"/>
          <w:sz w:val="26"/>
          <w:szCs w:val="26"/>
        </w:rPr>
      </w:pPr>
    </w:p>
    <w:p w14:paraId="02B6EEED" w14:textId="4613044C" w:rsidR="00834245" w:rsidRDefault="008E3D58" w:rsidP="009245BA">
      <w:pPr>
        <w:spacing w:after="0"/>
        <w:jc w:val="both"/>
      </w:pPr>
      <w:r w:rsidRPr="00834245">
        <w:rPr>
          <w:rFonts w:ascii="Century Gothic" w:hAnsi="Century Gothic"/>
          <w:b/>
          <w:bCs/>
          <w:noProof/>
          <w:color w:val="44546A" w:themeColor="text2"/>
          <w:sz w:val="26"/>
          <w:szCs w:val="26"/>
        </w:rPr>
        <mc:AlternateContent>
          <mc:Choice Requires="wps">
            <w:drawing>
              <wp:anchor distT="0" distB="0" distL="114300" distR="114300" simplePos="0" relativeHeight="251658242" behindDoc="0" locked="0" layoutInCell="1" allowOverlap="1" wp14:anchorId="74EBDE8F" wp14:editId="17C606E4">
                <wp:simplePos x="0" y="0"/>
                <wp:positionH relativeFrom="margin">
                  <wp:posOffset>14767</wp:posOffset>
                </wp:positionH>
                <wp:positionV relativeFrom="paragraph">
                  <wp:posOffset>269240</wp:posOffset>
                </wp:positionV>
                <wp:extent cx="7166344" cy="45719"/>
                <wp:effectExtent l="0" t="0" r="0" b="0"/>
                <wp:wrapNone/>
                <wp:docPr id="388271137" name="Rectangle 6"/>
                <wp:cNvGraphicFramePr/>
                <a:graphic xmlns:a="http://schemas.openxmlformats.org/drawingml/2006/main">
                  <a:graphicData uri="http://schemas.microsoft.com/office/word/2010/wordprocessingShape">
                    <wps:wsp>
                      <wps:cNvSpPr/>
                      <wps:spPr>
                        <a:xfrm>
                          <a:off x="0" y="0"/>
                          <a:ext cx="7166344" cy="45719"/>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64C5FF7A" id="Rectangle 6" o:spid="_x0000_s1026" style="position:absolute;margin-left:1.15pt;margin-top:21.2pt;width:564.3pt;height:3.6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" fillcolor="#bf8f00 [2407]" stroked="f" strokeweight="1pt">
                <w10:wrap anchorx="margin"/>
              </v:rect>
            </w:pict>
          </mc:Fallback>
        </mc:AlternateContent>
      </w:r>
      <w:r>
        <w:rPr>
          <w:rFonts w:ascii="Century Gothic" w:hAnsi="Century Gothic"/>
          <w:b/>
          <w:bCs/>
          <w:noProof/>
          <w:color w:val="44546A" w:themeColor="text2"/>
          <w:sz w:val="26"/>
          <w:szCs w:val="26"/>
        </w:rPr>
        <w:t>TECHNICAL ASSISTANCE</w:t>
      </w:r>
    </w:p>
    <w:p w14:paraId="0D029D07" w14:textId="77777777" w:rsidR="00002350" w:rsidRDefault="00002350" w:rsidP="00002350">
      <w:pPr>
        <w:spacing w:after="0" w:line="240" w:lineRule="auto"/>
        <w:jc w:val="both"/>
      </w:pPr>
    </w:p>
    <w:p w14:paraId="0A237AF6" w14:textId="77777777" w:rsidR="00834245" w:rsidRPr="00002350" w:rsidRDefault="00834245" w:rsidP="00002350">
      <w:pPr>
        <w:spacing w:after="0" w:line="240" w:lineRule="auto"/>
        <w:jc w:val="both"/>
        <w:rPr>
          <w:rFonts w:ascii="Century Gothic" w:eastAsia="Times New Roman" w:hAnsi="Century Gothic"/>
          <w:b/>
          <w:color w:val="403F42"/>
          <w:sz w:val="4"/>
          <w:szCs w:val="4"/>
        </w:rPr>
      </w:pPr>
    </w:p>
    <w:p w14:paraId="670522B4" w14:textId="605737C0" w:rsidR="0023735B" w:rsidRPr="00524B6A" w:rsidRDefault="0023735B" w:rsidP="009245BA">
      <w:pPr>
        <w:pStyle w:val="ListParagraph"/>
        <w:numPr>
          <w:ilvl w:val="0"/>
          <w:numId w:val="5"/>
        </w:numPr>
        <w:spacing w:after="0" w:line="240" w:lineRule="auto"/>
        <w:jc w:val="both"/>
        <w:rPr>
          <w:rFonts w:ascii="Century Gothic" w:eastAsia="Times New Roman" w:hAnsi="Century Gothic"/>
          <w:b/>
          <w:bCs/>
          <w:color w:val="403F42"/>
          <w:sz w:val="24"/>
          <w:szCs w:val="24"/>
        </w:rPr>
      </w:pPr>
      <w:r w:rsidRPr="00524B6A">
        <w:rPr>
          <w:rFonts w:ascii="Century Gothic" w:hAnsi="Century Gothic"/>
          <w:sz w:val="24"/>
          <w:szCs w:val="24"/>
        </w:rPr>
        <w:t xml:space="preserve">The Federal Highway Administration’s (FHWA) </w:t>
      </w:r>
      <w:hyperlink r:id="rId26" w:anchor=":~:text=The%20Resource%20Center%20is%20the%20primary%20source%20of%20technical" w:history="1">
        <w:r w:rsidRPr="004D632D">
          <w:rPr>
            <w:rFonts w:ascii="Century Gothic" w:eastAsiaTheme="minorEastAsia" w:hAnsi="Century Gothic"/>
            <w:color w:val="0000FF"/>
            <w:sz w:val="24"/>
            <w:szCs w:val="24"/>
            <w:u w:val="single"/>
          </w:rPr>
          <w:t>Technical Assistance and Local Support</w:t>
        </w:r>
      </w:hyperlink>
      <w:r w:rsidRPr="00524B6A">
        <w:rPr>
          <w:rFonts w:ascii="Century Gothic" w:eastAsia="Times New Roman" w:hAnsi="Century Gothic"/>
          <w:b/>
          <w:bCs/>
          <w:color w:val="403F42"/>
          <w:sz w:val="24"/>
          <w:szCs w:val="24"/>
        </w:rPr>
        <w:t xml:space="preserve"> </w:t>
      </w:r>
      <w:r w:rsidRPr="00524B6A">
        <w:rPr>
          <w:rFonts w:ascii="Century Gothic" w:hAnsi="Century Gothic" w:cs="Arial"/>
          <w:color w:val="000000"/>
          <w:sz w:val="24"/>
          <w:szCs w:val="24"/>
          <w:shd w:val="clear" w:color="auto" w:fill="FFFFFF"/>
        </w:rPr>
        <w:t>provides support to local public agencies for transportation planning, design, construction, preserving, and improving public roads and in the stewardship of Federal funds. Resources include lists of funding, webinars and trainings, and local and tribal technical assistance programs.</w:t>
      </w:r>
    </w:p>
    <w:p w14:paraId="4B113B64" w14:textId="77777777" w:rsidR="0023735B" w:rsidRPr="0020078A" w:rsidRDefault="0023735B" w:rsidP="009245BA">
      <w:pPr>
        <w:spacing w:after="0" w:line="240" w:lineRule="auto"/>
        <w:jc w:val="both"/>
        <w:rPr>
          <w:rFonts w:ascii="Century Gothic" w:hAnsi="Century Gothic" w:cs="Arial"/>
          <w:color w:val="000000"/>
          <w:sz w:val="24"/>
          <w:szCs w:val="24"/>
          <w:shd w:val="clear" w:color="auto" w:fill="FFFFFF"/>
        </w:rPr>
      </w:pPr>
    </w:p>
    <w:p w14:paraId="6F2049A9" w14:textId="3F26BA01" w:rsidR="0023735B" w:rsidRPr="00570C47" w:rsidRDefault="0023735B" w:rsidP="009245BA">
      <w:pPr>
        <w:pStyle w:val="ListParagraph"/>
        <w:numPr>
          <w:ilvl w:val="0"/>
          <w:numId w:val="4"/>
        </w:numPr>
        <w:spacing w:after="0" w:line="240" w:lineRule="auto"/>
        <w:jc w:val="both"/>
        <w:rPr>
          <w:rFonts w:ascii="Century Gothic" w:hAnsi="Century Gothic" w:cs="Arial"/>
          <w:sz w:val="24"/>
          <w:szCs w:val="24"/>
          <w:shd w:val="clear" w:color="auto" w:fill="FFFFFF"/>
        </w:rPr>
      </w:pPr>
      <w:r w:rsidRPr="00524B6A">
        <w:rPr>
          <w:rFonts w:ascii="Century Gothic" w:hAnsi="Century Gothic"/>
          <w:sz w:val="24"/>
          <w:szCs w:val="24"/>
        </w:rPr>
        <w:t>The California Department of Water Resources</w:t>
      </w:r>
      <w:r w:rsidR="0004122E">
        <w:rPr>
          <w:rFonts w:ascii="Century Gothic" w:hAnsi="Century Gothic"/>
          <w:sz w:val="24"/>
          <w:szCs w:val="24"/>
        </w:rPr>
        <w:t xml:space="preserve"> </w:t>
      </w:r>
      <w:r w:rsidRPr="00524B6A">
        <w:rPr>
          <w:rFonts w:ascii="Century Gothic" w:hAnsi="Century Gothic"/>
          <w:sz w:val="24"/>
          <w:szCs w:val="24"/>
        </w:rPr>
        <w:t xml:space="preserve">(DWR) </w:t>
      </w:r>
      <w:hyperlink r:id="rId27" w:anchor=":~:text=Technical%20Assistance.%20We%20provide%20technical%20guidance%20and">
        <w:r w:rsidRPr="004D632D">
          <w:rPr>
            <w:rFonts w:ascii="Century Gothic" w:eastAsiaTheme="minorEastAsia" w:hAnsi="Century Gothic"/>
            <w:color w:val="0000FF"/>
            <w:sz w:val="24"/>
            <w:szCs w:val="24"/>
            <w:u w:val="single"/>
          </w:rPr>
          <w:t>Flood Risk Reduction, Surface Water, and Water Engineering</w:t>
        </w:r>
      </w:hyperlink>
      <w:r w:rsidRPr="00524B6A">
        <w:rPr>
          <w:rStyle w:val="Hyperlink"/>
          <w:rFonts w:ascii="Century Gothic" w:eastAsia="Times New Roman" w:hAnsi="Century Gothic" w:cs="Arial"/>
          <w:sz w:val="24"/>
          <w:szCs w:val="24"/>
          <w:u w:val="none"/>
        </w:rPr>
        <w:t xml:space="preserve"> </w:t>
      </w:r>
      <w:r w:rsidRPr="00570C47">
        <w:rPr>
          <w:rFonts w:ascii="Century Gothic" w:hAnsi="Century Gothic" w:cs="Arial"/>
          <w:sz w:val="24"/>
          <w:szCs w:val="24"/>
          <w:shd w:val="clear" w:color="auto" w:fill="FFFFFF"/>
        </w:rPr>
        <w:t>provides locally relevant technical assistance through regional offices to assist water management groups and the public by providing guidance including on groundwater and geology, land and water use, water quality, surface water, flood risk reduction, and engineering, design, and modeling.</w:t>
      </w:r>
    </w:p>
    <w:p w14:paraId="0E941C65" w14:textId="77777777" w:rsidR="00837575" w:rsidRPr="00570C47" w:rsidRDefault="00837575" w:rsidP="009245BA">
      <w:pPr>
        <w:spacing w:after="0" w:line="240" w:lineRule="auto"/>
        <w:jc w:val="both"/>
        <w:rPr>
          <w:rFonts w:ascii="Century Gothic" w:hAnsi="Century Gothic" w:cs="Arial"/>
          <w:sz w:val="24"/>
          <w:szCs w:val="24"/>
          <w:shd w:val="clear" w:color="auto" w:fill="FFFFFF"/>
        </w:rPr>
      </w:pPr>
    </w:p>
    <w:p w14:paraId="1F0C6CAC" w14:textId="03FDE179" w:rsidR="00A3376C" w:rsidRPr="00A3376C" w:rsidRDefault="00837575" w:rsidP="009245BA">
      <w:pPr>
        <w:pStyle w:val="ListParagraph"/>
        <w:numPr>
          <w:ilvl w:val="0"/>
          <w:numId w:val="4"/>
        </w:numPr>
        <w:spacing w:after="0" w:line="240" w:lineRule="auto"/>
        <w:jc w:val="both"/>
        <w:rPr>
          <w:rFonts w:ascii="Century Gothic" w:hAnsi="Century Gothic"/>
          <w:color w:val="1B1B1B"/>
          <w:sz w:val="24"/>
          <w:szCs w:val="24"/>
        </w:rPr>
      </w:pPr>
      <w:r w:rsidRPr="00524B6A">
        <w:rPr>
          <w:rFonts w:ascii="Century Gothic" w:hAnsi="Century Gothic"/>
          <w:sz w:val="24"/>
          <w:szCs w:val="24"/>
        </w:rPr>
        <w:t xml:space="preserve">EPA’s </w:t>
      </w:r>
      <w:hyperlink r:id="rId28" w:history="1">
        <w:r w:rsidRPr="00CE2EE4">
          <w:rPr>
            <w:rFonts w:ascii="Century Gothic" w:eastAsiaTheme="minorEastAsia" w:hAnsi="Century Gothic"/>
            <w:color w:val="0000FF"/>
            <w:sz w:val="24"/>
            <w:szCs w:val="24"/>
            <w:u w:val="single"/>
          </w:rPr>
          <w:t>Water TA program</w:t>
        </w:r>
      </w:hyperlink>
      <w:r w:rsidRPr="00524B6A">
        <w:rPr>
          <w:rFonts w:ascii="Century Gothic" w:hAnsi="Century Gothic"/>
          <w:color w:val="1B1B1B"/>
          <w:sz w:val="24"/>
          <w:szCs w:val="24"/>
        </w:rPr>
        <w:t xml:space="preserve"> </w:t>
      </w:r>
      <w:r w:rsidRPr="000F2118">
        <w:rPr>
          <w:rFonts w:ascii="Century Gothic" w:hAnsi="Century Gothic"/>
          <w:sz w:val="24"/>
          <w:szCs w:val="24"/>
        </w:rPr>
        <w:t xml:space="preserve">provides technical </w:t>
      </w:r>
      <w:r w:rsidRPr="000F2118">
        <w:rPr>
          <w:rFonts w:ascii="Century Gothic" w:hAnsi="Century Gothic"/>
          <w:sz w:val="24"/>
          <w:szCs w:val="24"/>
          <w:shd w:val="clear" w:color="auto" w:fill="FFFFFF"/>
        </w:rPr>
        <w:t xml:space="preserve">assistance to communities to plan and design projects, obtain funding for drinking water, wastewater, and stormwater projects, and develop funding mechanisms and financial planning support. For more information, visit </w:t>
      </w:r>
      <w:hyperlink r:id="rId29" w:history="1">
        <w:r w:rsidRPr="00CE2EE4">
          <w:rPr>
            <w:rFonts w:ascii="Century Gothic" w:eastAsiaTheme="minorEastAsia" w:hAnsi="Century Gothic"/>
            <w:color w:val="0000FF"/>
            <w:sz w:val="24"/>
            <w:szCs w:val="24"/>
            <w:u w:val="single"/>
          </w:rPr>
          <w:t>Water Technical Assistance Programs</w:t>
        </w:r>
      </w:hyperlink>
      <w:r w:rsidRPr="00524B6A">
        <w:rPr>
          <w:rStyle w:val="Hyperlink"/>
          <w:rFonts w:ascii="Century Gothic" w:hAnsi="Century Gothic"/>
          <w:sz w:val="24"/>
          <w:szCs w:val="24"/>
        </w:rPr>
        <w:t xml:space="preserve">. </w:t>
      </w:r>
    </w:p>
    <w:p w14:paraId="7A0EA63D" w14:textId="77777777" w:rsidR="00A3376C" w:rsidRPr="00A3376C" w:rsidRDefault="00A3376C" w:rsidP="009245BA">
      <w:pPr>
        <w:shd w:val="clear" w:color="auto" w:fill="FFFFFF"/>
        <w:spacing w:after="0" w:line="240" w:lineRule="auto"/>
        <w:jc w:val="both"/>
        <w:rPr>
          <w:rFonts w:ascii="Century Gothic" w:hAnsi="Century Gothic"/>
          <w:color w:val="1B1B1B"/>
          <w:sz w:val="24"/>
          <w:szCs w:val="24"/>
        </w:rPr>
      </w:pPr>
    </w:p>
    <w:p w14:paraId="0849F6F7" w14:textId="6F5DC334" w:rsidR="00837575" w:rsidRPr="000F2118" w:rsidRDefault="00837575" w:rsidP="009245BA">
      <w:pPr>
        <w:pStyle w:val="ListParagraph"/>
        <w:numPr>
          <w:ilvl w:val="0"/>
          <w:numId w:val="4"/>
        </w:numPr>
        <w:spacing w:after="0" w:line="240" w:lineRule="auto"/>
        <w:jc w:val="both"/>
        <w:rPr>
          <w:rFonts w:ascii="Century Gothic" w:hAnsi="Century Gothic"/>
          <w:sz w:val="24"/>
          <w:szCs w:val="24"/>
          <w:shd w:val="clear" w:color="auto" w:fill="FFFFFF"/>
        </w:rPr>
      </w:pPr>
      <w:r w:rsidRPr="00524B6A">
        <w:rPr>
          <w:rFonts w:ascii="Century Gothic" w:hAnsi="Century Gothic"/>
          <w:sz w:val="24"/>
          <w:szCs w:val="24"/>
        </w:rPr>
        <w:t xml:space="preserve">EPA’s </w:t>
      </w:r>
      <w:hyperlink r:id="rId30" w:history="1">
        <w:r w:rsidRPr="00CE2EE4">
          <w:rPr>
            <w:rFonts w:ascii="Century Gothic" w:eastAsiaTheme="minorEastAsia" w:hAnsi="Century Gothic"/>
            <w:color w:val="0000FF"/>
            <w:sz w:val="24"/>
            <w:szCs w:val="24"/>
            <w:u w:val="single"/>
          </w:rPr>
          <w:t>Financing Alternatives Comparison Tool (FACT)</w:t>
        </w:r>
      </w:hyperlink>
      <w:r w:rsidRPr="00524B6A">
        <w:rPr>
          <w:rFonts w:ascii="Century Gothic" w:hAnsi="Century Gothic"/>
          <w:color w:val="1B1B1B"/>
          <w:sz w:val="24"/>
          <w:szCs w:val="24"/>
          <w:shd w:val="clear" w:color="auto" w:fill="FFFFFF"/>
        </w:rPr>
        <w:t xml:space="preserve"> </w:t>
      </w:r>
      <w:r w:rsidRPr="000F2118">
        <w:rPr>
          <w:rFonts w:ascii="Century Gothic" w:hAnsi="Century Gothic"/>
          <w:sz w:val="24"/>
          <w:szCs w:val="24"/>
          <w:shd w:val="clear" w:color="auto" w:fill="FFFFFF"/>
        </w:rPr>
        <w:t>helps identify the most cost-effective method to fund a water infrastructure project. FACT produces a comprehensive analysis that compares financing options for the projects by incorporating financing, regulatory, and other important costs.</w:t>
      </w:r>
    </w:p>
    <w:p w14:paraId="0D31C285" w14:textId="77777777" w:rsidR="00837575" w:rsidRDefault="00837575" w:rsidP="009245BA">
      <w:pPr>
        <w:spacing w:after="0" w:line="240" w:lineRule="auto"/>
        <w:jc w:val="both"/>
        <w:rPr>
          <w:rFonts w:ascii="Century Gothic" w:eastAsia="Times New Roman" w:hAnsi="Century Gothic" w:cs="Arial"/>
          <w:color w:val="0000FF"/>
          <w:sz w:val="24"/>
          <w:szCs w:val="24"/>
          <w:u w:val="single"/>
        </w:rPr>
      </w:pPr>
    </w:p>
    <w:p w14:paraId="14C469AC" w14:textId="0B380D12" w:rsidR="00524B6A" w:rsidRPr="00524B6A" w:rsidRDefault="00524B6A" w:rsidP="009245BA">
      <w:pPr>
        <w:pStyle w:val="NormalWeb"/>
        <w:numPr>
          <w:ilvl w:val="0"/>
          <w:numId w:val="5"/>
        </w:numPr>
        <w:shd w:val="clear" w:color="auto" w:fill="FFFFFF"/>
        <w:spacing w:before="0" w:beforeAutospacing="0" w:after="0" w:afterAutospacing="0"/>
        <w:jc w:val="both"/>
        <w:rPr>
          <w:rFonts w:ascii="Century Gothic" w:hAnsi="Century Gothic"/>
          <w:b/>
          <w:bCs/>
        </w:rPr>
      </w:pPr>
      <w:r w:rsidRPr="0071089F">
        <w:rPr>
          <w:rFonts w:ascii="Century Gothic" w:hAnsi="Century Gothic"/>
        </w:rPr>
        <w:t>The California State</w:t>
      </w:r>
      <w:r w:rsidRPr="000F2118">
        <w:rPr>
          <w:rFonts w:ascii="Century Gothic" w:hAnsi="Century Gothic"/>
        </w:rPr>
        <w:t xml:space="preserve"> Library  </w:t>
      </w:r>
      <w:hyperlink r:id="rId31" w:history="1">
        <w:r w:rsidRPr="00CE2EE4">
          <w:rPr>
            <w:rFonts w:ascii="Century Gothic" w:eastAsiaTheme="minorEastAsia" w:hAnsi="Century Gothic" w:cstheme="minorBidi"/>
            <w:color w:val="0000FF"/>
            <w:u w:val="single"/>
          </w:rPr>
          <w:t>"Ready — Or Not" Cultural Heritage Disaster Preparedness Project</w:t>
        </w:r>
        <w:r w:rsidRPr="00CE2EE4">
          <w:rPr>
            <w:rFonts w:eastAsiaTheme="minorEastAsia" w:cstheme="minorBidi"/>
            <w:color w:val="0000FF"/>
          </w:rPr>
          <w:t xml:space="preserve"> </w:t>
        </w:r>
      </w:hyperlink>
      <w:r w:rsidRPr="0071089F">
        <w:rPr>
          <w:rFonts w:ascii="Century Gothic" w:hAnsi="Century Gothic"/>
        </w:rPr>
        <w:t xml:space="preserve"> </w:t>
      </w:r>
      <w:r w:rsidRPr="000F2118">
        <w:rPr>
          <w:rFonts w:ascii="Century Gothic" w:hAnsi="Century Gothic"/>
        </w:rPr>
        <w:t xml:space="preserve">assists cultural heritage organizations evaluate risks to their collections and begin taking preparatory or remedial steps with </w:t>
      </w:r>
      <w:r w:rsidRPr="000F2118">
        <w:rPr>
          <w:rFonts w:ascii="Century Gothic" w:hAnsi="Century Gothic"/>
          <w:shd w:val="clear" w:color="auto" w:fill="FFFFFF"/>
        </w:rPr>
        <w:t>free site visits and reports for qualifying organizations. Reports include recommendations for mitigating risks, taking emergency preparedness actions, and completing a disaster plan. </w:t>
      </w:r>
    </w:p>
    <w:p w14:paraId="75646277" w14:textId="77777777" w:rsidR="00524B6A" w:rsidRPr="00524B6A" w:rsidRDefault="00524B6A" w:rsidP="000F2118">
      <w:pPr>
        <w:pStyle w:val="NormalWeb"/>
        <w:shd w:val="clear" w:color="auto" w:fill="FFFFFF"/>
        <w:spacing w:before="0" w:beforeAutospacing="0" w:after="0" w:afterAutospacing="0"/>
        <w:jc w:val="both"/>
        <w:rPr>
          <w:rFonts w:ascii="Century Gothic" w:hAnsi="Century Gothic"/>
          <w:b/>
          <w:bCs/>
        </w:rPr>
      </w:pPr>
    </w:p>
    <w:p w14:paraId="03BCD59A" w14:textId="3125C5C1" w:rsidR="00524B6A" w:rsidRPr="000F2118" w:rsidRDefault="00524B6A" w:rsidP="009245BA">
      <w:pPr>
        <w:pStyle w:val="NormalWeb"/>
        <w:numPr>
          <w:ilvl w:val="0"/>
          <w:numId w:val="5"/>
        </w:numPr>
        <w:shd w:val="clear" w:color="auto" w:fill="FFFFFF"/>
        <w:spacing w:before="0" w:beforeAutospacing="0" w:after="0" w:afterAutospacing="0"/>
        <w:jc w:val="both"/>
        <w:rPr>
          <w:rFonts w:ascii="Century Gothic" w:hAnsi="Century Gothic"/>
          <w:shd w:val="clear" w:color="auto" w:fill="FFFFFF"/>
        </w:rPr>
      </w:pPr>
      <w:r w:rsidRPr="000F2118">
        <w:rPr>
          <w:rFonts w:ascii="Century Gothic" w:hAnsi="Century Gothic"/>
          <w:shd w:val="clear" w:color="auto" w:fill="FFFFFF"/>
        </w:rPr>
        <w:t xml:space="preserve">The US Department of Agriculture </w:t>
      </w:r>
      <w:r w:rsidR="0004122E" w:rsidRPr="000F2118">
        <w:rPr>
          <w:rFonts w:ascii="Century Gothic" w:hAnsi="Century Gothic"/>
          <w:shd w:val="clear" w:color="auto" w:fill="FFFFFF"/>
        </w:rPr>
        <w:t xml:space="preserve">(USDA) </w:t>
      </w:r>
      <w:r w:rsidRPr="000F2118">
        <w:rPr>
          <w:rFonts w:ascii="Century Gothic" w:hAnsi="Century Gothic"/>
          <w:shd w:val="clear" w:color="auto" w:fill="FFFFFF"/>
        </w:rPr>
        <w:t xml:space="preserve">- </w:t>
      </w:r>
      <w:r w:rsidRPr="00E51302">
        <w:rPr>
          <w:rFonts w:ascii="Century Gothic" w:hAnsi="Century Gothic"/>
          <w:shd w:val="clear" w:color="auto" w:fill="FFFFFF"/>
        </w:rPr>
        <w:t xml:space="preserve">Natural Resources Conservation </w:t>
      </w:r>
      <w:r w:rsidRPr="000F2118">
        <w:rPr>
          <w:rFonts w:ascii="Century Gothic" w:hAnsi="Century Gothic"/>
          <w:shd w:val="clear" w:color="auto" w:fill="FFFFFF"/>
        </w:rPr>
        <w:t>Service</w:t>
      </w:r>
      <w:r w:rsidR="0004122E" w:rsidRPr="000F2118">
        <w:rPr>
          <w:rFonts w:ascii="Century Gothic" w:hAnsi="Century Gothic"/>
          <w:shd w:val="clear" w:color="auto" w:fill="FFFFFF"/>
        </w:rPr>
        <w:t xml:space="preserve"> (NRCS)</w:t>
      </w:r>
      <w:r w:rsidRPr="000F2118">
        <w:rPr>
          <w:rFonts w:ascii="Century Gothic" w:hAnsi="Century Gothic"/>
          <w:shd w:val="clear" w:color="auto" w:fill="FFFFFF"/>
        </w:rPr>
        <w:t xml:space="preserve"> </w:t>
      </w:r>
      <w:hyperlink r:id="rId32" w:history="1">
        <w:r w:rsidRPr="00CE2EE4">
          <w:rPr>
            <w:rFonts w:ascii="Century Gothic" w:eastAsiaTheme="minorEastAsia" w:hAnsi="Century Gothic" w:cstheme="minorBidi"/>
            <w:color w:val="0000FF"/>
            <w:u w:val="single"/>
          </w:rPr>
          <w:t>Conservation Planning Program</w:t>
        </w:r>
      </w:hyperlink>
      <w:r w:rsidRPr="0046103C">
        <w:rPr>
          <w:color w:val="333333"/>
          <w:shd w:val="clear" w:color="auto" w:fill="FFFFFF"/>
        </w:rPr>
        <w:t xml:space="preserve"> </w:t>
      </w:r>
      <w:r w:rsidRPr="000F2118">
        <w:rPr>
          <w:rFonts w:ascii="Century Gothic" w:hAnsi="Century Gothic"/>
          <w:shd w:val="clear" w:color="auto" w:fill="FFFFFF"/>
        </w:rPr>
        <w:t xml:space="preserve">provides assistance to assess </w:t>
      </w:r>
      <w:r w:rsidRPr="00E51302">
        <w:rPr>
          <w:rFonts w:ascii="Century Gothic" w:hAnsi="Century Gothic"/>
          <w:shd w:val="clear" w:color="auto" w:fill="FFFFFF"/>
        </w:rPr>
        <w:t xml:space="preserve">and analyze natural </w:t>
      </w:r>
      <w:r w:rsidRPr="000F2118">
        <w:rPr>
          <w:rFonts w:ascii="Century Gothic" w:hAnsi="Century Gothic"/>
          <w:shd w:val="clear" w:color="auto" w:fill="FFFFFF"/>
        </w:rPr>
        <w:t>resources issues related to soil, water, animals, plants, air, energy, and human interaction. Plans include customized tools and resources, including land use maps, soil information, inventory of resources, costs/benefits, schedule of recommended practices and maintenance, and engineering notes.</w:t>
      </w:r>
    </w:p>
    <w:p w14:paraId="6D18AE31" w14:textId="77777777" w:rsidR="00524B6A" w:rsidRPr="000F2118" w:rsidRDefault="00524B6A" w:rsidP="009245BA">
      <w:pPr>
        <w:pStyle w:val="NormalWeb"/>
        <w:shd w:val="clear" w:color="auto" w:fill="FFFFFF"/>
        <w:spacing w:before="0" w:beforeAutospacing="0" w:after="0" w:afterAutospacing="0"/>
        <w:jc w:val="both"/>
        <w:rPr>
          <w:rFonts w:ascii="Century Gothic" w:hAnsi="Century Gothic"/>
          <w:shd w:val="clear" w:color="auto" w:fill="FFFFFF"/>
        </w:rPr>
      </w:pPr>
    </w:p>
    <w:p w14:paraId="7E5B28A4" w14:textId="0ECBAD20" w:rsidR="00524B6A" w:rsidRPr="0071089F" w:rsidRDefault="002F1847" w:rsidP="009245BA">
      <w:pPr>
        <w:pStyle w:val="NormalWeb"/>
        <w:numPr>
          <w:ilvl w:val="0"/>
          <w:numId w:val="5"/>
        </w:numPr>
        <w:shd w:val="clear" w:color="auto" w:fill="FFFFFF"/>
        <w:spacing w:before="0" w:beforeAutospacing="0" w:after="0" w:afterAutospacing="0"/>
        <w:jc w:val="both"/>
        <w:rPr>
          <w:rFonts w:ascii="Century Gothic" w:hAnsi="Century Gothic"/>
          <w:b/>
          <w:bCs/>
        </w:rPr>
      </w:pPr>
      <w:hyperlink r:id="rId33" w:anchor="/">
        <w:r w:rsidR="00524B6A" w:rsidRPr="00CE2EE4">
          <w:rPr>
            <w:rFonts w:ascii="Century Gothic" w:eastAsiaTheme="minorEastAsia" w:hAnsi="Century Gothic" w:cstheme="minorBidi"/>
            <w:color w:val="0000FF"/>
            <w:u w:val="single"/>
          </w:rPr>
          <w:t>KSU Brownfields Grant Writing Tool</w:t>
        </w:r>
        <w:r w:rsidR="00524B6A" w:rsidRPr="00CE2EE4">
          <w:rPr>
            <w:rFonts w:eastAsiaTheme="minorEastAsia" w:cstheme="minorBidi"/>
            <w:color w:val="0000FF"/>
          </w:rPr>
          <w:t xml:space="preserve"> </w:t>
        </w:r>
      </w:hyperlink>
      <w:r w:rsidR="00524B6A" w:rsidRPr="0071089F">
        <w:rPr>
          <w:rFonts w:ascii="Century Gothic" w:hAnsi="Century Gothic"/>
          <w:color w:val="333333"/>
          <w:shd w:val="clear" w:color="auto" w:fill="FFFFFF"/>
        </w:rPr>
        <w:t>Kansas State University offers an EPA Brownfields Grant application template tool to assist with writing applications for these highly competitive grants.</w:t>
      </w:r>
    </w:p>
    <w:p w14:paraId="71E6497A" w14:textId="77777777" w:rsidR="00524B6A" w:rsidRPr="0020078A" w:rsidRDefault="00524B6A" w:rsidP="009245BA">
      <w:pPr>
        <w:spacing w:after="0" w:line="240" w:lineRule="auto"/>
        <w:jc w:val="both"/>
        <w:rPr>
          <w:rFonts w:ascii="Century Gothic" w:eastAsia="Times New Roman" w:hAnsi="Century Gothic" w:cs="Arial"/>
          <w:color w:val="0000FF"/>
          <w:sz w:val="24"/>
          <w:szCs w:val="24"/>
          <w:u w:val="single"/>
        </w:rPr>
      </w:pPr>
    </w:p>
    <w:p w14:paraId="67DFCD1E" w14:textId="77777777" w:rsidR="00A3376C" w:rsidRDefault="00A3376C" w:rsidP="009245BA">
      <w:pPr>
        <w:spacing w:after="0"/>
        <w:jc w:val="both"/>
      </w:pPr>
      <w:r w:rsidRPr="00834245">
        <w:rPr>
          <w:rFonts w:ascii="Century Gothic" w:hAnsi="Century Gothic"/>
          <w:b/>
          <w:bCs/>
          <w:noProof/>
          <w:color w:val="44546A" w:themeColor="text2"/>
          <w:sz w:val="26"/>
          <w:szCs w:val="26"/>
        </w:rPr>
        <mc:AlternateContent>
          <mc:Choice Requires="wps">
            <w:drawing>
              <wp:anchor distT="0" distB="0" distL="114300" distR="114300" simplePos="0" relativeHeight="251658243" behindDoc="0" locked="0" layoutInCell="1" allowOverlap="1" wp14:anchorId="0FCCDC9B" wp14:editId="4137DE94">
                <wp:simplePos x="0" y="0"/>
                <wp:positionH relativeFrom="margin">
                  <wp:posOffset>14767</wp:posOffset>
                </wp:positionH>
                <wp:positionV relativeFrom="paragraph">
                  <wp:posOffset>269240</wp:posOffset>
                </wp:positionV>
                <wp:extent cx="7166344" cy="45719"/>
                <wp:effectExtent l="0" t="0" r="0" b="0"/>
                <wp:wrapNone/>
                <wp:docPr id="130184529" name="Rectangle 6"/>
                <wp:cNvGraphicFramePr/>
                <a:graphic xmlns:a="http://schemas.openxmlformats.org/drawingml/2006/main">
                  <a:graphicData uri="http://schemas.microsoft.com/office/word/2010/wordprocessingShape">
                    <wps:wsp>
                      <wps:cNvSpPr/>
                      <wps:spPr>
                        <a:xfrm>
                          <a:off x="0" y="0"/>
                          <a:ext cx="7166344" cy="45719"/>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433BB88B" id="Rectangle 6" o:spid="_x0000_s1026" style="position:absolute;margin-left:1.15pt;margin-top:21.2pt;width:564.3pt;height:3.6pt;z-index:2516828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" fillcolor="#bf8f00 [2407]" stroked="f" strokeweight="1pt">
                <w10:wrap anchorx="margin"/>
              </v:rect>
            </w:pict>
          </mc:Fallback>
        </mc:AlternateContent>
      </w:r>
      <w:r>
        <w:rPr>
          <w:rFonts w:ascii="Century Gothic" w:hAnsi="Century Gothic"/>
          <w:b/>
          <w:bCs/>
          <w:noProof/>
          <w:color w:val="44546A" w:themeColor="text2"/>
          <w:sz w:val="26"/>
          <w:szCs w:val="26"/>
        </w:rPr>
        <w:t>EVENTS, TRAINING, WEBINARS, AND CONFERENCES</w:t>
      </w:r>
    </w:p>
    <w:p w14:paraId="0630367D" w14:textId="77777777" w:rsidR="00834245" w:rsidRDefault="00834245" w:rsidP="00002350">
      <w:pPr>
        <w:pStyle w:val="NormalWeb"/>
        <w:shd w:val="clear" w:color="auto" w:fill="FFFFFF"/>
        <w:spacing w:before="0" w:beforeAutospacing="0" w:after="0" w:afterAutospacing="0"/>
        <w:jc w:val="both"/>
        <w:rPr>
          <w:rFonts w:ascii="Century Gothic" w:hAnsi="Century Gothic" w:cstheme="minorHAnsi"/>
          <w:color w:val="403F42"/>
        </w:rPr>
      </w:pPr>
    </w:p>
    <w:p w14:paraId="6ABC67C1" w14:textId="77777777" w:rsidR="00002350" w:rsidRPr="00002350" w:rsidRDefault="00002350" w:rsidP="00002350">
      <w:pPr>
        <w:pStyle w:val="NormalWeb"/>
        <w:shd w:val="clear" w:color="auto" w:fill="FFFFFF"/>
        <w:spacing w:before="0" w:beforeAutospacing="0" w:after="0" w:afterAutospacing="0"/>
        <w:jc w:val="both"/>
        <w:rPr>
          <w:rFonts w:ascii="Century Gothic" w:hAnsi="Century Gothic" w:cstheme="minorHAnsi"/>
          <w:color w:val="403F42"/>
          <w:sz w:val="4"/>
          <w:szCs w:val="4"/>
        </w:rPr>
      </w:pPr>
    </w:p>
    <w:p w14:paraId="3662B949" w14:textId="7849ABEA" w:rsidR="004B63E8" w:rsidRDefault="004B63E8" w:rsidP="00BC346F">
      <w:pPr>
        <w:pStyle w:val="ListParagraph"/>
        <w:numPr>
          <w:ilvl w:val="0"/>
          <w:numId w:val="10"/>
        </w:numPr>
        <w:spacing w:after="0" w:line="240" w:lineRule="auto"/>
        <w:jc w:val="both"/>
        <w:rPr>
          <w:rFonts w:ascii="Century Gothic" w:hAnsi="Century Gothic"/>
          <w:color w:val="1B1B1B"/>
          <w:sz w:val="24"/>
          <w:szCs w:val="24"/>
          <w:shd w:val="clear" w:color="auto" w:fill="FFFFFF"/>
        </w:rPr>
      </w:pPr>
      <w:r w:rsidRPr="004B63E8">
        <w:rPr>
          <w:rFonts w:ascii="Century Gothic" w:hAnsi="Century Gothic"/>
          <w:color w:val="1B1B1B"/>
          <w:sz w:val="24"/>
          <w:szCs w:val="24"/>
          <w:shd w:val="clear" w:color="auto" w:fill="FFFFFF"/>
        </w:rPr>
        <w:t>The I</w:t>
      </w:r>
      <w:r w:rsidR="00F36757">
        <w:rPr>
          <w:rFonts w:ascii="Century Gothic" w:hAnsi="Century Gothic"/>
          <w:color w:val="1B1B1B"/>
          <w:sz w:val="24"/>
          <w:szCs w:val="24"/>
          <w:shd w:val="clear" w:color="auto" w:fill="FFFFFF"/>
        </w:rPr>
        <w:t xml:space="preserve">nstitute of Sustainable Infrastructure’s </w:t>
      </w:r>
      <w:hyperlink r:id="rId34" w:history="1">
        <w:r w:rsidR="002A00BA" w:rsidRPr="00585020">
          <w:rPr>
            <w:rStyle w:val="Hyperlink"/>
            <w:rFonts w:ascii="Century Gothic" w:hAnsi="Century Gothic"/>
            <w:sz w:val="24"/>
            <w:szCs w:val="24"/>
            <w:shd w:val="clear" w:color="auto" w:fill="FFFFFF"/>
          </w:rPr>
          <w:t xml:space="preserve">2024 </w:t>
        </w:r>
        <w:r w:rsidR="00F36757" w:rsidRPr="00585020">
          <w:rPr>
            <w:rStyle w:val="Hyperlink"/>
            <w:rFonts w:ascii="Century Gothic" w:hAnsi="Century Gothic"/>
            <w:sz w:val="24"/>
            <w:szCs w:val="24"/>
            <w:shd w:val="clear" w:color="auto" w:fill="FFFFFF"/>
          </w:rPr>
          <w:t xml:space="preserve">ISI </w:t>
        </w:r>
        <w:r w:rsidRPr="00585020">
          <w:rPr>
            <w:rStyle w:val="Hyperlink"/>
            <w:rFonts w:ascii="Century Gothic" w:hAnsi="Century Gothic"/>
            <w:sz w:val="24"/>
            <w:szCs w:val="24"/>
            <w:shd w:val="clear" w:color="auto" w:fill="FFFFFF"/>
          </w:rPr>
          <w:t>Annual Conference</w:t>
        </w:r>
      </w:hyperlink>
      <w:r w:rsidRPr="004B63E8">
        <w:rPr>
          <w:rFonts w:ascii="Century Gothic" w:hAnsi="Century Gothic"/>
          <w:color w:val="1B1B1B"/>
          <w:sz w:val="24"/>
          <w:szCs w:val="24"/>
          <w:shd w:val="clear" w:color="auto" w:fill="FFFFFF"/>
        </w:rPr>
        <w:t xml:space="preserve"> is the preeminent event for AEC industry professionals committed to fostering sustainable, equitable, and resilient civil infrastructure. </w:t>
      </w:r>
      <w:r w:rsidR="00F86CA6" w:rsidRPr="00F86CA6">
        <w:rPr>
          <w:rFonts w:ascii="Century Gothic" w:hAnsi="Century Gothic"/>
          <w:color w:val="1B1B1B"/>
          <w:sz w:val="24"/>
          <w:szCs w:val="24"/>
          <w:shd w:val="clear" w:color="auto" w:fill="FFFFFF"/>
        </w:rPr>
        <w:t>This year’s theme, “Realizing the Vision,” is focused on bridging the gap between ambitious sustainability goals and tangible project outcomes.</w:t>
      </w:r>
      <w:r w:rsidR="001163C7" w:rsidRPr="001163C7">
        <w:t xml:space="preserve"> </w:t>
      </w:r>
      <w:r w:rsidR="00641C82">
        <w:rPr>
          <w:rFonts w:ascii="Century Gothic" w:hAnsi="Century Gothic"/>
          <w:color w:val="1B1B1B"/>
          <w:sz w:val="24"/>
          <w:szCs w:val="24"/>
          <w:shd w:val="clear" w:color="auto" w:fill="FFFFFF"/>
        </w:rPr>
        <w:t>I</w:t>
      </w:r>
      <w:r w:rsidR="005222DC" w:rsidRPr="001163C7">
        <w:rPr>
          <w:rFonts w:ascii="Century Gothic" w:hAnsi="Century Gothic"/>
          <w:color w:val="1B1B1B"/>
          <w:sz w:val="24"/>
          <w:szCs w:val="24"/>
          <w:shd w:val="clear" w:color="auto" w:fill="FFFFFF"/>
        </w:rPr>
        <w:t xml:space="preserve">nfrastructure industry professionals </w:t>
      </w:r>
      <w:r w:rsidR="00641C82">
        <w:rPr>
          <w:rFonts w:ascii="Century Gothic" w:hAnsi="Century Gothic"/>
          <w:color w:val="1B1B1B"/>
          <w:sz w:val="24"/>
          <w:szCs w:val="24"/>
          <w:shd w:val="clear" w:color="auto" w:fill="FFFFFF"/>
        </w:rPr>
        <w:t xml:space="preserve">will have </w:t>
      </w:r>
      <w:r w:rsidR="00B631DA">
        <w:rPr>
          <w:rFonts w:ascii="Century Gothic" w:hAnsi="Century Gothic"/>
          <w:color w:val="1B1B1B"/>
          <w:sz w:val="24"/>
          <w:szCs w:val="24"/>
          <w:shd w:val="clear" w:color="auto" w:fill="FFFFFF"/>
        </w:rPr>
        <w:t>the opportunity</w:t>
      </w:r>
      <w:r w:rsidR="00641C82">
        <w:rPr>
          <w:rFonts w:ascii="Century Gothic" w:hAnsi="Century Gothic"/>
          <w:color w:val="1B1B1B"/>
          <w:sz w:val="24"/>
          <w:szCs w:val="24"/>
          <w:shd w:val="clear" w:color="auto" w:fill="FFFFFF"/>
        </w:rPr>
        <w:t xml:space="preserve"> to </w:t>
      </w:r>
      <w:r w:rsidR="00F86CA6" w:rsidRPr="00F86CA6">
        <w:rPr>
          <w:rFonts w:ascii="Century Gothic" w:hAnsi="Century Gothic"/>
          <w:color w:val="1B1B1B"/>
          <w:sz w:val="24"/>
          <w:szCs w:val="24"/>
          <w:shd w:val="clear" w:color="auto" w:fill="FFFFFF"/>
        </w:rPr>
        <w:t xml:space="preserve">engage </w:t>
      </w:r>
      <w:r w:rsidR="00641C82">
        <w:rPr>
          <w:rFonts w:ascii="Century Gothic" w:hAnsi="Century Gothic"/>
          <w:color w:val="1B1B1B"/>
          <w:sz w:val="24"/>
          <w:szCs w:val="24"/>
          <w:shd w:val="clear" w:color="auto" w:fill="FFFFFF"/>
        </w:rPr>
        <w:t xml:space="preserve">in </w:t>
      </w:r>
      <w:r w:rsidR="00F86CA6" w:rsidRPr="00F86CA6">
        <w:rPr>
          <w:rFonts w:ascii="Century Gothic" w:hAnsi="Century Gothic"/>
          <w:color w:val="1B1B1B"/>
          <w:sz w:val="24"/>
          <w:szCs w:val="24"/>
          <w:shd w:val="clear" w:color="auto" w:fill="FFFFFF"/>
        </w:rPr>
        <w:t xml:space="preserve">insightful discussions, </w:t>
      </w:r>
      <w:r w:rsidR="00641C82">
        <w:rPr>
          <w:rFonts w:ascii="Century Gothic" w:hAnsi="Century Gothic"/>
          <w:color w:val="1B1B1B"/>
          <w:sz w:val="24"/>
          <w:szCs w:val="24"/>
          <w:shd w:val="clear" w:color="auto" w:fill="FFFFFF"/>
        </w:rPr>
        <w:t>view</w:t>
      </w:r>
      <w:r w:rsidR="00F86CA6" w:rsidRPr="00F86CA6">
        <w:rPr>
          <w:rFonts w:ascii="Century Gothic" w:hAnsi="Century Gothic"/>
          <w:color w:val="1B1B1B"/>
          <w:sz w:val="24"/>
          <w:szCs w:val="24"/>
          <w:shd w:val="clear" w:color="auto" w:fill="FFFFFF"/>
        </w:rPr>
        <w:t xml:space="preserve"> real-world case studies, and explore lessons learned from industry leaders who have met challenge with innovation while on the path to sustainable infrastructure.</w:t>
      </w:r>
    </w:p>
    <w:p w14:paraId="18CD52D8" w14:textId="7A91892A" w:rsidR="004B63E8" w:rsidRDefault="00D40CDF" w:rsidP="00D40CDF">
      <w:pPr>
        <w:pStyle w:val="ListParagraph"/>
        <w:numPr>
          <w:ilvl w:val="1"/>
          <w:numId w:val="10"/>
        </w:numPr>
        <w:spacing w:after="0" w:line="240" w:lineRule="auto"/>
        <w:jc w:val="both"/>
        <w:rPr>
          <w:rFonts w:ascii="Century Gothic" w:hAnsi="Century Gothic"/>
          <w:color w:val="1B1B1B"/>
          <w:sz w:val="24"/>
          <w:szCs w:val="24"/>
          <w:shd w:val="clear" w:color="auto" w:fill="FFFFFF"/>
        </w:rPr>
      </w:pPr>
      <w:r w:rsidRPr="00EC564E">
        <w:rPr>
          <w:rFonts w:ascii="Century Gothic" w:hAnsi="Century Gothic"/>
          <w:b/>
          <w:bCs/>
          <w:color w:val="1B1B1B"/>
          <w:sz w:val="24"/>
          <w:szCs w:val="24"/>
          <w:shd w:val="clear" w:color="auto" w:fill="FFFFFF"/>
        </w:rPr>
        <w:t>November 6, 2024</w:t>
      </w:r>
      <w:r w:rsidRPr="00EC564E">
        <w:rPr>
          <w:rFonts w:ascii="Century Gothic" w:hAnsi="Century Gothic"/>
          <w:color w:val="1B1B1B"/>
          <w:sz w:val="24"/>
          <w:szCs w:val="24"/>
          <w:shd w:val="clear" w:color="auto" w:fill="FFFFFF"/>
        </w:rPr>
        <w:t xml:space="preserve">; </w:t>
      </w:r>
      <w:r>
        <w:rPr>
          <w:rFonts w:ascii="Century Gothic" w:hAnsi="Century Gothic"/>
          <w:color w:val="1B1B1B"/>
          <w:sz w:val="24"/>
          <w:szCs w:val="24"/>
          <w:shd w:val="clear" w:color="auto" w:fill="FFFFFF"/>
        </w:rPr>
        <w:t>11:00 – 5:00 PM</w:t>
      </w:r>
      <w:r w:rsidR="008B04BA">
        <w:rPr>
          <w:rFonts w:ascii="Century Gothic" w:hAnsi="Century Gothic"/>
          <w:color w:val="1B1B1B"/>
          <w:sz w:val="24"/>
          <w:szCs w:val="24"/>
          <w:shd w:val="clear" w:color="auto" w:fill="FFFFFF"/>
        </w:rPr>
        <w:t>, online</w:t>
      </w:r>
    </w:p>
    <w:p w14:paraId="47E20A30" w14:textId="43ED92B6" w:rsidR="00D40CDF" w:rsidRDefault="00D40CDF" w:rsidP="00D40CDF">
      <w:pPr>
        <w:pStyle w:val="ListParagraph"/>
        <w:numPr>
          <w:ilvl w:val="1"/>
          <w:numId w:val="10"/>
        </w:numPr>
        <w:spacing w:after="0" w:line="240" w:lineRule="auto"/>
        <w:jc w:val="both"/>
        <w:rPr>
          <w:rFonts w:ascii="Century Gothic" w:hAnsi="Century Gothic"/>
          <w:color w:val="1B1B1B"/>
          <w:sz w:val="24"/>
          <w:szCs w:val="24"/>
          <w:shd w:val="clear" w:color="auto" w:fill="FFFFFF"/>
        </w:rPr>
      </w:pPr>
      <w:r w:rsidRPr="00EC564E">
        <w:rPr>
          <w:rFonts w:ascii="Century Gothic" w:hAnsi="Century Gothic"/>
          <w:b/>
          <w:bCs/>
          <w:color w:val="1B1B1B"/>
          <w:sz w:val="24"/>
          <w:szCs w:val="24"/>
          <w:shd w:val="clear" w:color="auto" w:fill="FFFFFF"/>
        </w:rPr>
        <w:t>November 7, 2024</w:t>
      </w:r>
      <w:r w:rsidR="00EC564E" w:rsidRPr="00EC564E">
        <w:rPr>
          <w:rFonts w:ascii="Century Gothic" w:hAnsi="Century Gothic"/>
          <w:color w:val="1B1B1B"/>
          <w:sz w:val="24"/>
          <w:szCs w:val="24"/>
          <w:shd w:val="clear" w:color="auto" w:fill="FFFFFF"/>
        </w:rPr>
        <w:t>;</w:t>
      </w:r>
      <w:r w:rsidR="00EC564E">
        <w:rPr>
          <w:rFonts w:ascii="Century Gothic" w:hAnsi="Century Gothic"/>
          <w:color w:val="1B1B1B"/>
          <w:sz w:val="24"/>
          <w:szCs w:val="24"/>
          <w:shd w:val="clear" w:color="auto" w:fill="FFFFFF"/>
        </w:rPr>
        <w:t xml:space="preserve"> 11:00 – 5:00 PM</w:t>
      </w:r>
      <w:r w:rsidR="008B04BA">
        <w:rPr>
          <w:rFonts w:ascii="Century Gothic" w:hAnsi="Century Gothic"/>
          <w:color w:val="1B1B1B"/>
          <w:sz w:val="24"/>
          <w:szCs w:val="24"/>
          <w:shd w:val="clear" w:color="auto" w:fill="FFFFFF"/>
        </w:rPr>
        <w:t>, online</w:t>
      </w:r>
    </w:p>
    <w:p w14:paraId="0471C7A8" w14:textId="77777777" w:rsidR="000F2118" w:rsidRPr="000F2118" w:rsidRDefault="000F2118" w:rsidP="000F2118">
      <w:pPr>
        <w:spacing w:after="0" w:line="240" w:lineRule="auto"/>
        <w:jc w:val="both"/>
        <w:rPr>
          <w:rFonts w:ascii="Century Gothic" w:hAnsi="Century Gothic"/>
          <w:color w:val="1B1B1B"/>
          <w:sz w:val="24"/>
          <w:szCs w:val="24"/>
          <w:shd w:val="clear" w:color="auto" w:fill="FFFFFF"/>
        </w:rPr>
      </w:pPr>
    </w:p>
    <w:p w14:paraId="50D378AA" w14:textId="046B05E2" w:rsidR="00BC346F" w:rsidRPr="00570C47" w:rsidRDefault="005E793A" w:rsidP="00BC346F">
      <w:pPr>
        <w:pStyle w:val="ListParagraph"/>
        <w:numPr>
          <w:ilvl w:val="0"/>
          <w:numId w:val="10"/>
        </w:numPr>
        <w:spacing w:after="0" w:line="240" w:lineRule="auto"/>
        <w:jc w:val="both"/>
        <w:rPr>
          <w:rFonts w:ascii="Century Gothic" w:hAnsi="Century Gothic"/>
          <w:sz w:val="24"/>
          <w:szCs w:val="24"/>
          <w:shd w:val="clear" w:color="auto" w:fill="FFFFFF"/>
        </w:rPr>
      </w:pPr>
      <w:r w:rsidRPr="00570C47">
        <w:rPr>
          <w:rFonts w:ascii="Century Gothic" w:hAnsi="Century Gothic"/>
          <w:sz w:val="24"/>
          <w:szCs w:val="24"/>
          <w:shd w:val="clear" w:color="auto" w:fill="FFFFFF"/>
        </w:rPr>
        <w:t xml:space="preserve">The </w:t>
      </w:r>
      <w:r w:rsidR="00DE5776" w:rsidRPr="00570C47">
        <w:rPr>
          <w:rFonts w:ascii="Century Gothic" w:hAnsi="Century Gothic"/>
          <w:sz w:val="24"/>
          <w:szCs w:val="24"/>
          <w:shd w:val="clear" w:color="auto" w:fill="FFFFFF"/>
        </w:rPr>
        <w:t xml:space="preserve">Sierra Nevada Alliance Conservation Conference </w:t>
      </w:r>
      <w:r w:rsidR="00E304F0" w:rsidRPr="00570C47">
        <w:rPr>
          <w:rFonts w:ascii="Century Gothic" w:hAnsi="Century Gothic"/>
          <w:sz w:val="24"/>
          <w:szCs w:val="24"/>
          <w:shd w:val="clear" w:color="auto" w:fill="FFFFFF"/>
        </w:rPr>
        <w:t xml:space="preserve">is </w:t>
      </w:r>
      <w:r w:rsidR="00C23D18" w:rsidRPr="00570C47">
        <w:rPr>
          <w:rFonts w:ascii="Century Gothic" w:hAnsi="Century Gothic"/>
          <w:sz w:val="24"/>
          <w:szCs w:val="24"/>
          <w:shd w:val="clear" w:color="auto" w:fill="FFFFFF"/>
        </w:rPr>
        <w:t xml:space="preserve">hosting </w:t>
      </w:r>
      <w:r w:rsidR="00C804A4" w:rsidRPr="00570C47">
        <w:rPr>
          <w:rFonts w:ascii="Century Gothic" w:hAnsi="Century Gothic"/>
          <w:sz w:val="24"/>
          <w:szCs w:val="24"/>
          <w:shd w:val="clear" w:color="auto" w:fill="FFFFFF"/>
        </w:rPr>
        <w:t xml:space="preserve">the </w:t>
      </w:r>
      <w:hyperlink r:id="rId35" w:anchor="1654195951497-1dd22a6e-2541" w:history="1">
        <w:r w:rsidR="00C804A4" w:rsidRPr="0076387C">
          <w:rPr>
            <w:rStyle w:val="Hyperlink"/>
            <w:rFonts w:ascii="Century Gothic" w:hAnsi="Century Gothic"/>
            <w:color w:val="0000FF"/>
            <w:sz w:val="24"/>
            <w:szCs w:val="24"/>
            <w:shd w:val="clear" w:color="auto" w:fill="FFFFFF"/>
          </w:rPr>
          <w:t>2024 Sierra Nevada Alliance Conservation Conference</w:t>
        </w:r>
      </w:hyperlink>
      <w:r w:rsidR="00C804A4">
        <w:rPr>
          <w:rFonts w:ascii="Century Gothic" w:hAnsi="Century Gothic"/>
          <w:color w:val="1B1B1B"/>
          <w:sz w:val="24"/>
          <w:szCs w:val="24"/>
          <w:shd w:val="clear" w:color="auto" w:fill="FFFFFF"/>
        </w:rPr>
        <w:t xml:space="preserve"> </w:t>
      </w:r>
      <w:r w:rsidR="00BC346F" w:rsidRPr="00570C47">
        <w:rPr>
          <w:rFonts w:ascii="Century Gothic" w:hAnsi="Century Gothic"/>
          <w:sz w:val="24"/>
          <w:szCs w:val="24"/>
          <w:shd w:val="clear" w:color="auto" w:fill="FFFFFF"/>
        </w:rPr>
        <w:t xml:space="preserve">in South Lake Tahoe </w:t>
      </w:r>
      <w:r w:rsidRPr="00570C47">
        <w:rPr>
          <w:rFonts w:ascii="Century Gothic" w:hAnsi="Century Gothic"/>
          <w:sz w:val="24"/>
          <w:szCs w:val="24"/>
          <w:shd w:val="clear" w:color="auto" w:fill="FFFFFF"/>
        </w:rPr>
        <w:t>to deepen environmental conversations for the Sierra and move the needle on important initiatives. Presenters include naturalists, artists, outdoor enthusiasts, conservationists, agencies, nonprofits, tribal leaders, policy directors, environmental justice leaders, scientists, and friends of the Sierra.</w:t>
      </w:r>
      <w:r w:rsidR="00C23D18" w:rsidRPr="00570C47">
        <w:rPr>
          <w:rFonts w:ascii="Century Gothic" w:hAnsi="Century Gothic"/>
          <w:sz w:val="24"/>
          <w:szCs w:val="24"/>
          <w:shd w:val="clear" w:color="auto" w:fill="FFFFFF"/>
        </w:rPr>
        <w:t xml:space="preserve"> </w:t>
      </w:r>
    </w:p>
    <w:p w14:paraId="4BA2292E" w14:textId="078568CA" w:rsidR="0076387C" w:rsidRPr="00570C47" w:rsidRDefault="00BC346F" w:rsidP="00BC346F">
      <w:pPr>
        <w:pStyle w:val="ListParagraph"/>
        <w:numPr>
          <w:ilvl w:val="1"/>
          <w:numId w:val="10"/>
        </w:numPr>
        <w:spacing w:after="0" w:line="240" w:lineRule="auto"/>
        <w:jc w:val="both"/>
        <w:rPr>
          <w:rFonts w:ascii="Century Gothic" w:hAnsi="Century Gothic"/>
          <w:sz w:val="24"/>
          <w:szCs w:val="24"/>
          <w:shd w:val="clear" w:color="auto" w:fill="FFFFFF"/>
        </w:rPr>
      </w:pPr>
      <w:r w:rsidRPr="00570C47">
        <w:rPr>
          <w:rFonts w:ascii="Century Gothic" w:hAnsi="Century Gothic"/>
          <w:b/>
          <w:bCs/>
          <w:sz w:val="24"/>
          <w:szCs w:val="24"/>
          <w:shd w:val="clear" w:color="auto" w:fill="FFFFFF"/>
        </w:rPr>
        <w:t xml:space="preserve">November </w:t>
      </w:r>
      <w:r w:rsidR="00507CFB" w:rsidRPr="00570C47">
        <w:rPr>
          <w:rFonts w:ascii="Century Gothic" w:hAnsi="Century Gothic"/>
          <w:b/>
          <w:bCs/>
          <w:sz w:val="24"/>
          <w:szCs w:val="24"/>
          <w:shd w:val="clear" w:color="auto" w:fill="FFFFFF"/>
        </w:rPr>
        <w:t>7</w:t>
      </w:r>
      <w:r w:rsidR="0076387C" w:rsidRPr="00570C47">
        <w:rPr>
          <w:rFonts w:ascii="Century Gothic" w:hAnsi="Century Gothic"/>
          <w:b/>
          <w:bCs/>
          <w:sz w:val="24"/>
          <w:szCs w:val="24"/>
          <w:shd w:val="clear" w:color="auto" w:fill="FFFFFF"/>
        </w:rPr>
        <w:t>, 2024</w:t>
      </w:r>
      <w:r w:rsidR="0076387C" w:rsidRPr="00570C47">
        <w:rPr>
          <w:rFonts w:ascii="Century Gothic" w:hAnsi="Century Gothic"/>
          <w:sz w:val="24"/>
          <w:szCs w:val="24"/>
          <w:shd w:val="clear" w:color="auto" w:fill="FFFFFF"/>
        </w:rPr>
        <w:t>; 3:0</w:t>
      </w:r>
      <w:r w:rsidR="00331B74" w:rsidRPr="00570C47">
        <w:rPr>
          <w:rFonts w:ascii="Century Gothic" w:hAnsi="Century Gothic"/>
          <w:sz w:val="24"/>
          <w:szCs w:val="24"/>
          <w:shd w:val="clear" w:color="auto" w:fill="FFFFFF"/>
        </w:rPr>
        <w:t xml:space="preserve">0 – 5:30 PM </w:t>
      </w:r>
    </w:p>
    <w:p w14:paraId="3A07A42D" w14:textId="1B6199EA" w:rsidR="00BC346F" w:rsidRPr="00570C47" w:rsidRDefault="0076387C" w:rsidP="00BC346F">
      <w:pPr>
        <w:pStyle w:val="ListParagraph"/>
        <w:numPr>
          <w:ilvl w:val="1"/>
          <w:numId w:val="10"/>
        </w:numPr>
        <w:spacing w:after="0" w:line="240" w:lineRule="auto"/>
        <w:jc w:val="both"/>
        <w:rPr>
          <w:rFonts w:ascii="Century Gothic" w:hAnsi="Century Gothic"/>
          <w:sz w:val="24"/>
          <w:szCs w:val="24"/>
          <w:shd w:val="clear" w:color="auto" w:fill="FFFFFF"/>
        </w:rPr>
      </w:pPr>
      <w:r w:rsidRPr="00570C47">
        <w:rPr>
          <w:rFonts w:ascii="Century Gothic" w:hAnsi="Century Gothic"/>
          <w:b/>
          <w:bCs/>
          <w:sz w:val="24"/>
          <w:szCs w:val="24"/>
          <w:shd w:val="clear" w:color="auto" w:fill="FFFFFF"/>
        </w:rPr>
        <w:t xml:space="preserve">November </w:t>
      </w:r>
      <w:r w:rsidR="00507CFB" w:rsidRPr="00570C47">
        <w:rPr>
          <w:rFonts w:ascii="Century Gothic" w:hAnsi="Century Gothic"/>
          <w:b/>
          <w:bCs/>
          <w:sz w:val="24"/>
          <w:szCs w:val="24"/>
          <w:shd w:val="clear" w:color="auto" w:fill="FFFFFF"/>
        </w:rPr>
        <w:t>8, 2024</w:t>
      </w:r>
      <w:r w:rsidRPr="00570C47">
        <w:rPr>
          <w:rFonts w:ascii="Century Gothic" w:hAnsi="Century Gothic"/>
          <w:sz w:val="24"/>
          <w:szCs w:val="24"/>
          <w:shd w:val="clear" w:color="auto" w:fill="FFFFFF"/>
        </w:rPr>
        <w:t xml:space="preserve">; 8:00 – 5:00 PM </w:t>
      </w:r>
    </w:p>
    <w:p w14:paraId="3844375F" w14:textId="77777777" w:rsidR="00B31E47" w:rsidRPr="000F2118" w:rsidRDefault="00B31E47" w:rsidP="000F2118">
      <w:pPr>
        <w:spacing w:after="0" w:line="240" w:lineRule="auto"/>
        <w:jc w:val="both"/>
        <w:rPr>
          <w:rFonts w:ascii="Century Gothic" w:hAnsi="Century Gothic"/>
          <w:color w:val="1B1B1B"/>
          <w:sz w:val="24"/>
          <w:szCs w:val="24"/>
          <w:shd w:val="clear" w:color="auto" w:fill="FFFFFF"/>
        </w:rPr>
      </w:pPr>
    </w:p>
    <w:p w14:paraId="7DA3C719" w14:textId="70CB09CF" w:rsidR="00B33D24" w:rsidRPr="00570C47" w:rsidRDefault="002F1847" w:rsidP="00B33D24">
      <w:pPr>
        <w:pStyle w:val="ListParagraph"/>
        <w:numPr>
          <w:ilvl w:val="0"/>
          <w:numId w:val="10"/>
        </w:numPr>
        <w:spacing w:after="0" w:line="240" w:lineRule="auto"/>
        <w:jc w:val="both"/>
        <w:rPr>
          <w:rFonts w:ascii="Century Gothic" w:hAnsi="Century Gothic"/>
          <w:sz w:val="24"/>
          <w:szCs w:val="24"/>
          <w:shd w:val="clear" w:color="auto" w:fill="FFFFFF"/>
        </w:rPr>
      </w:pPr>
      <w:hyperlink r:id="rId36">
        <w:r w:rsidR="00B33D24" w:rsidRPr="00F45A54">
          <w:rPr>
            <w:rFonts w:ascii="Century Gothic" w:eastAsiaTheme="minorEastAsia" w:hAnsi="Century Gothic"/>
            <w:color w:val="0000FF"/>
            <w:sz w:val="24"/>
            <w:szCs w:val="24"/>
            <w:u w:val="single"/>
          </w:rPr>
          <w:t>The California Financing Coordinating Committee (CFCC) Funding Fair</w:t>
        </w:r>
      </w:hyperlink>
      <w:r w:rsidR="00B33D24" w:rsidRPr="00781B01">
        <w:rPr>
          <w:rFonts w:ascii="Century Gothic" w:hAnsi="Century Gothic"/>
          <w:color w:val="1B1B1B"/>
          <w:sz w:val="24"/>
          <w:szCs w:val="24"/>
          <w:shd w:val="clear" w:color="auto" w:fill="FFFFFF"/>
        </w:rPr>
        <w:t xml:space="preserve"> </w:t>
      </w:r>
      <w:r w:rsidR="00B33D24" w:rsidRPr="00570C47">
        <w:rPr>
          <w:rFonts w:ascii="Century Gothic" w:hAnsi="Century Gothic"/>
          <w:sz w:val="24"/>
          <w:szCs w:val="24"/>
          <w:shd w:val="clear" w:color="auto" w:fill="FFFFFF"/>
        </w:rPr>
        <w:t xml:space="preserve">offers potential applicants the opportunity to meet with each agency to learn more about their available funding to help combine the resources of different agencies to advance infrastructure projects. </w:t>
      </w:r>
    </w:p>
    <w:p w14:paraId="0F1A1108" w14:textId="77777777" w:rsidR="00B33D24" w:rsidRPr="00570C47" w:rsidRDefault="00B33D24" w:rsidP="00B33D24">
      <w:pPr>
        <w:pStyle w:val="ListParagraph"/>
        <w:numPr>
          <w:ilvl w:val="0"/>
          <w:numId w:val="9"/>
        </w:numPr>
        <w:spacing w:after="0" w:line="240" w:lineRule="auto"/>
        <w:jc w:val="both"/>
        <w:rPr>
          <w:rFonts w:ascii="Century Gothic" w:hAnsi="Century Gothic"/>
          <w:sz w:val="24"/>
          <w:szCs w:val="24"/>
          <w:shd w:val="clear" w:color="auto" w:fill="FFFFFF"/>
        </w:rPr>
      </w:pPr>
      <w:r w:rsidRPr="00570C47">
        <w:rPr>
          <w:rFonts w:ascii="Century Gothic" w:eastAsia="Times New Roman" w:hAnsi="Century Gothic" w:cstheme="minorHAnsi"/>
          <w:b/>
          <w:sz w:val="24"/>
          <w:szCs w:val="24"/>
        </w:rPr>
        <w:t>November 7, 2024</w:t>
      </w:r>
      <w:r w:rsidRPr="00570C47">
        <w:rPr>
          <w:rFonts w:ascii="Century Gothic" w:hAnsi="Century Gothic"/>
          <w:b/>
          <w:sz w:val="24"/>
          <w:szCs w:val="24"/>
          <w:shd w:val="clear" w:color="auto" w:fill="FFFFFF"/>
        </w:rPr>
        <w:t>;</w:t>
      </w:r>
      <w:r w:rsidRPr="00570C47">
        <w:rPr>
          <w:rFonts w:ascii="Century Gothic" w:hAnsi="Century Gothic"/>
          <w:sz w:val="24"/>
          <w:szCs w:val="24"/>
          <w:shd w:val="clear" w:color="auto" w:fill="FFFFFF"/>
        </w:rPr>
        <w:t xml:space="preserve"> 9:00 – 12:00 PM, online</w:t>
      </w:r>
    </w:p>
    <w:p w14:paraId="760C18A0" w14:textId="77777777" w:rsidR="00B33D24" w:rsidRPr="00570C47" w:rsidRDefault="00B33D24" w:rsidP="00B33D24">
      <w:pPr>
        <w:pStyle w:val="ListParagraph"/>
        <w:numPr>
          <w:ilvl w:val="0"/>
          <w:numId w:val="9"/>
        </w:numPr>
        <w:spacing w:after="0" w:line="240" w:lineRule="auto"/>
        <w:jc w:val="both"/>
        <w:rPr>
          <w:rFonts w:ascii="Century Gothic" w:hAnsi="Century Gothic"/>
          <w:sz w:val="24"/>
          <w:szCs w:val="24"/>
          <w:shd w:val="clear" w:color="auto" w:fill="FFFFFF"/>
        </w:rPr>
      </w:pPr>
      <w:r w:rsidRPr="00570C47">
        <w:rPr>
          <w:rFonts w:ascii="Century Gothic" w:eastAsia="Times New Roman" w:hAnsi="Century Gothic" w:cstheme="minorHAnsi"/>
          <w:b/>
          <w:sz w:val="24"/>
          <w:szCs w:val="24"/>
        </w:rPr>
        <w:t>November 13, 2024</w:t>
      </w:r>
      <w:r w:rsidRPr="00570C47">
        <w:rPr>
          <w:rFonts w:ascii="Century Gothic" w:hAnsi="Century Gothic"/>
          <w:b/>
          <w:sz w:val="24"/>
          <w:szCs w:val="24"/>
          <w:shd w:val="clear" w:color="auto" w:fill="FFFFFF"/>
        </w:rPr>
        <w:t>;</w:t>
      </w:r>
      <w:r w:rsidRPr="00570C47">
        <w:rPr>
          <w:rFonts w:ascii="Century Gothic" w:hAnsi="Century Gothic"/>
          <w:sz w:val="24"/>
          <w:szCs w:val="24"/>
          <w:shd w:val="clear" w:color="auto" w:fill="FFFFFF"/>
        </w:rPr>
        <w:t xml:space="preserve"> 9:00 – 12:00 PM, online</w:t>
      </w:r>
    </w:p>
    <w:p w14:paraId="0A44FD6E" w14:textId="77777777" w:rsidR="00B33D24" w:rsidRDefault="00B33D24" w:rsidP="000F2118">
      <w:pPr>
        <w:spacing w:after="0" w:line="240" w:lineRule="auto"/>
        <w:jc w:val="both"/>
        <w:rPr>
          <w:rFonts w:ascii="Century Gothic" w:hAnsi="Century Gothic"/>
          <w:color w:val="1B1B1B"/>
          <w:sz w:val="24"/>
          <w:szCs w:val="24"/>
          <w:shd w:val="clear" w:color="auto" w:fill="FFFFFF"/>
        </w:rPr>
      </w:pPr>
    </w:p>
    <w:p w14:paraId="35CECCD6" w14:textId="0E30EE3C" w:rsidR="00A3376C" w:rsidRPr="00570C47" w:rsidRDefault="00A3376C" w:rsidP="74AAFAD5">
      <w:pPr>
        <w:pStyle w:val="NormalWeb"/>
        <w:numPr>
          <w:ilvl w:val="0"/>
          <w:numId w:val="5"/>
        </w:numPr>
        <w:shd w:val="clear" w:color="auto" w:fill="FFFFFF" w:themeFill="background1"/>
        <w:spacing w:before="0" w:beforeAutospacing="0" w:after="0" w:afterAutospacing="0"/>
        <w:jc w:val="both"/>
        <w:rPr>
          <w:rFonts w:ascii="Century Gothic" w:hAnsi="Century Gothic" w:cstheme="minorBidi"/>
        </w:rPr>
      </w:pPr>
      <w:r w:rsidRPr="00781B01">
        <w:rPr>
          <w:rFonts w:ascii="Century Gothic" w:hAnsi="Century Gothic"/>
        </w:rPr>
        <w:t xml:space="preserve">The </w:t>
      </w:r>
      <w:hyperlink r:id="rId37" w:history="1">
        <w:r w:rsidRPr="005F1295">
          <w:rPr>
            <w:rFonts w:ascii="Century Gothic" w:eastAsiaTheme="minorEastAsia" w:hAnsi="Century Gothic" w:cstheme="minorBidi"/>
            <w:color w:val="0000FF"/>
            <w:u w:val="single"/>
          </w:rPr>
          <w:t xml:space="preserve">US Department </w:t>
        </w:r>
        <w:bookmarkStart w:id="0" w:name="_Hlt181184051"/>
        <w:bookmarkStart w:id="1" w:name="_Hlt181184052"/>
        <w:bookmarkEnd w:id="0"/>
        <w:bookmarkEnd w:id="1"/>
        <w:r w:rsidRPr="005F1295">
          <w:rPr>
            <w:rFonts w:ascii="Century Gothic" w:eastAsiaTheme="minorEastAsia" w:hAnsi="Century Gothic" w:cstheme="minorBidi"/>
            <w:color w:val="0000FF"/>
            <w:u w:val="single"/>
          </w:rPr>
          <w:t>of Transportation's Climate Change Center</w:t>
        </w:r>
      </w:hyperlink>
      <w:r w:rsidRPr="005F1295">
        <w:rPr>
          <w:rFonts w:ascii="Century Gothic" w:eastAsiaTheme="minorEastAsia" w:hAnsi="Century Gothic" w:cstheme="minorBidi"/>
          <w:color w:val="0000FF"/>
          <w:u w:val="single"/>
        </w:rPr>
        <w:t xml:space="preserve"> </w:t>
      </w:r>
      <w:r w:rsidRPr="00570C47">
        <w:rPr>
          <w:rFonts w:ascii="Century Gothic" w:hAnsi="Century Gothic" w:cstheme="minorBidi"/>
        </w:rPr>
        <w:t>is hosting a 2024 webinar series on climate change and transportation topics:</w:t>
      </w:r>
      <w:r>
        <w:tab/>
      </w:r>
    </w:p>
    <w:p w14:paraId="5994F05A" w14:textId="77777777" w:rsidR="00A3376C" w:rsidRPr="00570C47" w:rsidRDefault="00A3376C" w:rsidP="009245BA">
      <w:pPr>
        <w:pStyle w:val="ListParagraph"/>
        <w:numPr>
          <w:ilvl w:val="0"/>
          <w:numId w:val="7"/>
        </w:numPr>
        <w:spacing w:after="0" w:line="240" w:lineRule="auto"/>
        <w:jc w:val="both"/>
        <w:rPr>
          <w:rFonts w:ascii="Century Gothic" w:eastAsia="Times New Roman" w:hAnsi="Century Gothic" w:cstheme="minorHAnsi"/>
          <w:sz w:val="24"/>
          <w:szCs w:val="24"/>
        </w:rPr>
      </w:pPr>
      <w:r w:rsidRPr="00570C47">
        <w:rPr>
          <w:rFonts w:ascii="Century Gothic" w:eastAsia="Times New Roman" w:hAnsi="Century Gothic" w:cstheme="minorHAnsi"/>
          <w:b/>
          <w:sz w:val="24"/>
          <w:szCs w:val="24"/>
        </w:rPr>
        <w:t>November 14, 2024</w:t>
      </w:r>
      <w:r w:rsidRPr="00570C47">
        <w:rPr>
          <w:rFonts w:ascii="Century Gothic" w:eastAsia="Times New Roman" w:hAnsi="Century Gothic" w:cstheme="minorHAnsi"/>
          <w:sz w:val="24"/>
          <w:szCs w:val="24"/>
        </w:rPr>
        <w:t xml:space="preserve"> - Resilient Transportation Infrastructure: DOT’s Climate Adaptation Plan 2024-2027</w:t>
      </w:r>
    </w:p>
    <w:p w14:paraId="41D598E4" w14:textId="77777777" w:rsidR="00A3376C" w:rsidRPr="00570C47" w:rsidRDefault="00A3376C" w:rsidP="009245BA">
      <w:pPr>
        <w:pStyle w:val="ListParagraph"/>
        <w:numPr>
          <w:ilvl w:val="1"/>
          <w:numId w:val="7"/>
        </w:numPr>
        <w:spacing w:after="0" w:line="240" w:lineRule="auto"/>
        <w:jc w:val="both"/>
        <w:rPr>
          <w:rFonts w:ascii="Century Gothic" w:eastAsia="Times New Roman" w:hAnsi="Century Gothic" w:cstheme="minorHAnsi"/>
          <w:sz w:val="24"/>
          <w:szCs w:val="24"/>
        </w:rPr>
      </w:pPr>
      <w:r w:rsidRPr="00570C47">
        <w:rPr>
          <w:rFonts w:ascii="Century Gothic" w:eastAsia="Times New Roman" w:hAnsi="Century Gothic" w:cstheme="minorHAnsi"/>
          <w:sz w:val="24"/>
          <w:szCs w:val="24"/>
        </w:rPr>
        <w:t>From 2:00-3:00 PM ET</w:t>
      </w:r>
    </w:p>
    <w:p w14:paraId="3A5747C2" w14:textId="77777777" w:rsidR="00A3376C" w:rsidRPr="00570C47" w:rsidRDefault="00A3376C" w:rsidP="009245BA">
      <w:pPr>
        <w:pStyle w:val="ListParagraph"/>
        <w:numPr>
          <w:ilvl w:val="0"/>
          <w:numId w:val="7"/>
        </w:numPr>
        <w:spacing w:after="0" w:line="240" w:lineRule="auto"/>
        <w:jc w:val="both"/>
        <w:rPr>
          <w:rFonts w:ascii="Century Gothic" w:eastAsia="Times New Roman" w:hAnsi="Century Gothic" w:cstheme="minorHAnsi"/>
          <w:sz w:val="24"/>
          <w:szCs w:val="24"/>
        </w:rPr>
      </w:pPr>
      <w:r w:rsidRPr="00570C47">
        <w:rPr>
          <w:rFonts w:ascii="Century Gothic" w:eastAsia="Times New Roman" w:hAnsi="Century Gothic" w:cstheme="minorHAnsi"/>
          <w:b/>
          <w:sz w:val="24"/>
          <w:szCs w:val="24"/>
        </w:rPr>
        <w:t>December 11, 2024</w:t>
      </w:r>
      <w:r w:rsidRPr="00570C47">
        <w:rPr>
          <w:rFonts w:ascii="Century Gothic" w:eastAsia="Times New Roman" w:hAnsi="Century Gothic" w:cstheme="minorHAnsi"/>
          <w:sz w:val="24"/>
          <w:szCs w:val="24"/>
        </w:rPr>
        <w:t xml:space="preserve"> - Parking Reform as a climate strategy</w:t>
      </w:r>
    </w:p>
    <w:p w14:paraId="740E676F" w14:textId="74A52128" w:rsidR="00834245" w:rsidRPr="00570C47" w:rsidRDefault="00A3376C" w:rsidP="009245BA">
      <w:pPr>
        <w:pStyle w:val="ListParagraph"/>
        <w:numPr>
          <w:ilvl w:val="1"/>
          <w:numId w:val="7"/>
        </w:numPr>
        <w:spacing w:after="0" w:line="240" w:lineRule="auto"/>
        <w:jc w:val="both"/>
        <w:rPr>
          <w:rFonts w:ascii="Century Gothic" w:eastAsia="Times New Roman" w:hAnsi="Century Gothic" w:cstheme="minorHAnsi"/>
          <w:sz w:val="24"/>
          <w:szCs w:val="24"/>
        </w:rPr>
      </w:pPr>
      <w:r w:rsidRPr="00570C47">
        <w:rPr>
          <w:rFonts w:ascii="Century Gothic" w:eastAsia="Times New Roman" w:hAnsi="Century Gothic" w:cstheme="minorHAnsi"/>
          <w:sz w:val="24"/>
          <w:szCs w:val="24"/>
        </w:rPr>
        <w:t>From 2:00-3:00 PM ET</w:t>
      </w:r>
    </w:p>
    <w:p w14:paraId="69707552" w14:textId="77777777" w:rsidR="00DD5666" w:rsidRDefault="00DD5666" w:rsidP="009245BA">
      <w:pPr>
        <w:spacing w:after="0" w:line="240" w:lineRule="auto"/>
        <w:jc w:val="both"/>
        <w:rPr>
          <w:rFonts w:ascii="Century Gothic" w:eastAsia="Times New Roman" w:hAnsi="Century Gothic" w:cstheme="minorHAnsi"/>
          <w:color w:val="403F42"/>
          <w:sz w:val="24"/>
          <w:szCs w:val="24"/>
        </w:rPr>
      </w:pPr>
    </w:p>
    <w:p w14:paraId="4F3415B1" w14:textId="77777777" w:rsidR="00DD5666" w:rsidRPr="00A14B59" w:rsidRDefault="00DD5666" w:rsidP="00DD5666">
      <w:pPr>
        <w:pStyle w:val="NormalWeb"/>
        <w:numPr>
          <w:ilvl w:val="0"/>
          <w:numId w:val="5"/>
        </w:numPr>
        <w:shd w:val="clear" w:color="auto" w:fill="FFFFFF" w:themeFill="background1"/>
        <w:spacing w:before="0" w:beforeAutospacing="0" w:after="0" w:afterAutospacing="0"/>
        <w:jc w:val="both"/>
        <w:rPr>
          <w:rFonts w:ascii="Century Gothic" w:hAnsi="Century Gothic"/>
          <w:b/>
          <w:bCs/>
        </w:rPr>
      </w:pPr>
      <w:r w:rsidRPr="0071089F">
        <w:rPr>
          <w:rFonts w:ascii="Century Gothic" w:hAnsi="Century Gothic"/>
        </w:rPr>
        <w:t xml:space="preserve">The Public Policy Institute of California is holding the </w:t>
      </w:r>
      <w:hyperlink r:id="rId38" w:history="1">
        <w:r w:rsidRPr="003B32FC">
          <w:rPr>
            <w:rStyle w:val="Hyperlink"/>
            <w:rFonts w:ascii="Century Gothic" w:eastAsiaTheme="minorEastAsia" w:hAnsi="Century Gothic"/>
            <w:color w:val="0000FF"/>
          </w:rPr>
          <w:t>Is California Ready for Climate Change?</w:t>
        </w:r>
      </w:hyperlink>
      <w:r w:rsidRPr="003B32FC">
        <w:rPr>
          <w:rFonts w:ascii="Century Gothic" w:hAnsi="Century Gothic"/>
          <w:color w:val="0000FF"/>
        </w:rPr>
        <w:t xml:space="preserve"> </w:t>
      </w:r>
      <w:r w:rsidRPr="0071089F">
        <w:rPr>
          <w:rFonts w:ascii="Century Gothic" w:hAnsi="Century Gothic"/>
        </w:rPr>
        <w:t>2024 Annual Water Conference</w:t>
      </w:r>
      <w:r>
        <w:rPr>
          <w:rFonts w:ascii="Century Gothic" w:hAnsi="Century Gothic"/>
        </w:rPr>
        <w:t xml:space="preserve">. </w:t>
      </w:r>
    </w:p>
    <w:p w14:paraId="246BE222" w14:textId="11F4181A" w:rsidR="00DD5666" w:rsidRPr="00DD5666" w:rsidRDefault="00DD5666" w:rsidP="00EC3198">
      <w:pPr>
        <w:pStyle w:val="ListParagraph"/>
        <w:numPr>
          <w:ilvl w:val="1"/>
          <w:numId w:val="11"/>
        </w:numPr>
        <w:spacing w:after="0"/>
        <w:jc w:val="both"/>
        <w:rPr>
          <w:rFonts w:ascii="Century Gothic" w:hAnsi="Century Gothic"/>
          <w:b/>
          <w:bCs/>
          <w:sz w:val="24"/>
          <w:szCs w:val="24"/>
        </w:rPr>
      </w:pPr>
      <w:r w:rsidRPr="00E51302">
        <w:rPr>
          <w:rFonts w:ascii="Century Gothic" w:eastAsia="Times New Roman" w:hAnsi="Century Gothic" w:cstheme="minorHAnsi"/>
          <w:b/>
          <w:color w:val="403F42"/>
          <w:sz w:val="24"/>
          <w:szCs w:val="24"/>
        </w:rPr>
        <w:t>November 14, 2024</w:t>
      </w:r>
      <w:r>
        <w:rPr>
          <w:rFonts w:ascii="Century Gothic" w:hAnsi="Century Gothic"/>
          <w:sz w:val="24"/>
          <w:szCs w:val="24"/>
        </w:rPr>
        <w:t xml:space="preserve">; </w:t>
      </w:r>
      <w:r w:rsidRPr="0071089F">
        <w:rPr>
          <w:rFonts w:ascii="Century Gothic" w:hAnsi="Century Gothic"/>
          <w:sz w:val="24"/>
          <w:szCs w:val="24"/>
        </w:rPr>
        <w:t>11:30-1:30</w:t>
      </w:r>
      <w:r>
        <w:rPr>
          <w:rFonts w:ascii="Century Gothic" w:hAnsi="Century Gothic"/>
          <w:sz w:val="24"/>
          <w:szCs w:val="24"/>
        </w:rPr>
        <w:t xml:space="preserve"> PM</w:t>
      </w:r>
    </w:p>
    <w:p w14:paraId="2084989C" w14:textId="77777777" w:rsidR="00DD5666" w:rsidRDefault="00DD5666" w:rsidP="000F2118">
      <w:pPr>
        <w:spacing w:after="0"/>
        <w:jc w:val="both"/>
        <w:rPr>
          <w:rFonts w:ascii="Century Gothic" w:hAnsi="Century Gothic"/>
          <w:b/>
          <w:bCs/>
          <w:sz w:val="24"/>
          <w:szCs w:val="24"/>
        </w:rPr>
      </w:pPr>
    </w:p>
    <w:p w14:paraId="556D0072" w14:textId="77777777" w:rsidR="009531D0" w:rsidRDefault="009531D0" w:rsidP="009531D0">
      <w:pPr>
        <w:pStyle w:val="ListParagraph"/>
        <w:numPr>
          <w:ilvl w:val="0"/>
          <w:numId w:val="11"/>
        </w:numPr>
        <w:jc w:val="both"/>
        <w:rPr>
          <w:rFonts w:ascii="Century Gothic" w:eastAsia="Times New Roman" w:hAnsi="Century Gothic"/>
          <w:color w:val="403F42"/>
          <w:sz w:val="24"/>
          <w:szCs w:val="24"/>
        </w:rPr>
      </w:pPr>
      <w:r w:rsidRPr="0071089F">
        <w:rPr>
          <w:rFonts w:ascii="Century Gothic" w:hAnsi="Century Gothic"/>
          <w:sz w:val="24"/>
          <w:szCs w:val="24"/>
        </w:rPr>
        <w:t>Local jurisdictions looking to increase their Outdoor Recreation possibilities may be interested in the</w:t>
      </w:r>
      <w:r w:rsidRPr="0071089F">
        <w:rPr>
          <w:rFonts w:ascii="Century Gothic" w:eastAsia="Times New Roman" w:hAnsi="Century Gothic"/>
          <w:color w:val="403F42"/>
          <w:sz w:val="24"/>
          <w:szCs w:val="24"/>
        </w:rPr>
        <w:t xml:space="preserve"> free webinar</w:t>
      </w:r>
      <w:r w:rsidRPr="0071089F">
        <w:rPr>
          <w:rFonts w:ascii="Century Gothic" w:hAnsi="Century Gothic"/>
          <w:sz w:val="24"/>
          <w:szCs w:val="24"/>
        </w:rPr>
        <w:t xml:space="preserve"> </w:t>
      </w:r>
      <w:hyperlink r:id="rId39">
        <w:r w:rsidRPr="00F45A54">
          <w:rPr>
            <w:rFonts w:ascii="Century Gothic" w:eastAsiaTheme="minorEastAsia" w:hAnsi="Century Gothic"/>
            <w:color w:val="0000FF"/>
            <w:sz w:val="24"/>
            <w:szCs w:val="24"/>
            <w:u w:val="single"/>
          </w:rPr>
          <w:t>Building a Trail-Friendly Community: Three Things You Can Start Today - American Trails</w:t>
        </w:r>
      </w:hyperlink>
      <w:r>
        <w:rPr>
          <w:rStyle w:val="Hyperlink"/>
          <w:rFonts w:ascii="Century Gothic" w:hAnsi="Century Gothic"/>
          <w:sz w:val="24"/>
          <w:szCs w:val="24"/>
        </w:rPr>
        <w:t>.</w:t>
      </w:r>
    </w:p>
    <w:p w14:paraId="51B6FA91" w14:textId="77777777" w:rsidR="009531D0" w:rsidRDefault="009531D0" w:rsidP="009531D0">
      <w:pPr>
        <w:pStyle w:val="ListParagraph"/>
        <w:numPr>
          <w:ilvl w:val="1"/>
          <w:numId w:val="11"/>
        </w:numPr>
        <w:spacing w:after="0"/>
        <w:jc w:val="both"/>
        <w:rPr>
          <w:rFonts w:ascii="Century Gothic" w:eastAsia="Times New Roman" w:hAnsi="Century Gothic"/>
          <w:color w:val="403F42"/>
          <w:sz w:val="24"/>
          <w:szCs w:val="24"/>
        </w:rPr>
      </w:pPr>
      <w:r w:rsidRPr="0071089F">
        <w:rPr>
          <w:rFonts w:ascii="Century Gothic" w:eastAsia="Times New Roman" w:hAnsi="Century Gothic"/>
          <w:b/>
          <w:bCs/>
          <w:color w:val="403F42"/>
          <w:sz w:val="24"/>
          <w:szCs w:val="24"/>
        </w:rPr>
        <w:t>November 14, 2024</w:t>
      </w:r>
      <w:r>
        <w:rPr>
          <w:rFonts w:ascii="Century Gothic" w:eastAsia="Times New Roman" w:hAnsi="Century Gothic"/>
          <w:color w:val="403F42"/>
          <w:sz w:val="24"/>
          <w:szCs w:val="24"/>
        </w:rPr>
        <w:t xml:space="preserve">; </w:t>
      </w:r>
      <w:r w:rsidRPr="00570C47">
        <w:rPr>
          <w:rFonts w:ascii="Century Gothic" w:eastAsia="Times New Roman" w:hAnsi="Century Gothic"/>
          <w:sz w:val="24"/>
          <w:szCs w:val="24"/>
        </w:rPr>
        <w:t xml:space="preserve">10:00-11:00 AM </w:t>
      </w:r>
    </w:p>
    <w:p w14:paraId="452C740D" w14:textId="77777777" w:rsidR="00106540" w:rsidRPr="00DD5666" w:rsidRDefault="00106540" w:rsidP="000F2118">
      <w:pPr>
        <w:spacing w:after="0"/>
        <w:jc w:val="both"/>
        <w:rPr>
          <w:rFonts w:ascii="Century Gothic" w:hAnsi="Century Gothic"/>
          <w:b/>
          <w:sz w:val="24"/>
          <w:szCs w:val="24"/>
        </w:rPr>
      </w:pPr>
    </w:p>
    <w:p w14:paraId="637DB1CB" w14:textId="4267218D" w:rsidR="00106540" w:rsidRPr="00570C47" w:rsidRDefault="004F7B8C" w:rsidP="009245BA">
      <w:pPr>
        <w:pStyle w:val="ListParagraph"/>
        <w:numPr>
          <w:ilvl w:val="0"/>
          <w:numId w:val="10"/>
        </w:numPr>
        <w:spacing w:after="0" w:line="240" w:lineRule="auto"/>
        <w:jc w:val="both"/>
        <w:rPr>
          <w:rFonts w:ascii="Century Gothic" w:eastAsia="Times New Roman" w:hAnsi="Century Gothic" w:cstheme="minorHAnsi"/>
          <w:sz w:val="24"/>
          <w:szCs w:val="24"/>
        </w:rPr>
      </w:pPr>
      <w:r>
        <w:rPr>
          <w:rFonts w:ascii="Century Gothic" w:hAnsi="Century Gothic"/>
          <w:sz w:val="24"/>
          <w:szCs w:val="24"/>
        </w:rPr>
        <w:t>DWR’s</w:t>
      </w:r>
      <w:r w:rsidR="000901F6" w:rsidRPr="00781B01">
        <w:rPr>
          <w:rFonts w:ascii="Century Gothic" w:hAnsi="Century Gothic"/>
          <w:sz w:val="24"/>
          <w:szCs w:val="24"/>
        </w:rPr>
        <w:t xml:space="preserve"> </w:t>
      </w:r>
      <w:hyperlink r:id="rId40" w:history="1">
        <w:r w:rsidR="000901F6" w:rsidRPr="00F45A54">
          <w:rPr>
            <w:rFonts w:ascii="Century Gothic" w:eastAsiaTheme="minorEastAsia" w:hAnsi="Century Gothic"/>
            <w:color w:val="0000FF"/>
            <w:sz w:val="24"/>
            <w:szCs w:val="24"/>
            <w:u w:val="single"/>
          </w:rPr>
          <w:t>Road to Sustainability: SGMA 10-Year Anniversary Event</w:t>
        </w:r>
      </w:hyperlink>
      <w:r w:rsidR="00B701C5" w:rsidRPr="00781B01">
        <w:rPr>
          <w:rFonts w:ascii="Century Gothic" w:eastAsia="Times New Roman" w:hAnsi="Century Gothic" w:cstheme="minorHAnsi"/>
          <w:color w:val="403F42"/>
          <w:sz w:val="24"/>
          <w:szCs w:val="24"/>
        </w:rPr>
        <w:t xml:space="preserve">: </w:t>
      </w:r>
      <w:r w:rsidR="00106540" w:rsidRPr="00570C47">
        <w:rPr>
          <w:rFonts w:ascii="Century Gothic" w:eastAsia="Times New Roman" w:hAnsi="Century Gothic" w:cstheme="minorHAnsi"/>
          <w:sz w:val="24"/>
          <w:szCs w:val="24"/>
        </w:rPr>
        <w:t xml:space="preserve">Hear from local groundwater sustainability agencies, community organizations, state leaders, and others about the progress made over the first 10 years of the Sustainable Groundwater Management Act (SGMA), highlight challenges and lessons learned, and look ahead to advancing sustainable groundwater management. </w:t>
      </w:r>
    </w:p>
    <w:p w14:paraId="34E58B25" w14:textId="76B7342C" w:rsidR="00A14B59" w:rsidRPr="00570C47" w:rsidRDefault="00106540" w:rsidP="009531D0">
      <w:pPr>
        <w:pStyle w:val="ListParagraph"/>
        <w:numPr>
          <w:ilvl w:val="0"/>
          <w:numId w:val="7"/>
        </w:numPr>
        <w:spacing w:after="0" w:line="240" w:lineRule="auto"/>
        <w:jc w:val="both"/>
        <w:rPr>
          <w:rFonts w:ascii="Century Gothic" w:eastAsia="Times New Roman" w:hAnsi="Century Gothic" w:cstheme="minorHAnsi"/>
          <w:sz w:val="24"/>
          <w:szCs w:val="24"/>
        </w:rPr>
      </w:pPr>
      <w:r w:rsidRPr="00570C47">
        <w:rPr>
          <w:rFonts w:ascii="Century Gothic" w:eastAsia="Times New Roman" w:hAnsi="Century Gothic" w:cstheme="minorHAnsi"/>
          <w:b/>
          <w:sz w:val="24"/>
          <w:szCs w:val="24"/>
        </w:rPr>
        <w:t>November 1</w:t>
      </w:r>
      <w:r w:rsidR="00B701C5" w:rsidRPr="00570C47">
        <w:rPr>
          <w:rFonts w:ascii="Century Gothic" w:eastAsia="Times New Roman" w:hAnsi="Century Gothic" w:cstheme="minorHAnsi"/>
          <w:b/>
          <w:sz w:val="24"/>
          <w:szCs w:val="24"/>
        </w:rPr>
        <w:t xml:space="preserve">8, </w:t>
      </w:r>
      <w:r w:rsidRPr="00570C47">
        <w:rPr>
          <w:rFonts w:ascii="Century Gothic" w:eastAsia="Times New Roman" w:hAnsi="Century Gothic" w:cstheme="minorHAnsi"/>
          <w:b/>
          <w:sz w:val="24"/>
          <w:szCs w:val="24"/>
        </w:rPr>
        <w:t>2024</w:t>
      </w:r>
      <w:r w:rsidR="00DC50A4" w:rsidRPr="00570C47">
        <w:rPr>
          <w:rFonts w:ascii="Century Gothic" w:eastAsia="Times New Roman" w:hAnsi="Century Gothic" w:cstheme="minorHAnsi"/>
          <w:b/>
          <w:sz w:val="24"/>
          <w:szCs w:val="24"/>
        </w:rPr>
        <w:t xml:space="preserve">; </w:t>
      </w:r>
      <w:r w:rsidR="00DC50A4" w:rsidRPr="00570C47">
        <w:rPr>
          <w:rFonts w:ascii="Century Gothic" w:eastAsia="Times New Roman" w:hAnsi="Century Gothic" w:cstheme="minorHAnsi"/>
          <w:sz w:val="24"/>
          <w:szCs w:val="24"/>
        </w:rPr>
        <w:t>8:30 – 4:00 PM</w:t>
      </w:r>
    </w:p>
    <w:p w14:paraId="5A1A7FEE" w14:textId="77777777" w:rsidR="00A14B59" w:rsidRPr="0071089F" w:rsidRDefault="00A14B59" w:rsidP="009531D0">
      <w:pPr>
        <w:spacing w:after="0"/>
        <w:jc w:val="both"/>
        <w:rPr>
          <w:rFonts w:ascii="Century Gothic" w:eastAsia="Times New Roman" w:hAnsi="Century Gothic"/>
          <w:color w:val="403F42"/>
          <w:sz w:val="24"/>
          <w:szCs w:val="24"/>
        </w:rPr>
      </w:pPr>
    </w:p>
    <w:p w14:paraId="6B708ED2" w14:textId="77777777" w:rsidR="00A14B59" w:rsidRPr="00A14B59" w:rsidRDefault="00360D67" w:rsidP="00C56C1F">
      <w:pPr>
        <w:pStyle w:val="ListParagraph"/>
        <w:numPr>
          <w:ilvl w:val="0"/>
          <w:numId w:val="11"/>
        </w:numPr>
        <w:spacing w:after="0"/>
        <w:jc w:val="both"/>
        <w:rPr>
          <w:rFonts w:ascii="Century Gothic" w:hAnsi="Century Gothic"/>
          <w:b/>
          <w:bCs/>
          <w:sz w:val="24"/>
          <w:szCs w:val="24"/>
        </w:rPr>
      </w:pPr>
      <w:r w:rsidRPr="0071089F">
        <w:rPr>
          <w:rFonts w:ascii="Century Gothic" w:hAnsi="Century Gothic"/>
          <w:sz w:val="24"/>
          <w:szCs w:val="24"/>
        </w:rPr>
        <w:t xml:space="preserve">The next </w:t>
      </w:r>
      <w:hyperlink r:id="rId41">
        <w:r w:rsidRPr="00F45A54">
          <w:rPr>
            <w:rFonts w:ascii="Century Gothic" w:eastAsiaTheme="minorEastAsia" w:hAnsi="Century Gothic"/>
            <w:color w:val="0000FF"/>
            <w:sz w:val="24"/>
            <w:szCs w:val="24"/>
            <w:u w:val="single"/>
          </w:rPr>
          <w:t>California Wildfire &amp; Forest Resilience Task Force meeting</w:t>
        </w:r>
      </w:hyperlink>
      <w:r w:rsidRPr="0071089F">
        <w:rPr>
          <w:rFonts w:ascii="Century Gothic" w:hAnsi="Century Gothic"/>
          <w:sz w:val="24"/>
          <w:szCs w:val="24"/>
        </w:rPr>
        <w:t xml:space="preserve"> will be held online and in person in Sacramento. </w:t>
      </w:r>
    </w:p>
    <w:p w14:paraId="68BA9A48" w14:textId="7B1AA89C" w:rsidR="00E23BD9" w:rsidRPr="00E23BD9" w:rsidRDefault="00360D67" w:rsidP="00C56C1F">
      <w:pPr>
        <w:pStyle w:val="ListParagraph"/>
        <w:numPr>
          <w:ilvl w:val="1"/>
          <w:numId w:val="11"/>
        </w:numPr>
        <w:spacing w:after="0"/>
        <w:jc w:val="both"/>
        <w:rPr>
          <w:rFonts w:ascii="Century Gothic" w:hAnsi="Century Gothic"/>
          <w:b/>
          <w:bCs/>
          <w:sz w:val="24"/>
          <w:szCs w:val="24"/>
        </w:rPr>
      </w:pPr>
      <w:r w:rsidRPr="00E51302">
        <w:rPr>
          <w:rFonts w:ascii="Century Gothic" w:eastAsia="Times New Roman" w:hAnsi="Century Gothic"/>
          <w:b/>
          <w:color w:val="403F42"/>
          <w:sz w:val="24"/>
          <w:szCs w:val="24"/>
        </w:rPr>
        <w:t>December 13, 2024</w:t>
      </w:r>
      <w:r w:rsidR="00CE2111">
        <w:rPr>
          <w:rFonts w:ascii="Century Gothic" w:hAnsi="Century Gothic"/>
          <w:sz w:val="24"/>
          <w:szCs w:val="24"/>
        </w:rPr>
        <w:t>;</w:t>
      </w:r>
      <w:r w:rsidRPr="0071089F">
        <w:rPr>
          <w:rFonts w:ascii="Century Gothic" w:hAnsi="Century Gothic"/>
          <w:sz w:val="24"/>
          <w:szCs w:val="24"/>
        </w:rPr>
        <w:t xml:space="preserve"> 9:00-12:30</w:t>
      </w:r>
      <w:r w:rsidR="00DC50A4">
        <w:rPr>
          <w:rFonts w:ascii="Century Gothic" w:hAnsi="Century Gothic"/>
          <w:sz w:val="24"/>
          <w:szCs w:val="24"/>
        </w:rPr>
        <w:t xml:space="preserve"> PM</w:t>
      </w:r>
    </w:p>
    <w:p w14:paraId="05D180D8" w14:textId="77777777" w:rsidR="00E23BD9" w:rsidRPr="00E23BD9" w:rsidRDefault="00E23BD9" w:rsidP="000F2118">
      <w:pPr>
        <w:spacing w:after="0"/>
        <w:jc w:val="both"/>
        <w:rPr>
          <w:rFonts w:ascii="Century Gothic" w:hAnsi="Century Gothic"/>
          <w:b/>
          <w:bCs/>
          <w:sz w:val="24"/>
          <w:szCs w:val="24"/>
        </w:rPr>
      </w:pPr>
    </w:p>
    <w:p w14:paraId="287E7099" w14:textId="6C074F25" w:rsidR="00E23BD9" w:rsidRPr="00F45A54" w:rsidRDefault="001366C5" w:rsidP="00570C47">
      <w:pPr>
        <w:pStyle w:val="ListParagraph"/>
        <w:numPr>
          <w:ilvl w:val="0"/>
          <w:numId w:val="11"/>
        </w:numPr>
        <w:spacing w:after="0" w:line="240" w:lineRule="auto"/>
        <w:jc w:val="both"/>
        <w:rPr>
          <w:rFonts w:ascii="Century Gothic" w:hAnsi="Century Gothic"/>
          <w:sz w:val="24"/>
          <w:szCs w:val="24"/>
        </w:rPr>
      </w:pPr>
      <w:r w:rsidRPr="001366C5">
        <w:rPr>
          <w:rFonts w:ascii="Century Gothic" w:hAnsi="Century Gothic"/>
          <w:sz w:val="24"/>
          <w:szCs w:val="24"/>
        </w:rPr>
        <w:t>Columbia Climate School National Center for Disaster Preparedness</w:t>
      </w:r>
      <w:r>
        <w:rPr>
          <w:rFonts w:ascii="Century Gothic" w:hAnsi="Century Gothic"/>
          <w:sz w:val="24"/>
          <w:szCs w:val="24"/>
        </w:rPr>
        <w:t xml:space="preserve"> (NCDP)</w:t>
      </w:r>
      <w:r w:rsidRPr="001366C5">
        <w:rPr>
          <w:rFonts w:ascii="Century Gothic" w:hAnsi="Century Gothic"/>
          <w:sz w:val="24"/>
          <w:szCs w:val="24"/>
        </w:rPr>
        <w:t xml:space="preserve"> - </w:t>
      </w:r>
      <w:hyperlink r:id="rId42" w:history="1">
        <w:r w:rsidRPr="00F45A54">
          <w:rPr>
            <w:rFonts w:ascii="Century Gothic" w:eastAsiaTheme="minorEastAsia" w:hAnsi="Century Gothic"/>
            <w:color w:val="0000FF"/>
            <w:sz w:val="24"/>
            <w:szCs w:val="24"/>
            <w:u w:val="single"/>
          </w:rPr>
          <w:t>AWR-433-W: Climate Literacy for Emergency Managers - Climate Change &amp; Equity</w:t>
        </w:r>
        <w:r>
          <w:rPr>
            <w:rStyle w:val="Hyperlink"/>
            <w:rFonts w:ascii="Century Gothic" w:hAnsi="Century Gothic"/>
            <w:sz w:val="24"/>
            <w:szCs w:val="24"/>
          </w:rPr>
          <w:t xml:space="preserve"> </w:t>
        </w:r>
      </w:hyperlink>
      <w:r w:rsidRPr="00570C47">
        <w:rPr>
          <w:rFonts w:ascii="Century Gothic" w:eastAsia="Times New Roman" w:hAnsi="Century Gothic" w:cstheme="minorHAnsi"/>
          <w:sz w:val="24"/>
          <w:szCs w:val="24"/>
        </w:rPr>
        <w:t>NCDP</w:t>
      </w:r>
      <w:r w:rsidR="00E23BD9" w:rsidRPr="00570C47">
        <w:rPr>
          <w:rFonts w:ascii="Century Gothic" w:eastAsia="Times New Roman" w:hAnsi="Century Gothic" w:cstheme="minorHAnsi"/>
          <w:sz w:val="24"/>
          <w:szCs w:val="24"/>
        </w:rPr>
        <w:t xml:space="preserve"> offers this web-based training to provide a general overview of climate change and how it relates to emergency management. The course is sponsored by FEMA and counts toward their </w:t>
      </w:r>
      <w:hyperlink r:id="rId43" w:history="1">
        <w:r w:rsidR="00E23BD9" w:rsidRPr="00F45A54">
          <w:rPr>
            <w:rFonts w:ascii="Century Gothic" w:eastAsiaTheme="minorEastAsia" w:hAnsi="Century Gothic"/>
            <w:color w:val="0000FF"/>
            <w:sz w:val="24"/>
            <w:szCs w:val="24"/>
            <w:u w:val="single"/>
          </w:rPr>
          <w:t>Climate Adaptation and Hazard Mitigation Certificate</w:t>
        </w:r>
      </w:hyperlink>
      <w:r w:rsidR="00E23BD9" w:rsidRPr="00F45A54">
        <w:rPr>
          <w:rFonts w:ascii="Century Gothic" w:hAnsi="Century Gothic"/>
          <w:sz w:val="24"/>
          <w:szCs w:val="24"/>
        </w:rPr>
        <w:t>.</w:t>
      </w:r>
    </w:p>
    <w:p w14:paraId="7D794D16" w14:textId="77777777" w:rsidR="003B04C9" w:rsidRPr="001366C5" w:rsidRDefault="003B04C9" w:rsidP="000F2118">
      <w:pPr>
        <w:spacing w:after="0"/>
        <w:jc w:val="both"/>
        <w:rPr>
          <w:rFonts w:ascii="Century Gothic" w:hAnsi="Century Gothic"/>
          <w:sz w:val="24"/>
          <w:szCs w:val="24"/>
        </w:rPr>
      </w:pPr>
    </w:p>
    <w:p w14:paraId="3244590C" w14:textId="1682F1C4" w:rsidR="003B04C9" w:rsidRDefault="003B04C9" w:rsidP="009245BA">
      <w:pPr>
        <w:spacing w:after="0"/>
        <w:jc w:val="both"/>
      </w:pPr>
      <w:r w:rsidRPr="00834245">
        <w:rPr>
          <w:noProof/>
        </w:rPr>
        <w:lastRenderedPageBreak/>
        <mc:AlternateContent>
          <mc:Choice Requires="wps">
            <w:drawing>
              <wp:anchor distT="0" distB="0" distL="114300" distR="114300" simplePos="0" relativeHeight="251658244" behindDoc="0" locked="0" layoutInCell="1" allowOverlap="1" wp14:anchorId="031901CC" wp14:editId="577ED305">
                <wp:simplePos x="0" y="0"/>
                <wp:positionH relativeFrom="margin">
                  <wp:posOffset>10688</wp:posOffset>
                </wp:positionH>
                <wp:positionV relativeFrom="paragraph">
                  <wp:posOffset>266444</wp:posOffset>
                </wp:positionV>
                <wp:extent cx="7166344" cy="45719"/>
                <wp:effectExtent l="0" t="0" r="0" b="0"/>
                <wp:wrapTopAndBottom/>
                <wp:docPr id="1768720479" name="Rectangle 6"/>
                <wp:cNvGraphicFramePr/>
                <a:graphic xmlns:a="http://schemas.openxmlformats.org/drawingml/2006/main">
                  <a:graphicData uri="http://schemas.microsoft.com/office/word/2010/wordprocessingShape">
                    <wps:wsp>
                      <wps:cNvSpPr/>
                      <wps:spPr>
                        <a:xfrm>
                          <a:off x="0" y="0"/>
                          <a:ext cx="7166344" cy="45719"/>
                        </a:xfrm>
                        <a:prstGeom prst="rect">
                          <a:avLst/>
                        </a:prstGeom>
                        <a:solidFill>
                          <a:schemeClr val="accent4">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xmlns:w16du="http://schemas.microsoft.com/office/word/2023/wordml/word16du">
            <w:pict>
              <v:rect w14:anchorId="0C010B26" id="Rectangle 6" o:spid="_x0000_s1026" style="position:absolute;margin-left:.85pt;margin-top:21pt;width:564.3pt;height:3.6pt;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" fillcolor="#bf8f00 [2407]" stroked="f" strokeweight="1pt">
                <w10:wrap type="topAndBottom" anchorx="margin"/>
              </v:rect>
            </w:pict>
          </mc:Fallback>
        </mc:AlternateContent>
      </w:r>
      <w:r w:rsidR="005A3DC7">
        <w:rPr>
          <w:rFonts w:ascii="Century Gothic" w:hAnsi="Century Gothic"/>
          <w:b/>
          <w:bCs/>
          <w:noProof/>
          <w:color w:val="44546A" w:themeColor="text2"/>
          <w:sz w:val="26"/>
          <w:szCs w:val="26"/>
        </w:rPr>
        <w:t>NEWS AND ACHIEVEMENTS</w:t>
      </w:r>
    </w:p>
    <w:p w14:paraId="3D4E1565" w14:textId="77777777" w:rsidR="005A3DC7" w:rsidRPr="005A3DC7" w:rsidRDefault="005A3DC7" w:rsidP="009245BA">
      <w:pPr>
        <w:spacing w:after="0"/>
        <w:jc w:val="both"/>
        <w:rPr>
          <w:rFonts w:ascii="Century Gothic" w:hAnsi="Century Gothic"/>
          <w:sz w:val="6"/>
          <w:szCs w:val="6"/>
        </w:rPr>
      </w:pPr>
    </w:p>
    <w:p w14:paraId="6DB319DE" w14:textId="77777777" w:rsidR="00002350" w:rsidRPr="00002350" w:rsidRDefault="00002350" w:rsidP="00002350">
      <w:pPr>
        <w:pStyle w:val="ListParagraph"/>
        <w:ind w:left="360"/>
        <w:jc w:val="both"/>
        <w:rPr>
          <w:rFonts w:ascii="Century Gothic" w:hAnsi="Century Gothic"/>
          <w:sz w:val="4"/>
          <w:szCs w:val="4"/>
        </w:rPr>
      </w:pPr>
    </w:p>
    <w:p w14:paraId="43F699AB" w14:textId="77777777" w:rsidR="002635B9" w:rsidRPr="002635B9" w:rsidRDefault="002635B9" w:rsidP="00A43FA8">
      <w:pPr>
        <w:pStyle w:val="ListParagraph"/>
        <w:spacing w:after="0"/>
        <w:ind w:left="360"/>
        <w:jc w:val="both"/>
        <w:rPr>
          <w:rFonts w:ascii="Century Gothic" w:hAnsi="Century Gothic"/>
          <w:sz w:val="24"/>
          <w:szCs w:val="24"/>
        </w:rPr>
      </w:pPr>
    </w:p>
    <w:p w14:paraId="30F46055" w14:textId="3DDF8B7A" w:rsidR="00B93289" w:rsidRPr="00B93289" w:rsidRDefault="00B93289" w:rsidP="000F2118">
      <w:pPr>
        <w:pStyle w:val="ListParagraph"/>
        <w:numPr>
          <w:ilvl w:val="0"/>
          <w:numId w:val="11"/>
        </w:numPr>
        <w:spacing w:after="0"/>
        <w:jc w:val="both"/>
        <w:rPr>
          <w:rFonts w:ascii="Century Gothic" w:hAnsi="Century Gothic"/>
          <w:sz w:val="24"/>
          <w:szCs w:val="24"/>
        </w:rPr>
      </w:pPr>
      <w:r>
        <w:rPr>
          <w:rFonts w:ascii="Century Gothic" w:eastAsia="Times New Roman" w:hAnsi="Century Gothic"/>
          <w:b/>
          <w:color w:val="403F42"/>
          <w:sz w:val="24"/>
          <w:szCs w:val="24"/>
        </w:rPr>
        <w:t xml:space="preserve">News: </w:t>
      </w:r>
      <w:hyperlink r:id="rId44" w:history="1">
        <w:r w:rsidRPr="006C1E11">
          <w:rPr>
            <w:rStyle w:val="Hyperlink"/>
            <w:rFonts w:ascii="Century Gothic" w:eastAsia="Times New Roman" w:hAnsi="Century Gothic"/>
            <w:bCs/>
            <w:color w:val="0000FF"/>
            <w:sz w:val="24"/>
            <w:szCs w:val="24"/>
          </w:rPr>
          <w:t>FEMA, Cal OES announce $42 million voluntary buyout program to Rancho Palos Verdes homeowners impacted by land movement.</w:t>
        </w:r>
      </w:hyperlink>
      <w:r w:rsidRPr="006C1E11">
        <w:rPr>
          <w:rFonts w:ascii="Century Gothic" w:eastAsia="Times New Roman" w:hAnsi="Century Gothic"/>
          <w:bCs/>
          <w:color w:val="0000FF"/>
          <w:sz w:val="24"/>
          <w:szCs w:val="24"/>
        </w:rPr>
        <w:t xml:space="preserve"> </w:t>
      </w:r>
      <w:r w:rsidR="006C1E11" w:rsidRPr="00570C47">
        <w:rPr>
          <w:rFonts w:ascii="Century Gothic" w:eastAsia="Times New Roman" w:hAnsi="Century Gothic"/>
          <w:sz w:val="24"/>
          <w:szCs w:val="24"/>
        </w:rPr>
        <w:t>State and city leaders on Monday announced a massive $42 million voluntary buyout program for Rancho Palos Verdes residents who have been impacted by the ongoing land movement in the area since 2023.</w:t>
      </w:r>
    </w:p>
    <w:p w14:paraId="36F681DE" w14:textId="77777777" w:rsidR="00B93289" w:rsidRPr="00B93289" w:rsidRDefault="00B93289" w:rsidP="000F2118">
      <w:pPr>
        <w:spacing w:after="0"/>
        <w:jc w:val="both"/>
        <w:rPr>
          <w:rFonts w:ascii="Century Gothic" w:hAnsi="Century Gothic"/>
          <w:sz w:val="24"/>
          <w:szCs w:val="24"/>
        </w:rPr>
      </w:pPr>
    </w:p>
    <w:p w14:paraId="093532A6" w14:textId="2A205F58" w:rsidR="003B04C9" w:rsidRPr="008F37F5" w:rsidRDefault="003B04C9" w:rsidP="000F2118">
      <w:pPr>
        <w:pStyle w:val="ListParagraph"/>
        <w:numPr>
          <w:ilvl w:val="0"/>
          <w:numId w:val="11"/>
        </w:numPr>
        <w:spacing w:after="0"/>
        <w:jc w:val="both"/>
        <w:rPr>
          <w:rFonts w:ascii="Century Gothic" w:hAnsi="Century Gothic"/>
          <w:sz w:val="24"/>
          <w:szCs w:val="24"/>
        </w:rPr>
      </w:pPr>
      <w:r w:rsidRPr="7838B192">
        <w:rPr>
          <w:rFonts w:ascii="Century Gothic" w:eastAsia="Times New Roman" w:hAnsi="Century Gothic"/>
          <w:b/>
          <w:color w:val="403F42"/>
          <w:sz w:val="24"/>
          <w:szCs w:val="24"/>
        </w:rPr>
        <w:t>Report:</w:t>
      </w:r>
      <w:r w:rsidRPr="008F37F5">
        <w:rPr>
          <w:rFonts w:ascii="Century Gothic" w:hAnsi="Century Gothic"/>
          <w:sz w:val="24"/>
          <w:szCs w:val="24"/>
        </w:rPr>
        <w:t xml:space="preserve"> </w:t>
      </w:r>
      <w:r w:rsidRPr="00570C47">
        <w:rPr>
          <w:rFonts w:ascii="Century Gothic" w:eastAsia="Times New Roman" w:hAnsi="Century Gothic"/>
          <w:sz w:val="24"/>
          <w:szCs w:val="24"/>
        </w:rPr>
        <w:t>California 30X30 initiative recently released their 2024 report</w:t>
      </w:r>
      <w:r>
        <w:rPr>
          <w:rFonts w:ascii="Century Gothic" w:eastAsia="Times New Roman" w:hAnsi="Century Gothic"/>
          <w:color w:val="403F42"/>
          <w:sz w:val="24"/>
          <w:szCs w:val="24"/>
        </w:rPr>
        <w:t>,</w:t>
      </w:r>
      <w:r>
        <w:rPr>
          <w:rFonts w:ascii="Century Gothic" w:eastAsiaTheme="minorEastAsia" w:hAnsi="Century Gothic"/>
          <w:color w:val="0000FF"/>
          <w:sz w:val="24"/>
          <w:szCs w:val="24"/>
        </w:rPr>
        <w:t xml:space="preserve"> </w:t>
      </w:r>
      <w:hyperlink r:id="rId45">
        <w:r w:rsidR="264EC2D8" w:rsidRPr="00C22650">
          <w:rPr>
            <w:rFonts w:ascii="Century Gothic" w:eastAsiaTheme="minorEastAsia" w:hAnsi="Century Gothic"/>
            <w:color w:val="0000FF"/>
            <w:sz w:val="24"/>
            <w:szCs w:val="24"/>
            <w:u w:val="single"/>
          </w:rPr>
          <w:t>Pathways to 30 x 30 California Progress Report 2024</w:t>
        </w:r>
      </w:hyperlink>
      <w:r w:rsidRPr="6A2FB678">
        <w:rPr>
          <w:rFonts w:eastAsia="Times New Roman"/>
          <w:color w:val="403F42"/>
        </w:rPr>
        <w:t>,</w:t>
      </w:r>
      <w:r w:rsidRPr="6A2FB678">
        <w:rPr>
          <w:rFonts w:ascii="Century Gothic" w:eastAsia="Times New Roman" w:hAnsi="Century Gothic"/>
          <w:color w:val="403F42"/>
          <w:sz w:val="24"/>
          <w:szCs w:val="24"/>
        </w:rPr>
        <w:t xml:space="preserve"> </w:t>
      </w:r>
      <w:r w:rsidRPr="00570C47">
        <w:rPr>
          <w:rFonts w:ascii="Century Gothic" w:eastAsia="Times New Roman" w:hAnsi="Century Gothic"/>
          <w:sz w:val="24"/>
          <w:szCs w:val="24"/>
        </w:rPr>
        <w:t xml:space="preserve">highlighting the state’s progress toward its conservation goals </w:t>
      </w:r>
      <w:r w:rsidRPr="6A2FB678">
        <w:rPr>
          <w:rFonts w:ascii="Century Gothic" w:eastAsia="Times New Roman" w:hAnsi="Century Gothic"/>
          <w:color w:val="403F42"/>
          <w:sz w:val="24"/>
          <w:szCs w:val="24"/>
        </w:rPr>
        <w:t>and outlining next steps.</w:t>
      </w:r>
    </w:p>
    <w:p w14:paraId="2E882EEA" w14:textId="77777777" w:rsidR="003B04C9" w:rsidRPr="0071089F" w:rsidRDefault="003B04C9" w:rsidP="000F2118">
      <w:pPr>
        <w:spacing w:after="0"/>
        <w:jc w:val="both"/>
        <w:rPr>
          <w:rFonts w:ascii="Century Gothic" w:hAnsi="Century Gothic"/>
          <w:sz w:val="24"/>
          <w:szCs w:val="24"/>
        </w:rPr>
      </w:pPr>
    </w:p>
    <w:p w14:paraId="58E4CA11" w14:textId="023962AF" w:rsidR="003B04C9" w:rsidRPr="00570C47" w:rsidRDefault="003B04C9" w:rsidP="009245BA">
      <w:pPr>
        <w:pStyle w:val="ListParagraph"/>
        <w:numPr>
          <w:ilvl w:val="0"/>
          <w:numId w:val="11"/>
        </w:numPr>
        <w:spacing w:after="0" w:line="240" w:lineRule="auto"/>
        <w:jc w:val="both"/>
        <w:rPr>
          <w:rFonts w:ascii="Century Gothic" w:eastAsia="Times New Roman" w:hAnsi="Century Gothic"/>
          <w:b/>
          <w:sz w:val="24"/>
          <w:szCs w:val="24"/>
        </w:rPr>
      </w:pPr>
      <w:r w:rsidRPr="0071089F">
        <w:rPr>
          <w:rFonts w:ascii="Century Gothic" w:eastAsia="Times New Roman" w:hAnsi="Century Gothic"/>
          <w:b/>
          <w:color w:val="403F42"/>
          <w:sz w:val="24"/>
          <w:szCs w:val="24"/>
        </w:rPr>
        <w:t>Testimony</w:t>
      </w:r>
      <w:r w:rsidR="00F573C1">
        <w:rPr>
          <w:rFonts w:ascii="Century Gothic" w:eastAsia="Times New Roman" w:hAnsi="Century Gothic"/>
          <w:b/>
          <w:color w:val="403F42"/>
          <w:sz w:val="24"/>
          <w:szCs w:val="24"/>
        </w:rPr>
        <w:t>:</w:t>
      </w:r>
      <w:r w:rsidRPr="0071089F">
        <w:rPr>
          <w:rFonts w:ascii="Century Gothic" w:eastAsia="Times New Roman" w:hAnsi="Century Gothic"/>
          <w:b/>
          <w:color w:val="403F42"/>
          <w:sz w:val="24"/>
          <w:szCs w:val="24"/>
        </w:rPr>
        <w:t xml:space="preserve"> </w:t>
      </w:r>
      <w:hyperlink r:id="rId46" w:history="1">
        <w:r w:rsidRPr="00F45A54">
          <w:rPr>
            <w:rFonts w:ascii="Century Gothic" w:eastAsiaTheme="minorEastAsia" w:hAnsi="Century Gothic"/>
            <w:color w:val="0000FF"/>
            <w:sz w:val="24"/>
            <w:szCs w:val="24"/>
            <w:u w:val="single"/>
          </w:rPr>
          <w:t>Building Drought Resiliency for California’s Water Supply Systems – The Role of Permitting Reform</w:t>
        </w:r>
      </w:hyperlink>
      <w:r w:rsidRPr="0071089F">
        <w:rPr>
          <w:rFonts w:ascii="Century Gothic" w:eastAsia="Times New Roman" w:hAnsi="Century Gothic"/>
          <w:bCs/>
          <w:color w:val="403F42"/>
          <w:sz w:val="24"/>
          <w:szCs w:val="24"/>
        </w:rPr>
        <w:t xml:space="preserve">.  </w:t>
      </w:r>
      <w:r w:rsidRPr="00570C47">
        <w:rPr>
          <w:rFonts w:ascii="Century Gothic" w:eastAsia="Times New Roman" w:hAnsi="Century Gothic"/>
          <w:sz w:val="24"/>
          <w:szCs w:val="24"/>
        </w:rPr>
        <w:t>Prepared remarks of PPIC Water Policy Center senior fellow Ellen Hanak testifying at the Assembly Select Committee on Permitting Reform on October 16, 2024. Links to related initiatives and reports are provided.</w:t>
      </w:r>
    </w:p>
    <w:p w14:paraId="79818459" w14:textId="77777777" w:rsidR="003B04C9" w:rsidRPr="000F2118" w:rsidRDefault="003B04C9" w:rsidP="000F2118">
      <w:pPr>
        <w:spacing w:after="0" w:line="240" w:lineRule="auto"/>
        <w:jc w:val="both"/>
        <w:rPr>
          <w:rFonts w:ascii="Century Gothic" w:eastAsia="Times New Roman" w:hAnsi="Century Gothic"/>
          <w:b/>
          <w:sz w:val="24"/>
          <w:szCs w:val="24"/>
        </w:rPr>
      </w:pPr>
    </w:p>
    <w:p w14:paraId="38BDF14D" w14:textId="040EBB37" w:rsidR="00E23BD9" w:rsidRPr="000F2118" w:rsidRDefault="003B04C9" w:rsidP="00E23BD9">
      <w:pPr>
        <w:pStyle w:val="ListParagraph"/>
        <w:numPr>
          <w:ilvl w:val="0"/>
          <w:numId w:val="12"/>
        </w:numPr>
        <w:jc w:val="both"/>
        <w:rPr>
          <w:rFonts w:ascii="Century Gothic" w:eastAsia="Times New Roman" w:hAnsi="Century Gothic" w:cstheme="minorHAnsi"/>
          <w:sz w:val="24"/>
          <w:szCs w:val="24"/>
        </w:rPr>
      </w:pPr>
      <w:r w:rsidRPr="0071089F">
        <w:rPr>
          <w:rFonts w:ascii="Century Gothic" w:eastAsia="Times New Roman" w:hAnsi="Century Gothic" w:cstheme="minorHAnsi"/>
          <w:b/>
          <w:bCs/>
          <w:color w:val="403F42"/>
          <w:sz w:val="24"/>
          <w:szCs w:val="24"/>
        </w:rPr>
        <w:t>Congratulations</w:t>
      </w:r>
      <w:r w:rsidRPr="00F45A54">
        <w:rPr>
          <w:rFonts w:ascii="Century Gothic" w:eastAsia="Times New Roman" w:hAnsi="Century Gothic" w:cstheme="minorHAnsi"/>
          <w:b/>
          <w:bCs/>
          <w:color w:val="403F42"/>
          <w:sz w:val="24"/>
          <w:szCs w:val="24"/>
        </w:rPr>
        <w:t>!:</w:t>
      </w:r>
      <w:r w:rsidRPr="00F45A54">
        <w:rPr>
          <w:rFonts w:ascii="Century Gothic" w:eastAsia="Times New Roman" w:hAnsi="Century Gothic" w:cstheme="minorHAnsi"/>
          <w:color w:val="403F42"/>
          <w:sz w:val="24"/>
          <w:szCs w:val="24"/>
        </w:rPr>
        <w:t xml:space="preserve"> </w:t>
      </w:r>
      <w:hyperlink r:id="rId47" w:history="1">
        <w:r w:rsidRPr="00F45A54">
          <w:rPr>
            <w:rFonts w:ascii="Century Gothic" w:eastAsiaTheme="minorEastAsia" w:hAnsi="Century Gothic"/>
            <w:color w:val="0000FF"/>
            <w:sz w:val="24"/>
            <w:szCs w:val="24"/>
            <w:u w:val="single"/>
          </w:rPr>
          <w:t>Biden-Harris Administration and FEMA Selects La Jolla Band of the Luiseño Indians | FEMA.gov</w:t>
        </w:r>
      </w:hyperlink>
      <w:r w:rsidRPr="0071089F">
        <w:rPr>
          <w:rFonts w:ascii="Century Gothic" w:hAnsi="Century Gothic"/>
          <w:sz w:val="24"/>
          <w:szCs w:val="24"/>
        </w:rPr>
        <w:t xml:space="preserve"> </w:t>
      </w:r>
      <w:r w:rsidRPr="00570C47">
        <w:rPr>
          <w:rFonts w:ascii="Century Gothic" w:eastAsia="Times New Roman" w:hAnsi="Century Gothic" w:cstheme="minorHAnsi"/>
          <w:sz w:val="24"/>
          <w:szCs w:val="24"/>
        </w:rPr>
        <w:t xml:space="preserve">On September 17, 2024 </w:t>
      </w:r>
      <w:r w:rsidRPr="0071089F">
        <w:rPr>
          <w:rFonts w:ascii="Century Gothic" w:hAnsi="Century Gothic"/>
          <w:sz w:val="24"/>
          <w:szCs w:val="24"/>
        </w:rPr>
        <w:t>FEMA</w:t>
      </w:r>
      <w:r w:rsidRPr="00570C47">
        <w:rPr>
          <w:rFonts w:ascii="Century Gothic" w:eastAsia="Times New Roman" w:hAnsi="Century Gothic" w:cstheme="minorHAnsi"/>
          <w:sz w:val="24"/>
          <w:szCs w:val="24"/>
        </w:rPr>
        <w:t xml:space="preserve"> announced that funding through the</w:t>
      </w:r>
      <w:r w:rsidRPr="00570C47">
        <w:rPr>
          <w:rFonts w:ascii="Century Gothic" w:hAnsi="Century Gothic"/>
          <w:sz w:val="24"/>
          <w:szCs w:val="24"/>
          <w:shd w:val="clear" w:color="auto" w:fill="FFFFFF"/>
        </w:rPr>
        <w:t> </w:t>
      </w:r>
      <w:hyperlink r:id="rId48" w:history="1">
        <w:r w:rsidRPr="00F45A54">
          <w:rPr>
            <w:rFonts w:ascii="Century Gothic" w:eastAsiaTheme="minorEastAsia" w:hAnsi="Century Gothic"/>
            <w:color w:val="0000FF"/>
            <w:sz w:val="24"/>
            <w:szCs w:val="24"/>
            <w:u w:val="single"/>
          </w:rPr>
          <w:t>Safeguarding Tomorrow Revolving Loan Fund Program</w:t>
        </w:r>
      </w:hyperlink>
      <w:r w:rsidRPr="0071089F">
        <w:rPr>
          <w:rFonts w:ascii="Century Gothic" w:hAnsi="Century Gothic"/>
          <w:color w:val="1B1B1B"/>
          <w:sz w:val="24"/>
          <w:szCs w:val="24"/>
          <w:shd w:val="clear" w:color="auto" w:fill="FFFFFF"/>
        </w:rPr>
        <w:t> </w:t>
      </w:r>
      <w:r w:rsidRPr="00570C47">
        <w:rPr>
          <w:rFonts w:ascii="Century Gothic" w:eastAsia="Times New Roman" w:hAnsi="Century Gothic" w:cstheme="minorHAnsi"/>
          <w:sz w:val="24"/>
          <w:szCs w:val="24"/>
        </w:rPr>
        <w:t xml:space="preserve">will provide $5.1 million to La Jolla Band of the Luiseño Indians to strengthen critical infrastructure and enhance resilience to natural hazards and climate change. Projects will include road and flood drainage improvement, earthquake hazard mitigation, flood control planning, fuel reduction to prevent wildfires, and other initiatives outlined in their Tribal Hazard Mitigation Plan. </w:t>
      </w:r>
    </w:p>
    <w:p w14:paraId="20988BFD" w14:textId="175281ED" w:rsidR="00360D67" w:rsidRPr="00360D67" w:rsidRDefault="00454FB2" w:rsidP="00360D67">
      <w:pPr>
        <w:spacing w:after="0" w:line="240" w:lineRule="auto"/>
        <w:rPr>
          <w:rFonts w:ascii="Century Gothic" w:hAnsi="Century Gothic"/>
          <w:color w:val="1B1B1B"/>
          <w:sz w:val="24"/>
          <w:szCs w:val="24"/>
          <w:shd w:val="clear" w:color="auto" w:fill="FFFFFF"/>
        </w:rPr>
      </w:pPr>
      <w:r>
        <w:rPr>
          <w:noProof/>
        </w:rPr>
        <w:drawing>
          <wp:inline distT="0" distB="0" distL="0" distR="0" wp14:anchorId="534F2030" wp14:editId="5FE28F17">
            <wp:extent cx="7223760" cy="638175"/>
            <wp:effectExtent l="0" t="0" r="0" b="9525"/>
            <wp:docPr id="2021023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023528" name=""/>
                    <pic:cNvPicPr/>
                  </pic:nvPicPr>
                  <pic:blipFill>
                    <a:blip r:embed="rId49"/>
                    <a:stretch>
                      <a:fillRect/>
                    </a:stretch>
                  </pic:blipFill>
                  <pic:spPr>
                    <a:xfrm>
                      <a:off x="0" y="0"/>
                      <a:ext cx="7223760" cy="638175"/>
                    </a:xfrm>
                    <a:prstGeom prst="rect">
                      <a:avLst/>
                    </a:prstGeom>
                  </pic:spPr>
                </pic:pic>
              </a:graphicData>
            </a:graphic>
          </wp:inline>
        </w:drawing>
      </w:r>
    </w:p>
    <w:p w14:paraId="499B095B" w14:textId="41902701" w:rsidR="00D025D2" w:rsidRDefault="00D025D2" w:rsidP="00524B6A">
      <w:pPr>
        <w:spacing w:after="0"/>
      </w:pPr>
    </w:p>
    <w:sectPr w:rsidR="00D025D2" w:rsidSect="00F56C1E">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FC9"/>
    <w:multiLevelType w:val="hybridMultilevel"/>
    <w:tmpl w:val="3E580974"/>
    <w:lvl w:ilvl="0" w:tplc="04090001">
      <w:start w:val="1"/>
      <w:numFmt w:val="bullet"/>
      <w:lvlText w:val=""/>
      <w:lvlJc w:val="left"/>
      <w:pPr>
        <w:ind w:left="360" w:hanging="360"/>
      </w:pPr>
      <w:rPr>
        <w:rFonts w:ascii="Symbol" w:hAnsi="Symbol" w:hint="default"/>
      </w:rPr>
    </w:lvl>
    <w:lvl w:ilvl="1" w:tplc="0A3056E4">
      <w:start w:val="1"/>
      <w:numFmt w:val="bullet"/>
      <w:lvlText w:val="o"/>
      <w:lvlJc w:val="left"/>
      <w:pPr>
        <w:ind w:left="1260" w:hanging="360"/>
      </w:pPr>
      <w:rPr>
        <w:rFonts w:ascii="Courier New" w:hAnsi="Courier New" w:cs="Courier New"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41738"/>
    <w:multiLevelType w:val="hybridMultilevel"/>
    <w:tmpl w:val="E6A03C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83065"/>
    <w:multiLevelType w:val="hybridMultilevel"/>
    <w:tmpl w:val="CD90B60E"/>
    <w:lvl w:ilvl="0" w:tplc="04090001">
      <w:start w:val="1"/>
      <w:numFmt w:val="bullet"/>
      <w:lvlText w:val=""/>
      <w:lvlJc w:val="left"/>
      <w:pPr>
        <w:ind w:left="360" w:hanging="360"/>
      </w:pPr>
      <w:rPr>
        <w:rFonts w:ascii="Symbol" w:hAnsi="Symbol" w:hint="default"/>
      </w:rPr>
    </w:lvl>
    <w:lvl w:ilvl="1" w:tplc="CEB0E21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C5FFF"/>
    <w:multiLevelType w:val="hybridMultilevel"/>
    <w:tmpl w:val="1856F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595A54"/>
    <w:multiLevelType w:val="hybridMultilevel"/>
    <w:tmpl w:val="FB90814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8F5E09"/>
    <w:multiLevelType w:val="hybridMultilevel"/>
    <w:tmpl w:val="423C708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DC2392E"/>
    <w:multiLevelType w:val="hybridMultilevel"/>
    <w:tmpl w:val="DD3010CE"/>
    <w:lvl w:ilvl="0" w:tplc="184C779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3004A6"/>
    <w:multiLevelType w:val="hybridMultilevel"/>
    <w:tmpl w:val="C7D27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8C10BF"/>
    <w:multiLevelType w:val="hybridMultilevel"/>
    <w:tmpl w:val="67823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20A05"/>
    <w:multiLevelType w:val="hybridMultilevel"/>
    <w:tmpl w:val="2E90BD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89F4802"/>
    <w:multiLevelType w:val="hybridMultilevel"/>
    <w:tmpl w:val="4B569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900F23"/>
    <w:multiLevelType w:val="hybridMultilevel"/>
    <w:tmpl w:val="FE442D12"/>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430" w:hanging="360"/>
      </w:pPr>
      <w:rPr>
        <w:rFonts w:ascii="Wingdings" w:hAnsi="Wingdings"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757750489">
    <w:abstractNumId w:val="1"/>
  </w:num>
  <w:num w:numId="2" w16cid:durableId="1555315625">
    <w:abstractNumId w:val="0"/>
  </w:num>
  <w:num w:numId="3" w16cid:durableId="1539511007">
    <w:abstractNumId w:val="4"/>
  </w:num>
  <w:num w:numId="4" w16cid:durableId="1910769484">
    <w:abstractNumId w:val="2"/>
  </w:num>
  <w:num w:numId="5" w16cid:durableId="709843347">
    <w:abstractNumId w:val="3"/>
  </w:num>
  <w:num w:numId="6" w16cid:durableId="2105954063">
    <w:abstractNumId w:val="8"/>
  </w:num>
  <w:num w:numId="7" w16cid:durableId="307364533">
    <w:abstractNumId w:val="11"/>
  </w:num>
  <w:num w:numId="8" w16cid:durableId="175268339">
    <w:abstractNumId w:val="10"/>
  </w:num>
  <w:num w:numId="9" w16cid:durableId="1211845447">
    <w:abstractNumId w:val="5"/>
  </w:num>
  <w:num w:numId="10" w16cid:durableId="1972976793">
    <w:abstractNumId w:val="9"/>
  </w:num>
  <w:num w:numId="11" w16cid:durableId="97261443">
    <w:abstractNumId w:val="7"/>
  </w:num>
  <w:num w:numId="12" w16cid:durableId="1551530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9F"/>
    <w:rsid w:val="000003FD"/>
    <w:rsid w:val="00000A91"/>
    <w:rsid w:val="00002350"/>
    <w:rsid w:val="00003905"/>
    <w:rsid w:val="00004847"/>
    <w:rsid w:val="00006463"/>
    <w:rsid w:val="000266A6"/>
    <w:rsid w:val="000273C1"/>
    <w:rsid w:val="0004122E"/>
    <w:rsid w:val="00053AD9"/>
    <w:rsid w:val="000571A7"/>
    <w:rsid w:val="000646E4"/>
    <w:rsid w:val="00073328"/>
    <w:rsid w:val="00080A3E"/>
    <w:rsid w:val="00084EAD"/>
    <w:rsid w:val="000901F6"/>
    <w:rsid w:val="000D239D"/>
    <w:rsid w:val="000D30B1"/>
    <w:rsid w:val="000D6A44"/>
    <w:rsid w:val="000D6D9B"/>
    <w:rsid w:val="000E6BA6"/>
    <w:rsid w:val="000F1BF7"/>
    <w:rsid w:val="000F2118"/>
    <w:rsid w:val="000F34CD"/>
    <w:rsid w:val="00100A6E"/>
    <w:rsid w:val="00106540"/>
    <w:rsid w:val="001163C7"/>
    <w:rsid w:val="00134634"/>
    <w:rsid w:val="001366C5"/>
    <w:rsid w:val="0014663F"/>
    <w:rsid w:val="00147641"/>
    <w:rsid w:val="00167647"/>
    <w:rsid w:val="00190D34"/>
    <w:rsid w:val="00197C69"/>
    <w:rsid w:val="001A22C4"/>
    <w:rsid w:val="001A233D"/>
    <w:rsid w:val="001B27B9"/>
    <w:rsid w:val="001B7CF2"/>
    <w:rsid w:val="001D3292"/>
    <w:rsid w:val="001D79A4"/>
    <w:rsid w:val="002123D2"/>
    <w:rsid w:val="00216F7C"/>
    <w:rsid w:val="002220D2"/>
    <w:rsid w:val="0023735B"/>
    <w:rsid w:val="002400ED"/>
    <w:rsid w:val="002635B9"/>
    <w:rsid w:val="00281D35"/>
    <w:rsid w:val="0029034C"/>
    <w:rsid w:val="002976EB"/>
    <w:rsid w:val="002A00BA"/>
    <w:rsid w:val="002B2195"/>
    <w:rsid w:val="002B432E"/>
    <w:rsid w:val="002B54FA"/>
    <w:rsid w:val="002C2B35"/>
    <w:rsid w:val="002F1847"/>
    <w:rsid w:val="002F547F"/>
    <w:rsid w:val="00301250"/>
    <w:rsid w:val="003044C3"/>
    <w:rsid w:val="00304C21"/>
    <w:rsid w:val="00305528"/>
    <w:rsid w:val="0031022E"/>
    <w:rsid w:val="00312901"/>
    <w:rsid w:val="00322AB1"/>
    <w:rsid w:val="00323C6F"/>
    <w:rsid w:val="00331B74"/>
    <w:rsid w:val="00360D67"/>
    <w:rsid w:val="003626A5"/>
    <w:rsid w:val="003718B0"/>
    <w:rsid w:val="003725E2"/>
    <w:rsid w:val="003739CD"/>
    <w:rsid w:val="003811C8"/>
    <w:rsid w:val="00382DC1"/>
    <w:rsid w:val="0038501F"/>
    <w:rsid w:val="00387519"/>
    <w:rsid w:val="00393510"/>
    <w:rsid w:val="00393CEC"/>
    <w:rsid w:val="003B04C9"/>
    <w:rsid w:val="003B32FC"/>
    <w:rsid w:val="003B76D7"/>
    <w:rsid w:val="003D0319"/>
    <w:rsid w:val="003E0A8B"/>
    <w:rsid w:val="003E61D8"/>
    <w:rsid w:val="004005F1"/>
    <w:rsid w:val="0040640F"/>
    <w:rsid w:val="00426791"/>
    <w:rsid w:val="00437B71"/>
    <w:rsid w:val="0045278E"/>
    <w:rsid w:val="00454FB2"/>
    <w:rsid w:val="00460CEE"/>
    <w:rsid w:val="0046103C"/>
    <w:rsid w:val="00474DA7"/>
    <w:rsid w:val="00474E8E"/>
    <w:rsid w:val="004754BD"/>
    <w:rsid w:val="00476BCC"/>
    <w:rsid w:val="004850F6"/>
    <w:rsid w:val="00495EB7"/>
    <w:rsid w:val="004A0BBC"/>
    <w:rsid w:val="004A2256"/>
    <w:rsid w:val="004B42BB"/>
    <w:rsid w:val="004B5321"/>
    <w:rsid w:val="004B63E8"/>
    <w:rsid w:val="004C6078"/>
    <w:rsid w:val="004D632D"/>
    <w:rsid w:val="004F6C6D"/>
    <w:rsid w:val="004F7B8C"/>
    <w:rsid w:val="00507CFB"/>
    <w:rsid w:val="00521326"/>
    <w:rsid w:val="005222DC"/>
    <w:rsid w:val="00524608"/>
    <w:rsid w:val="00524B6A"/>
    <w:rsid w:val="00536997"/>
    <w:rsid w:val="005373FC"/>
    <w:rsid w:val="005459C5"/>
    <w:rsid w:val="0055698F"/>
    <w:rsid w:val="00570A4C"/>
    <w:rsid w:val="00570C47"/>
    <w:rsid w:val="00574892"/>
    <w:rsid w:val="005756EF"/>
    <w:rsid w:val="00585020"/>
    <w:rsid w:val="00592F32"/>
    <w:rsid w:val="005A0B0B"/>
    <w:rsid w:val="005A3DC7"/>
    <w:rsid w:val="005D0BC0"/>
    <w:rsid w:val="005D3686"/>
    <w:rsid w:val="005E793A"/>
    <w:rsid w:val="005F1295"/>
    <w:rsid w:val="005F1817"/>
    <w:rsid w:val="005F2106"/>
    <w:rsid w:val="005F2D48"/>
    <w:rsid w:val="00602598"/>
    <w:rsid w:val="006035A7"/>
    <w:rsid w:val="00641C82"/>
    <w:rsid w:val="0065513F"/>
    <w:rsid w:val="00664893"/>
    <w:rsid w:val="00682E9C"/>
    <w:rsid w:val="00696352"/>
    <w:rsid w:val="006A2B5D"/>
    <w:rsid w:val="006B0A8A"/>
    <w:rsid w:val="006B340E"/>
    <w:rsid w:val="006B7FC1"/>
    <w:rsid w:val="006C1E11"/>
    <w:rsid w:val="006C73D0"/>
    <w:rsid w:val="006D18D9"/>
    <w:rsid w:val="006E53F2"/>
    <w:rsid w:val="006E5505"/>
    <w:rsid w:val="007049B2"/>
    <w:rsid w:val="00704A4B"/>
    <w:rsid w:val="0071182A"/>
    <w:rsid w:val="00727A52"/>
    <w:rsid w:val="007358E6"/>
    <w:rsid w:val="00747D64"/>
    <w:rsid w:val="007605CA"/>
    <w:rsid w:val="0076284D"/>
    <w:rsid w:val="00762875"/>
    <w:rsid w:val="0076387C"/>
    <w:rsid w:val="00764A88"/>
    <w:rsid w:val="007758A3"/>
    <w:rsid w:val="00781B01"/>
    <w:rsid w:val="00787335"/>
    <w:rsid w:val="00793C54"/>
    <w:rsid w:val="007C3A7E"/>
    <w:rsid w:val="007D1EF2"/>
    <w:rsid w:val="00834245"/>
    <w:rsid w:val="00837575"/>
    <w:rsid w:val="008502AC"/>
    <w:rsid w:val="00874385"/>
    <w:rsid w:val="008A5F07"/>
    <w:rsid w:val="008A679F"/>
    <w:rsid w:val="008B04BA"/>
    <w:rsid w:val="008B1E88"/>
    <w:rsid w:val="008B6E8E"/>
    <w:rsid w:val="008C0F00"/>
    <w:rsid w:val="008C6BF0"/>
    <w:rsid w:val="008D01C7"/>
    <w:rsid w:val="008D04B3"/>
    <w:rsid w:val="008D5143"/>
    <w:rsid w:val="008E3D58"/>
    <w:rsid w:val="008F37F5"/>
    <w:rsid w:val="00903FBA"/>
    <w:rsid w:val="00910B2A"/>
    <w:rsid w:val="00914934"/>
    <w:rsid w:val="00915FEB"/>
    <w:rsid w:val="009203E3"/>
    <w:rsid w:val="009245BA"/>
    <w:rsid w:val="0093559D"/>
    <w:rsid w:val="00936793"/>
    <w:rsid w:val="009531D0"/>
    <w:rsid w:val="00956B0B"/>
    <w:rsid w:val="00962293"/>
    <w:rsid w:val="009623FF"/>
    <w:rsid w:val="009747A7"/>
    <w:rsid w:val="00975484"/>
    <w:rsid w:val="009849A2"/>
    <w:rsid w:val="00995DC6"/>
    <w:rsid w:val="009A007D"/>
    <w:rsid w:val="009C583E"/>
    <w:rsid w:val="009E4616"/>
    <w:rsid w:val="009E4975"/>
    <w:rsid w:val="009F2686"/>
    <w:rsid w:val="00A01D61"/>
    <w:rsid w:val="00A04235"/>
    <w:rsid w:val="00A0549C"/>
    <w:rsid w:val="00A14B59"/>
    <w:rsid w:val="00A2172B"/>
    <w:rsid w:val="00A324C7"/>
    <w:rsid w:val="00A3376C"/>
    <w:rsid w:val="00A43FA8"/>
    <w:rsid w:val="00A6095B"/>
    <w:rsid w:val="00A760EA"/>
    <w:rsid w:val="00A80CEE"/>
    <w:rsid w:val="00AB2448"/>
    <w:rsid w:val="00AD374E"/>
    <w:rsid w:val="00AE00D6"/>
    <w:rsid w:val="00B15DCC"/>
    <w:rsid w:val="00B31ABD"/>
    <w:rsid w:val="00B31E47"/>
    <w:rsid w:val="00B33D24"/>
    <w:rsid w:val="00B43A81"/>
    <w:rsid w:val="00B53123"/>
    <w:rsid w:val="00B631DA"/>
    <w:rsid w:val="00B701C5"/>
    <w:rsid w:val="00B72DCC"/>
    <w:rsid w:val="00B81F94"/>
    <w:rsid w:val="00B93289"/>
    <w:rsid w:val="00BA09B0"/>
    <w:rsid w:val="00BA1C69"/>
    <w:rsid w:val="00BC2A21"/>
    <w:rsid w:val="00BC346F"/>
    <w:rsid w:val="00BD5B3F"/>
    <w:rsid w:val="00BF1BC6"/>
    <w:rsid w:val="00C11FC4"/>
    <w:rsid w:val="00C16EEA"/>
    <w:rsid w:val="00C20847"/>
    <w:rsid w:val="00C22650"/>
    <w:rsid w:val="00C23D18"/>
    <w:rsid w:val="00C27876"/>
    <w:rsid w:val="00C419A0"/>
    <w:rsid w:val="00C56C1F"/>
    <w:rsid w:val="00C804A4"/>
    <w:rsid w:val="00C84F5A"/>
    <w:rsid w:val="00CA7EE5"/>
    <w:rsid w:val="00CB4B96"/>
    <w:rsid w:val="00CB7446"/>
    <w:rsid w:val="00CE2111"/>
    <w:rsid w:val="00CE2EE4"/>
    <w:rsid w:val="00CF735F"/>
    <w:rsid w:val="00D025D2"/>
    <w:rsid w:val="00D02BED"/>
    <w:rsid w:val="00D030C0"/>
    <w:rsid w:val="00D206A0"/>
    <w:rsid w:val="00D325BE"/>
    <w:rsid w:val="00D40CDF"/>
    <w:rsid w:val="00D452FD"/>
    <w:rsid w:val="00D45EEE"/>
    <w:rsid w:val="00D63615"/>
    <w:rsid w:val="00D66779"/>
    <w:rsid w:val="00D862D9"/>
    <w:rsid w:val="00DA7790"/>
    <w:rsid w:val="00DC4D5C"/>
    <w:rsid w:val="00DC50A4"/>
    <w:rsid w:val="00DC5773"/>
    <w:rsid w:val="00DD5666"/>
    <w:rsid w:val="00DE5776"/>
    <w:rsid w:val="00DF015E"/>
    <w:rsid w:val="00DF68E0"/>
    <w:rsid w:val="00E0057E"/>
    <w:rsid w:val="00E23BD9"/>
    <w:rsid w:val="00E304F0"/>
    <w:rsid w:val="00E36F5E"/>
    <w:rsid w:val="00E43A4B"/>
    <w:rsid w:val="00E446AC"/>
    <w:rsid w:val="00E450E3"/>
    <w:rsid w:val="00E51302"/>
    <w:rsid w:val="00E514BF"/>
    <w:rsid w:val="00E633CF"/>
    <w:rsid w:val="00E66F9B"/>
    <w:rsid w:val="00E67893"/>
    <w:rsid w:val="00E7221A"/>
    <w:rsid w:val="00E77001"/>
    <w:rsid w:val="00E82C91"/>
    <w:rsid w:val="00E91D6E"/>
    <w:rsid w:val="00E95352"/>
    <w:rsid w:val="00EA2C7B"/>
    <w:rsid w:val="00EA3A94"/>
    <w:rsid w:val="00EB0DA3"/>
    <w:rsid w:val="00EC3198"/>
    <w:rsid w:val="00EC4220"/>
    <w:rsid w:val="00EC564E"/>
    <w:rsid w:val="00ED4E04"/>
    <w:rsid w:val="00EF655B"/>
    <w:rsid w:val="00F11C72"/>
    <w:rsid w:val="00F136F6"/>
    <w:rsid w:val="00F246FD"/>
    <w:rsid w:val="00F35F6B"/>
    <w:rsid w:val="00F36757"/>
    <w:rsid w:val="00F36D41"/>
    <w:rsid w:val="00F45A54"/>
    <w:rsid w:val="00F56C1E"/>
    <w:rsid w:val="00F573C1"/>
    <w:rsid w:val="00F83310"/>
    <w:rsid w:val="00F86CA6"/>
    <w:rsid w:val="00F94C2D"/>
    <w:rsid w:val="00F972B2"/>
    <w:rsid w:val="00FA08A6"/>
    <w:rsid w:val="00FB478E"/>
    <w:rsid w:val="00FC3D36"/>
    <w:rsid w:val="00FC6BD6"/>
    <w:rsid w:val="00FD4101"/>
    <w:rsid w:val="00FD7709"/>
    <w:rsid w:val="00FE7A0B"/>
    <w:rsid w:val="00FF2268"/>
    <w:rsid w:val="00FF613E"/>
    <w:rsid w:val="00FF73EE"/>
    <w:rsid w:val="264EC2D8"/>
    <w:rsid w:val="6A2FB678"/>
    <w:rsid w:val="74AAFAD5"/>
    <w:rsid w:val="7838B192"/>
    <w:rsid w:val="7EE0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706DF"/>
  <w15:chartTrackingRefBased/>
  <w15:docId w15:val="{63A71A12-BCD1-48B3-ADAD-FF22D8CE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40F"/>
    <w:rPr>
      <w:color w:val="0563C1"/>
      <w:u w:val="single"/>
    </w:rPr>
  </w:style>
  <w:style w:type="paragraph" w:styleId="NoSpacing">
    <w:name w:val="No Spacing"/>
    <w:link w:val="NoSpacingChar"/>
    <w:uiPriority w:val="1"/>
    <w:qFormat/>
    <w:rsid w:val="005373FC"/>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373FC"/>
    <w:rPr>
      <w:rFonts w:eastAsiaTheme="minorEastAsia"/>
      <w:kern w:val="0"/>
      <w14:ligatures w14:val="none"/>
    </w:rPr>
  </w:style>
  <w:style w:type="character" w:styleId="UnresolvedMention">
    <w:name w:val="Unresolved Mention"/>
    <w:basedOn w:val="DefaultParagraphFont"/>
    <w:uiPriority w:val="99"/>
    <w:semiHidden/>
    <w:unhideWhenUsed/>
    <w:rsid w:val="000F1BF7"/>
    <w:rPr>
      <w:color w:val="605E5C"/>
      <w:shd w:val="clear" w:color="auto" w:fill="E1DFDD"/>
    </w:rPr>
  </w:style>
  <w:style w:type="paragraph" w:styleId="ListParagraph">
    <w:name w:val="List Paragraph"/>
    <w:basedOn w:val="Normal"/>
    <w:uiPriority w:val="34"/>
    <w:qFormat/>
    <w:rsid w:val="00084EAD"/>
    <w:pPr>
      <w:ind w:left="720"/>
      <w:contextualSpacing/>
    </w:pPr>
    <w:rPr>
      <w:kern w:val="0"/>
      <w14:ligatures w14:val="none"/>
    </w:rPr>
  </w:style>
  <w:style w:type="character" w:styleId="CommentReference">
    <w:name w:val="annotation reference"/>
    <w:basedOn w:val="DefaultParagraphFont"/>
    <w:uiPriority w:val="99"/>
    <w:semiHidden/>
    <w:unhideWhenUsed/>
    <w:rsid w:val="006A2B5D"/>
    <w:rPr>
      <w:sz w:val="16"/>
      <w:szCs w:val="16"/>
    </w:rPr>
  </w:style>
  <w:style w:type="paragraph" w:styleId="CommentText">
    <w:name w:val="annotation text"/>
    <w:basedOn w:val="Normal"/>
    <w:link w:val="CommentTextChar"/>
    <w:uiPriority w:val="99"/>
    <w:unhideWhenUsed/>
    <w:rsid w:val="006A2B5D"/>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A2B5D"/>
    <w:rPr>
      <w:kern w:val="0"/>
      <w:sz w:val="20"/>
      <w:szCs w:val="20"/>
      <w14:ligatures w14:val="none"/>
    </w:rPr>
  </w:style>
  <w:style w:type="character" w:styleId="FollowedHyperlink">
    <w:name w:val="FollowedHyperlink"/>
    <w:basedOn w:val="DefaultParagraphFont"/>
    <w:uiPriority w:val="99"/>
    <w:semiHidden/>
    <w:unhideWhenUsed/>
    <w:rsid w:val="004A2256"/>
    <w:rPr>
      <w:color w:val="954F72" w:themeColor="followedHyperlink"/>
      <w:u w:val="single"/>
    </w:rPr>
  </w:style>
  <w:style w:type="paragraph" w:styleId="NormalWeb">
    <w:name w:val="Normal (Web)"/>
    <w:basedOn w:val="Normal"/>
    <w:uiPriority w:val="99"/>
    <w:unhideWhenUsed/>
    <w:rsid w:val="00524B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312901"/>
    <w:rPr>
      <w:b/>
      <w:bCs/>
      <w:kern w:val="2"/>
      <w14:ligatures w14:val="standardContextual"/>
    </w:rPr>
  </w:style>
  <w:style w:type="character" w:customStyle="1" w:styleId="CommentSubjectChar">
    <w:name w:val="Comment Subject Char"/>
    <w:basedOn w:val="CommentTextChar"/>
    <w:link w:val="CommentSubject"/>
    <w:uiPriority w:val="99"/>
    <w:semiHidden/>
    <w:rsid w:val="00312901"/>
    <w:rPr>
      <w:b/>
      <w:bCs/>
      <w:kern w:val="0"/>
      <w:sz w:val="20"/>
      <w:szCs w:val="20"/>
      <w14:ligatures w14:val="none"/>
    </w:rPr>
  </w:style>
  <w:style w:type="character" w:styleId="Mention">
    <w:name w:val="Mention"/>
    <w:basedOn w:val="DefaultParagraphFont"/>
    <w:uiPriority w:val="99"/>
    <w:unhideWhenUsed/>
    <w:rsid w:val="00312901"/>
    <w:rPr>
      <w:color w:val="2B579A"/>
      <w:shd w:val="clear" w:color="auto" w:fill="E1DFDD"/>
    </w:rPr>
  </w:style>
  <w:style w:type="paragraph" w:styleId="Revision">
    <w:name w:val="Revision"/>
    <w:hidden/>
    <w:uiPriority w:val="99"/>
    <w:semiHidden/>
    <w:rsid w:val="004B4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9230">
      <w:bodyDiv w:val="1"/>
      <w:marLeft w:val="0"/>
      <w:marRight w:val="0"/>
      <w:marTop w:val="0"/>
      <w:marBottom w:val="0"/>
      <w:divBdr>
        <w:top w:val="none" w:sz="0" w:space="0" w:color="auto"/>
        <w:left w:val="none" w:sz="0" w:space="0" w:color="auto"/>
        <w:bottom w:val="none" w:sz="0" w:space="0" w:color="auto"/>
        <w:right w:val="none" w:sz="0" w:space="0" w:color="auto"/>
      </w:divBdr>
    </w:div>
    <w:div w:id="13830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terboards.ca.gov/drinking_water/services/funding/SRF.html" TargetMode="External"/><Relationship Id="rId18" Type="http://schemas.openxmlformats.org/officeDocument/2006/relationships/hyperlink" Target="https://www.caloes.ca.gov/wp-content/uploads/Hazard-Mitigation/Documents/NOFO_HMGP-Post-Fire-2024-FM-5502.pdf" TargetMode="External"/><Relationship Id="rId26" Type="http://schemas.openxmlformats.org/officeDocument/2006/relationships/hyperlink" Target="https://www.fhwa.dot.gov/bipartisan-infrastructure-law/technical_support.cfm" TargetMode="External"/><Relationship Id="rId39" Type="http://schemas.openxmlformats.org/officeDocument/2006/relationships/hyperlink" Target="https://www.americantrails.org/training/building-a-trail-friendly-community-three-things-you-can-start-today" TargetMode="External"/><Relationship Id="rId3" Type="http://schemas.openxmlformats.org/officeDocument/2006/relationships/customXml" Target="../customXml/item3.xml"/><Relationship Id="rId21" Type="http://schemas.openxmlformats.org/officeDocument/2006/relationships/hyperlink" Target="https://www.fws.gov/program/national-fish-passage" TargetMode="External"/><Relationship Id="rId34" Type="http://schemas.openxmlformats.org/officeDocument/2006/relationships/hyperlink" Target="https://sustainableinfrastructure.org/2024conference/?utm_medium=email&amp;utm_source=govdelivery" TargetMode="External"/><Relationship Id="rId42" Type="http://schemas.openxmlformats.org/officeDocument/2006/relationships/hyperlink" Target="https://training.ncdpcourses.org/browse/wbt/climate-and-equity/courses/awr-433-w" TargetMode="External"/><Relationship Id="rId47" Type="http://schemas.openxmlformats.org/officeDocument/2006/relationships/hyperlink" Target="https://www.fema.gov/press-release/20240917/biden-harris-administration-and-fema-selects-la-jolla-band-luiseno-indians"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terboards.ca.gov/water_issues/programs/grants_loans/srf/index.html" TargetMode="External"/><Relationship Id="rId17" Type="http://schemas.openxmlformats.org/officeDocument/2006/relationships/hyperlink" Target="https://gcc02.safelinks.protection.outlook.com/?url=https%3A%2F%2Fvb4va74ab.cc.rs6.net%2Ftn.jsp%3Ff%3D001vBJfyjBtsKpr1Sc4bRWE-ygOwExey5y7fVsvkj4fx4T5ysfuR2ybItZtU-M7v4AMyXtbIyBmyBleuN7lG_YYBETp_g_VYbbe2mU6NkLki6owTbJZvFSew5vNnbyx_QzGb2qxKGhL61iz1DMAGABeSkKlWU7McNTdftOPePXUeUakwm144NYQqKKwG9_UPBjEJd4LAd2ST_j2qzMhYHjIoGvin59UkgZL%26c%3DC1Mcqy71alKA94OseufBpXW0keVxVjKTofJIcWBtfC6YsrJ7neivog%3D%3D%26ch%3DBesALmWAlG4Cd4GJp5Svm-f1CkoEhxLwbyFfJX1EKdjL3SNMb7yXaQ%3D%3D&amp;data=05%7C02%7Csasha.jones%40caloes.ca.gov%7C56dd1b292ce043bbdf1708dccdeb61d5%7Cebf268ae303647149f69c9fd0e9dc6b9%7C1%7C0%7C638611658081578510%7CUnknown%7CTWFpbGZsb3d8eyJWIjoiMC4wLjAwMDAiLCJQIjoiV2luMzIiLCJBTiI6Ik1haWwiLCJXVCI6Mn0%3D%7C0%7C%7C%7C&amp;sdata=jBmyUrhNpqCHb1PwkjkSWOpflJDy%2FbRzVpvFwLUbM2Q%3D&amp;reserved=0" TargetMode="External"/><Relationship Id="rId25" Type="http://schemas.openxmlformats.org/officeDocument/2006/relationships/hyperlink" Target="https://dot.ca.gov/programs/transportation-planning/division-of-transportation-planning/regional-and-community-planning/sustainable-transportation-planning-grants" TargetMode="External"/><Relationship Id="rId33" Type="http://schemas.openxmlformats.org/officeDocument/2006/relationships/hyperlink" Target="https://etools.ksutab.org/tools/tabez" TargetMode="External"/><Relationship Id="rId38" Type="http://schemas.openxmlformats.org/officeDocument/2006/relationships/hyperlink" Target="https://www.ppic.org/event/is-california-ready-for-climate-change/" TargetMode="External"/><Relationship Id="rId46" Type="http://schemas.openxmlformats.org/officeDocument/2006/relationships/hyperlink" Target="https://www.ppic.org/blog/testimony-building-drought-resiliency-for-californias-water-supply-systems-the-role-of-permitting-reform/" TargetMode="External"/><Relationship Id="rId2" Type="http://schemas.openxmlformats.org/officeDocument/2006/relationships/customXml" Target="../customXml/item2.xml"/><Relationship Id="rId16" Type="http://schemas.openxmlformats.org/officeDocument/2006/relationships/hyperlink" Target="https://www.epa.gov/brownfields/marc-grant-application-resources" TargetMode="External"/><Relationship Id="rId20" Type="http://schemas.openxmlformats.org/officeDocument/2006/relationships/hyperlink" Target="https://www.epa.gov/inflation-reduction-act/inflation-reduction-act-community-change-grants-program" TargetMode="External"/><Relationship Id="rId29" Type="http://schemas.openxmlformats.org/officeDocument/2006/relationships/hyperlink" Target="https://www.epa.gov/water-infrastructure/water-technical-assistance-programs" TargetMode="External"/><Relationship Id="rId41" Type="http://schemas.openxmlformats.org/officeDocument/2006/relationships/hyperlink" Target="https://wildfiretaskforce.org/meeting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loes.ca.gov/wp-content/uploads/Long-Term-Recovery-Plan-Guide_compliant.pdf" TargetMode="External"/><Relationship Id="rId24" Type="http://schemas.openxmlformats.org/officeDocument/2006/relationships/hyperlink" Target="https://dot.ca.gov/programs/transportation-planning/division-of-transportation-planning/regional-and-community-planning/sustainable-transportation-planning-grants" TargetMode="External"/><Relationship Id="rId32" Type="http://schemas.openxmlformats.org/officeDocument/2006/relationships/hyperlink" Target="https://www.nrcs.usda.gov/getting-assistance/conservation-technical-assistance/conservation-planning" TargetMode="External"/><Relationship Id="rId37" Type="http://schemas.openxmlformats.org/officeDocument/2006/relationships/hyperlink" Target="https://www.transportation.gov/priorities/climate-and-sustainability/webinars" TargetMode="External"/><Relationship Id="rId40" Type="http://schemas.openxmlformats.org/officeDocument/2006/relationships/hyperlink" Target="https://water.ca.gov/News/Events/2024/Nov-24/SGMA-10-Year-Anniversary" TargetMode="External"/><Relationship Id="rId45" Type="http://schemas.openxmlformats.org/officeDocument/2006/relationships/hyperlink" Target="https://resources.ca.gov/-/media/CNRA-Website/Files/2024_30x30_Pathways_Progress_Report.pdf" TargetMode="External"/><Relationship Id="rId5" Type="http://schemas.openxmlformats.org/officeDocument/2006/relationships/numbering" Target="numbering.xml"/><Relationship Id="rId15" Type="http://schemas.openxmlformats.org/officeDocument/2006/relationships/hyperlink" Target="https://www.fws.gov/service/habitat-conservation-plan-land-acquisition-grants" TargetMode="External"/><Relationship Id="rId23" Type="http://schemas.openxmlformats.org/officeDocument/2006/relationships/hyperlink" Target="https://dot.ca.gov/-/media/dot-media/programs/federal-liaison/documents/factsheets/raise-5-21-2024-a11y.pdf" TargetMode="External"/><Relationship Id="rId28" Type="http://schemas.openxmlformats.org/officeDocument/2006/relationships/hyperlink" Target="https://www.epa.gov/water-infrastructure/water-technical-assistance-waterta" TargetMode="External"/><Relationship Id="rId36" Type="http://schemas.openxmlformats.org/officeDocument/2006/relationships/hyperlink" Target="https://www.cfcc.ca.gov/funding-fairs/" TargetMode="External"/><Relationship Id="rId49" Type="http://schemas.openxmlformats.org/officeDocument/2006/relationships/image" Target="media/image2.png"/><Relationship Id="rId10" Type="http://schemas.openxmlformats.org/officeDocument/2006/relationships/hyperlink" Target="https://www.caloes.ca.gov/wp-content/uploads/Quick-Start-for-Local-RSF-Working-Groups-July-2024.pdf" TargetMode="External"/><Relationship Id="rId19" Type="http://schemas.openxmlformats.org/officeDocument/2006/relationships/hyperlink" Target="https://www.grants.ca.gov/grants/local-partnership-program-competitive/" TargetMode="External"/><Relationship Id="rId31" Type="http://schemas.openxmlformats.org/officeDocument/2006/relationships/hyperlink" Target="https://www.library.ca.gov/grants/ready-or-not/" TargetMode="External"/><Relationship Id="rId44" Type="http://schemas.openxmlformats.org/officeDocument/2006/relationships/hyperlink" Target="https://www.cbsnews.com/losangeles/news/fema-cal-oes-announce-42-million-voluntary-buyout-program-to-rancho-palos-verdes-homeowners-impacted-by-land-movemen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epa.gov/wifia/about-wifia" TargetMode="External"/><Relationship Id="rId22" Type="http://schemas.openxmlformats.org/officeDocument/2006/relationships/hyperlink" Target="https://www.transportation.gov/RAISEgrants" TargetMode="External"/><Relationship Id="rId27" Type="http://schemas.openxmlformats.org/officeDocument/2006/relationships/hyperlink" Target="https://water.ca.gov/Work-With-Us/Technical-Assistance" TargetMode="External"/><Relationship Id="rId30" Type="http://schemas.openxmlformats.org/officeDocument/2006/relationships/hyperlink" Target="https://www.epa.gov/cwsrf/financing-alternatives-comparison-tool" TargetMode="External"/><Relationship Id="rId35" Type="http://schemas.openxmlformats.org/officeDocument/2006/relationships/hyperlink" Target="https://sierranevadaalliance.org/sierra-nevada-alliance-conference/?utm_medium=email&amp;utm_source=govdelivery" TargetMode="External"/><Relationship Id="rId43" Type="http://schemas.openxmlformats.org/officeDocument/2006/relationships/hyperlink" Target="https://training.fema.gov/programs/climate-adaptation-certificate/" TargetMode="External"/><Relationship Id="rId48" Type="http://schemas.openxmlformats.org/officeDocument/2006/relationships/hyperlink" Target="https://www.fema.gov/grants/mitigation/storm-rlf" TargetMode="External"/><Relationship Id="rId8" Type="http://schemas.openxmlformats.org/officeDocument/2006/relationships/webSettings" Target="web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29CFE7-3BAE-452D-A287-29D3E6844872}">
  <we:reference id="a3b40b4f-8edf-490e-9df1-7e66f93912bf" version="1.1.0.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50C01199B31A4EACE212A9EC2232C7" ma:contentTypeVersion="10" ma:contentTypeDescription="Create a new document." ma:contentTypeScope="" ma:versionID="25064afcd6876bcec0e3b2fe56ea55a9">
  <xsd:schema xmlns:xsd="http://www.w3.org/2001/XMLSchema" xmlns:xs="http://www.w3.org/2001/XMLSchema" xmlns:p="http://schemas.microsoft.com/office/2006/metadata/properties" xmlns:ns2="23ce478a-c03e-498d-8d30-d25e76354cf5" xmlns:ns3="a61e565a-395a-42a0-9539-36491fae5fbf" targetNamespace="http://schemas.microsoft.com/office/2006/metadata/properties" ma:root="true" ma:fieldsID="b99ffe25c60ca45e723133927a827b31" ns2:_="" ns3:_="">
    <xsd:import namespace="23ce478a-c03e-498d-8d30-d25e76354cf5"/>
    <xsd:import namespace="a61e565a-395a-42a0-9539-36491fae5f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478a-c03e-498d-8d30-d25e76354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e565a-395a-42a0-9539-36491fae5f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934C4E-A8D0-457D-B162-DDE460A3B6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B96141-26AE-442D-AAAC-D54F425CF359}">
  <ds:schemaRefs>
    <ds:schemaRef ds:uri="http://schemas.microsoft.com/sharepoint/v3/contenttype/forms"/>
  </ds:schemaRefs>
</ds:datastoreItem>
</file>

<file path=customXml/itemProps3.xml><?xml version="1.0" encoding="utf-8"?>
<ds:datastoreItem xmlns:ds="http://schemas.openxmlformats.org/officeDocument/2006/customXml" ds:itemID="{FB8F827E-D55D-4840-B263-22BFBDA800D6}">
  <ds:schemaRefs>
    <ds:schemaRef ds:uri="http://schemas.openxmlformats.org/officeDocument/2006/bibliography"/>
  </ds:schemaRefs>
</ds:datastoreItem>
</file>

<file path=customXml/itemProps4.xml><?xml version="1.0" encoding="utf-8"?>
<ds:datastoreItem xmlns:ds="http://schemas.openxmlformats.org/officeDocument/2006/customXml" ds:itemID="{7FAC3FDD-D470-49F2-9441-C5689B7B4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478a-c03e-498d-8d30-d25e76354cf5"/>
    <ds:schemaRef ds:uri="a61e565a-395a-42a0-9539-36491fae5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2615</Words>
  <Characters>14907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17488</CharactersWithSpaces>
  <SharedDoc>false</SharedDoc>
  <HLinks>
    <vt:vector size="234" baseType="variant">
      <vt:variant>
        <vt:i4>196679</vt:i4>
      </vt:variant>
      <vt:variant>
        <vt:i4>114</vt:i4>
      </vt:variant>
      <vt:variant>
        <vt:i4>0</vt:i4>
      </vt:variant>
      <vt:variant>
        <vt:i4>5</vt:i4>
      </vt:variant>
      <vt:variant>
        <vt:lpwstr>https://www.fema.gov/grants/mitigation/storm-rlf</vt:lpwstr>
      </vt:variant>
      <vt:variant>
        <vt:lpwstr/>
      </vt:variant>
      <vt:variant>
        <vt:i4>2687086</vt:i4>
      </vt:variant>
      <vt:variant>
        <vt:i4>111</vt:i4>
      </vt:variant>
      <vt:variant>
        <vt:i4>0</vt:i4>
      </vt:variant>
      <vt:variant>
        <vt:i4>5</vt:i4>
      </vt:variant>
      <vt:variant>
        <vt:lpwstr>https://www.fema.gov/press-release/20240917/biden-harris-administration-and-fema-selects-la-jolla-band-luiseno-indians</vt:lpwstr>
      </vt:variant>
      <vt:variant>
        <vt:lpwstr/>
      </vt:variant>
      <vt:variant>
        <vt:i4>3932215</vt:i4>
      </vt:variant>
      <vt:variant>
        <vt:i4>108</vt:i4>
      </vt:variant>
      <vt:variant>
        <vt:i4>0</vt:i4>
      </vt:variant>
      <vt:variant>
        <vt:i4>5</vt:i4>
      </vt:variant>
      <vt:variant>
        <vt:lpwstr>https://www.ppic.org/blog/testimony-building-drought-resiliency-for-californias-water-supply-systems-the-role-of-permitting-reform/</vt:lpwstr>
      </vt:variant>
      <vt:variant>
        <vt:lpwstr/>
      </vt:variant>
      <vt:variant>
        <vt:i4>5636125</vt:i4>
      </vt:variant>
      <vt:variant>
        <vt:i4>105</vt:i4>
      </vt:variant>
      <vt:variant>
        <vt:i4>0</vt:i4>
      </vt:variant>
      <vt:variant>
        <vt:i4>5</vt:i4>
      </vt:variant>
      <vt:variant>
        <vt:lpwstr>https://resources.ca.gov/-/media/CNRA-Website/Files/2024_30x30_Pathways_Progress_Report.pdf</vt:lpwstr>
      </vt:variant>
      <vt:variant>
        <vt:lpwstr/>
      </vt:variant>
      <vt:variant>
        <vt:i4>2162730</vt:i4>
      </vt:variant>
      <vt:variant>
        <vt:i4>102</vt:i4>
      </vt:variant>
      <vt:variant>
        <vt:i4>0</vt:i4>
      </vt:variant>
      <vt:variant>
        <vt:i4>5</vt:i4>
      </vt:variant>
      <vt:variant>
        <vt:lpwstr>https://www.cbsnews.com/losangeles/news/fema-cal-oes-announce-42-million-voluntary-buyout-program-to-rancho-palos-verdes-homeowners-impacted-by-land-movement/</vt:lpwstr>
      </vt:variant>
      <vt:variant>
        <vt:lpwstr/>
      </vt:variant>
      <vt:variant>
        <vt:i4>6619262</vt:i4>
      </vt:variant>
      <vt:variant>
        <vt:i4>99</vt:i4>
      </vt:variant>
      <vt:variant>
        <vt:i4>0</vt:i4>
      </vt:variant>
      <vt:variant>
        <vt:i4>5</vt:i4>
      </vt:variant>
      <vt:variant>
        <vt:lpwstr>https://training.fema.gov/programs/climate-adaptation-certificate/</vt:lpwstr>
      </vt:variant>
      <vt:variant>
        <vt:lpwstr/>
      </vt:variant>
      <vt:variant>
        <vt:i4>196691</vt:i4>
      </vt:variant>
      <vt:variant>
        <vt:i4>96</vt:i4>
      </vt:variant>
      <vt:variant>
        <vt:i4>0</vt:i4>
      </vt:variant>
      <vt:variant>
        <vt:i4>5</vt:i4>
      </vt:variant>
      <vt:variant>
        <vt:lpwstr>https://training.ncdpcourses.org/browse/wbt/climate-and-equity/courses/awr-433-w</vt:lpwstr>
      </vt:variant>
      <vt:variant>
        <vt:lpwstr/>
      </vt:variant>
      <vt:variant>
        <vt:i4>6881335</vt:i4>
      </vt:variant>
      <vt:variant>
        <vt:i4>93</vt:i4>
      </vt:variant>
      <vt:variant>
        <vt:i4>0</vt:i4>
      </vt:variant>
      <vt:variant>
        <vt:i4>5</vt:i4>
      </vt:variant>
      <vt:variant>
        <vt:lpwstr>https://wildfiretaskforce.org/meetings/</vt:lpwstr>
      </vt:variant>
      <vt:variant>
        <vt:lpwstr/>
      </vt:variant>
      <vt:variant>
        <vt:i4>1703959</vt:i4>
      </vt:variant>
      <vt:variant>
        <vt:i4>90</vt:i4>
      </vt:variant>
      <vt:variant>
        <vt:i4>0</vt:i4>
      </vt:variant>
      <vt:variant>
        <vt:i4>5</vt:i4>
      </vt:variant>
      <vt:variant>
        <vt:lpwstr>https://water.ca.gov/News/Events/2024/Nov-24/SGMA-10-Year-Anniversary</vt:lpwstr>
      </vt:variant>
      <vt:variant>
        <vt:lpwstr/>
      </vt:variant>
      <vt:variant>
        <vt:i4>4259866</vt:i4>
      </vt:variant>
      <vt:variant>
        <vt:i4>87</vt:i4>
      </vt:variant>
      <vt:variant>
        <vt:i4>0</vt:i4>
      </vt:variant>
      <vt:variant>
        <vt:i4>5</vt:i4>
      </vt:variant>
      <vt:variant>
        <vt:lpwstr>https://www.americantrails.org/training/building-a-trail-friendly-community-three-things-you-can-start-today</vt:lpwstr>
      </vt:variant>
      <vt:variant>
        <vt:lpwstr/>
      </vt:variant>
      <vt:variant>
        <vt:i4>3211364</vt:i4>
      </vt:variant>
      <vt:variant>
        <vt:i4>84</vt:i4>
      </vt:variant>
      <vt:variant>
        <vt:i4>0</vt:i4>
      </vt:variant>
      <vt:variant>
        <vt:i4>5</vt:i4>
      </vt:variant>
      <vt:variant>
        <vt:lpwstr>https://www.ppic.org/event/is-california-ready-for-climate-change/</vt:lpwstr>
      </vt:variant>
      <vt:variant>
        <vt:lpwstr/>
      </vt:variant>
      <vt:variant>
        <vt:i4>1441818</vt:i4>
      </vt:variant>
      <vt:variant>
        <vt:i4>81</vt:i4>
      </vt:variant>
      <vt:variant>
        <vt:i4>0</vt:i4>
      </vt:variant>
      <vt:variant>
        <vt:i4>5</vt:i4>
      </vt:variant>
      <vt:variant>
        <vt:lpwstr>https://www.transportation.gov/priorities/climate-and-sustainability/webinars</vt:lpwstr>
      </vt:variant>
      <vt:variant>
        <vt:lpwstr/>
      </vt:variant>
      <vt:variant>
        <vt:i4>3014756</vt:i4>
      </vt:variant>
      <vt:variant>
        <vt:i4>78</vt:i4>
      </vt:variant>
      <vt:variant>
        <vt:i4>0</vt:i4>
      </vt:variant>
      <vt:variant>
        <vt:i4>5</vt:i4>
      </vt:variant>
      <vt:variant>
        <vt:lpwstr>https://www.cfcc.ca.gov/funding-fairs/</vt:lpwstr>
      </vt:variant>
      <vt:variant>
        <vt:lpwstr/>
      </vt:variant>
      <vt:variant>
        <vt:i4>3866735</vt:i4>
      </vt:variant>
      <vt:variant>
        <vt:i4>75</vt:i4>
      </vt:variant>
      <vt:variant>
        <vt:i4>0</vt:i4>
      </vt:variant>
      <vt:variant>
        <vt:i4>5</vt:i4>
      </vt:variant>
      <vt:variant>
        <vt:lpwstr>https://sierranevadaalliance.org/sierra-nevada-alliance-conference/?utm_medium=email&amp;utm_source=govdelivery</vt:lpwstr>
      </vt:variant>
      <vt:variant>
        <vt:lpwstr>1654195951497-1dd22a6e-2541</vt:lpwstr>
      </vt:variant>
      <vt:variant>
        <vt:i4>2359359</vt:i4>
      </vt:variant>
      <vt:variant>
        <vt:i4>72</vt:i4>
      </vt:variant>
      <vt:variant>
        <vt:i4>0</vt:i4>
      </vt:variant>
      <vt:variant>
        <vt:i4>5</vt:i4>
      </vt:variant>
      <vt:variant>
        <vt:lpwstr>https://sustainableinfrastructure.org/2024conference/?utm_medium=email&amp;utm_source=govdelivery</vt:lpwstr>
      </vt:variant>
      <vt:variant>
        <vt:lpwstr/>
      </vt:variant>
      <vt:variant>
        <vt:i4>6094900</vt:i4>
      </vt:variant>
      <vt:variant>
        <vt:i4>69</vt:i4>
      </vt:variant>
      <vt:variant>
        <vt:i4>0</vt:i4>
      </vt:variant>
      <vt:variant>
        <vt:i4>5</vt:i4>
      </vt:variant>
      <vt:variant>
        <vt:lpwstr>https://etools.ksutab.org/tools/tabez</vt:lpwstr>
      </vt:variant>
      <vt:variant>
        <vt:lpwstr>/</vt:lpwstr>
      </vt:variant>
      <vt:variant>
        <vt:i4>4194330</vt:i4>
      </vt:variant>
      <vt:variant>
        <vt:i4>66</vt:i4>
      </vt:variant>
      <vt:variant>
        <vt:i4>0</vt:i4>
      </vt:variant>
      <vt:variant>
        <vt:i4>5</vt:i4>
      </vt:variant>
      <vt:variant>
        <vt:lpwstr>https://www.nrcs.usda.gov/getting-assistance/conservation-technical-assistance/conservation-planning</vt:lpwstr>
      </vt:variant>
      <vt:variant>
        <vt:lpwstr/>
      </vt:variant>
      <vt:variant>
        <vt:i4>6684787</vt:i4>
      </vt:variant>
      <vt:variant>
        <vt:i4>63</vt:i4>
      </vt:variant>
      <vt:variant>
        <vt:i4>0</vt:i4>
      </vt:variant>
      <vt:variant>
        <vt:i4>5</vt:i4>
      </vt:variant>
      <vt:variant>
        <vt:lpwstr>https://www.library.ca.gov/grants/ready-or-not/</vt:lpwstr>
      </vt:variant>
      <vt:variant>
        <vt:lpwstr/>
      </vt:variant>
      <vt:variant>
        <vt:i4>327687</vt:i4>
      </vt:variant>
      <vt:variant>
        <vt:i4>60</vt:i4>
      </vt:variant>
      <vt:variant>
        <vt:i4>0</vt:i4>
      </vt:variant>
      <vt:variant>
        <vt:i4>5</vt:i4>
      </vt:variant>
      <vt:variant>
        <vt:lpwstr>https://www.epa.gov/cwsrf/financing-alternatives-comparison-tool</vt:lpwstr>
      </vt:variant>
      <vt:variant>
        <vt:lpwstr/>
      </vt:variant>
      <vt:variant>
        <vt:i4>6225926</vt:i4>
      </vt:variant>
      <vt:variant>
        <vt:i4>57</vt:i4>
      </vt:variant>
      <vt:variant>
        <vt:i4>0</vt:i4>
      </vt:variant>
      <vt:variant>
        <vt:i4>5</vt:i4>
      </vt:variant>
      <vt:variant>
        <vt:lpwstr>https://www.epa.gov/water-infrastructure/water-technical-assistance-programs</vt:lpwstr>
      </vt:variant>
      <vt:variant>
        <vt:lpwstr/>
      </vt:variant>
      <vt:variant>
        <vt:i4>2621559</vt:i4>
      </vt:variant>
      <vt:variant>
        <vt:i4>54</vt:i4>
      </vt:variant>
      <vt:variant>
        <vt:i4>0</vt:i4>
      </vt:variant>
      <vt:variant>
        <vt:i4>5</vt:i4>
      </vt:variant>
      <vt:variant>
        <vt:lpwstr>https://www.epa.gov/water-infrastructure/water-technical-assistance-waterta</vt:lpwstr>
      </vt:variant>
      <vt:variant>
        <vt:lpwstr/>
      </vt:variant>
      <vt:variant>
        <vt:i4>2031636</vt:i4>
      </vt:variant>
      <vt:variant>
        <vt:i4>51</vt:i4>
      </vt:variant>
      <vt:variant>
        <vt:i4>0</vt:i4>
      </vt:variant>
      <vt:variant>
        <vt:i4>5</vt:i4>
      </vt:variant>
      <vt:variant>
        <vt:lpwstr>https://water.ca.gov/Work-With-Us/Technical-Assistance</vt:lpwstr>
      </vt:variant>
      <vt:variant>
        <vt:lpwstr>:~:text=Technical%20Assistance.%20We%20provide%20technical%20guidance%20and</vt:lpwstr>
      </vt:variant>
      <vt:variant>
        <vt:i4>7536733</vt:i4>
      </vt:variant>
      <vt:variant>
        <vt:i4>48</vt:i4>
      </vt:variant>
      <vt:variant>
        <vt:i4>0</vt:i4>
      </vt:variant>
      <vt:variant>
        <vt:i4>5</vt:i4>
      </vt:variant>
      <vt:variant>
        <vt:lpwstr>https://www.fhwa.dot.gov/bipartisan-infrastructure-law/technical_support.cfm</vt:lpwstr>
      </vt:variant>
      <vt:variant>
        <vt:lpwstr>:~:text=The%20Resource%20Center%20is%20the%20primary%20source%20of%20technical</vt:lpwstr>
      </vt:variant>
      <vt:variant>
        <vt:i4>7798894</vt:i4>
      </vt:variant>
      <vt:variant>
        <vt:i4>45</vt:i4>
      </vt:variant>
      <vt:variant>
        <vt:i4>0</vt:i4>
      </vt:variant>
      <vt:variant>
        <vt:i4>5</vt:i4>
      </vt:variant>
      <vt:variant>
        <vt:lpwstr>https://dot.ca.gov/programs/transportation-planning/division-of-transportation-planning/regional-and-community-planning/sustainable-transportation-planning-grants</vt:lpwstr>
      </vt:variant>
      <vt:variant>
        <vt:lpwstr/>
      </vt:variant>
      <vt:variant>
        <vt:i4>7798894</vt:i4>
      </vt:variant>
      <vt:variant>
        <vt:i4>42</vt:i4>
      </vt:variant>
      <vt:variant>
        <vt:i4>0</vt:i4>
      </vt:variant>
      <vt:variant>
        <vt:i4>5</vt:i4>
      </vt:variant>
      <vt:variant>
        <vt:lpwstr>https://dot.ca.gov/programs/transportation-planning/division-of-transportation-planning/regional-and-community-planning/sustainable-transportation-planning-grants</vt:lpwstr>
      </vt:variant>
      <vt:variant>
        <vt:lpwstr/>
      </vt:variant>
      <vt:variant>
        <vt:i4>3866674</vt:i4>
      </vt:variant>
      <vt:variant>
        <vt:i4>39</vt:i4>
      </vt:variant>
      <vt:variant>
        <vt:i4>0</vt:i4>
      </vt:variant>
      <vt:variant>
        <vt:i4>5</vt:i4>
      </vt:variant>
      <vt:variant>
        <vt:lpwstr>https://dot.ca.gov/-/media/dot-media/programs/federal-liaison/documents/factsheets/raise-5-21-2024-a11y.pdf</vt:lpwstr>
      </vt:variant>
      <vt:variant>
        <vt:lpwstr/>
      </vt:variant>
      <vt:variant>
        <vt:i4>3145768</vt:i4>
      </vt:variant>
      <vt:variant>
        <vt:i4>36</vt:i4>
      </vt:variant>
      <vt:variant>
        <vt:i4>0</vt:i4>
      </vt:variant>
      <vt:variant>
        <vt:i4>5</vt:i4>
      </vt:variant>
      <vt:variant>
        <vt:lpwstr>https://www.transportation.gov/RAISEgrants</vt:lpwstr>
      </vt:variant>
      <vt:variant>
        <vt:lpwstr/>
      </vt:variant>
      <vt:variant>
        <vt:i4>5046302</vt:i4>
      </vt:variant>
      <vt:variant>
        <vt:i4>33</vt:i4>
      </vt:variant>
      <vt:variant>
        <vt:i4>0</vt:i4>
      </vt:variant>
      <vt:variant>
        <vt:i4>5</vt:i4>
      </vt:variant>
      <vt:variant>
        <vt:lpwstr>https://www.fws.gov/program/national-fish-passage</vt:lpwstr>
      </vt:variant>
      <vt:variant>
        <vt:lpwstr/>
      </vt:variant>
      <vt:variant>
        <vt:i4>2687092</vt:i4>
      </vt:variant>
      <vt:variant>
        <vt:i4>30</vt:i4>
      </vt:variant>
      <vt:variant>
        <vt:i4>0</vt:i4>
      </vt:variant>
      <vt:variant>
        <vt:i4>5</vt:i4>
      </vt:variant>
      <vt:variant>
        <vt:lpwstr>https://www.epa.gov/inflation-reduction-act/inflation-reduction-act-community-change-grants-program</vt:lpwstr>
      </vt:variant>
      <vt:variant>
        <vt:lpwstr/>
      </vt:variant>
      <vt:variant>
        <vt:i4>3014757</vt:i4>
      </vt:variant>
      <vt:variant>
        <vt:i4>27</vt:i4>
      </vt:variant>
      <vt:variant>
        <vt:i4>0</vt:i4>
      </vt:variant>
      <vt:variant>
        <vt:i4>5</vt:i4>
      </vt:variant>
      <vt:variant>
        <vt:lpwstr>https://www.grants.ca.gov/grants/local-partnership-program-competitive/</vt:lpwstr>
      </vt:variant>
      <vt:variant>
        <vt:lpwstr/>
      </vt:variant>
      <vt:variant>
        <vt:i4>6553618</vt:i4>
      </vt:variant>
      <vt:variant>
        <vt:i4>24</vt:i4>
      </vt:variant>
      <vt:variant>
        <vt:i4>0</vt:i4>
      </vt:variant>
      <vt:variant>
        <vt:i4>5</vt:i4>
      </vt:variant>
      <vt:variant>
        <vt:lpwstr>https://www.caloes.ca.gov/wp-content/uploads/Hazard-Mitigation/Documents/NOFO_HMGP-Post-Fire-2024-FM-5502.pdf</vt:lpwstr>
      </vt:variant>
      <vt:variant>
        <vt:lpwstr/>
      </vt:variant>
      <vt:variant>
        <vt:i4>655373</vt:i4>
      </vt:variant>
      <vt:variant>
        <vt:i4>21</vt:i4>
      </vt:variant>
      <vt:variant>
        <vt:i4>0</vt:i4>
      </vt:variant>
      <vt:variant>
        <vt:i4>5</vt:i4>
      </vt:variant>
      <vt:variant>
        <vt:lpwstr>https://gcc02.safelinks.protection.outlook.com/?url=https%3A%2F%2Fvb4va74ab.cc.rs6.net%2Ftn.jsp%3Ff%3D001vBJfyjBtsKpr1Sc4bRWE-ygOwExey5y7fVsvkj4fx4T5ysfuR2ybItZtU-M7v4AMyXtbIyBmyBleuN7lG_YYBETp_g_VYbbe2mU6NkLki6owTbJZvFSew5vNnbyx_QzGb2qxKGhL61iz1DMAGABeSkKlWU7McNTdftOPePXUeUakwm144NYQqKKwG9_UPBjEJd4LAd2ST_j2qzMhYHjIoGvin59UkgZL%26c%3DC1Mcqy71alKA94OseufBpXW0keVxVjKTofJIcWBtfC6YsrJ7neivog%3D%3D%26ch%3DBesALmWAlG4Cd4GJp5Svm-f1CkoEhxLwbyFfJX1EKdjL3SNMb7yXaQ%3D%3D&amp;data=05%7C02%7Csasha.jones%40caloes.ca.gov%7C56dd1b292ce043bbdf1708dccdeb61d5%7Cebf268ae303647149f69c9fd0e9dc6b9%7C1%7C0%7C638611658081578510%7CUnknown%7CTWFpbGZsb3d8eyJWIjoiMC4wLjAwMDAiLCJQIjoiV2luMzIiLCJBTiI6Ik1haWwiLCJXVCI6Mn0%3D%7C0%7C%7C%7C&amp;sdata=jBmyUrhNpqCHb1PwkjkSWOpflJDy%2FbRzVpvFwLUbM2Q%3D&amp;reserved=0</vt:lpwstr>
      </vt:variant>
      <vt:variant>
        <vt:lpwstr/>
      </vt:variant>
      <vt:variant>
        <vt:i4>8061039</vt:i4>
      </vt:variant>
      <vt:variant>
        <vt:i4>18</vt:i4>
      </vt:variant>
      <vt:variant>
        <vt:i4>0</vt:i4>
      </vt:variant>
      <vt:variant>
        <vt:i4>5</vt:i4>
      </vt:variant>
      <vt:variant>
        <vt:lpwstr>https://www.epa.gov/brownfields/marc-grant-application-resources</vt:lpwstr>
      </vt:variant>
      <vt:variant>
        <vt:lpwstr>:~:text=Grants%20offered%20by%20the%20Brownfields%20Program%20may%20be%20used%20to</vt:lpwstr>
      </vt:variant>
      <vt:variant>
        <vt:i4>1966089</vt:i4>
      </vt:variant>
      <vt:variant>
        <vt:i4>15</vt:i4>
      </vt:variant>
      <vt:variant>
        <vt:i4>0</vt:i4>
      </vt:variant>
      <vt:variant>
        <vt:i4>5</vt:i4>
      </vt:variant>
      <vt:variant>
        <vt:lpwstr>https://www.fws.gov/service/habitat-conservation-plan-land-acquisition-grants</vt:lpwstr>
      </vt:variant>
      <vt:variant>
        <vt:lpwstr/>
      </vt:variant>
      <vt:variant>
        <vt:i4>4390990</vt:i4>
      </vt:variant>
      <vt:variant>
        <vt:i4>12</vt:i4>
      </vt:variant>
      <vt:variant>
        <vt:i4>0</vt:i4>
      </vt:variant>
      <vt:variant>
        <vt:i4>5</vt:i4>
      </vt:variant>
      <vt:variant>
        <vt:lpwstr>https://www.epa.gov/wifia/about-wifia</vt:lpwstr>
      </vt:variant>
      <vt:variant>
        <vt:lpwstr/>
      </vt:variant>
      <vt:variant>
        <vt:i4>1835115</vt:i4>
      </vt:variant>
      <vt:variant>
        <vt:i4>9</vt:i4>
      </vt:variant>
      <vt:variant>
        <vt:i4>0</vt:i4>
      </vt:variant>
      <vt:variant>
        <vt:i4>5</vt:i4>
      </vt:variant>
      <vt:variant>
        <vt:lpwstr>https://www.waterboards.ca.gov/drinking_water/services/funding/SRF.html</vt:lpwstr>
      </vt:variant>
      <vt:variant>
        <vt:lpwstr/>
      </vt:variant>
      <vt:variant>
        <vt:i4>3145767</vt:i4>
      </vt:variant>
      <vt:variant>
        <vt:i4>6</vt:i4>
      </vt:variant>
      <vt:variant>
        <vt:i4>0</vt:i4>
      </vt:variant>
      <vt:variant>
        <vt:i4>5</vt:i4>
      </vt:variant>
      <vt:variant>
        <vt:lpwstr>https://www.waterboards.ca.gov/water_issues/programs/grants_loans/srf/index.html</vt:lpwstr>
      </vt:variant>
      <vt:variant>
        <vt:lpwstr/>
      </vt:variant>
      <vt:variant>
        <vt:i4>4718645</vt:i4>
      </vt:variant>
      <vt:variant>
        <vt:i4>3</vt:i4>
      </vt:variant>
      <vt:variant>
        <vt:i4>0</vt:i4>
      </vt:variant>
      <vt:variant>
        <vt:i4>5</vt:i4>
      </vt:variant>
      <vt:variant>
        <vt:lpwstr>https://www.caloes.ca.gov/wp-content/uploads/Long-Term-Recovery-Plan-Guide_compliant.pdf</vt:lpwstr>
      </vt:variant>
      <vt:variant>
        <vt:lpwstr/>
      </vt:variant>
      <vt:variant>
        <vt:i4>3211363</vt:i4>
      </vt:variant>
      <vt:variant>
        <vt:i4>0</vt:i4>
      </vt:variant>
      <vt:variant>
        <vt:i4>0</vt:i4>
      </vt:variant>
      <vt:variant>
        <vt:i4>5</vt:i4>
      </vt:variant>
      <vt:variant>
        <vt:lpwstr>https://www.caloes.ca.gov/wp-content/uploads/Quick-Start-for-Local-RSF-Working-Groups-July-2024.pdf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Foo, Siusahn@CalOES</dc:creator>
  <cp:keywords/>
  <dc:description/>
  <cp:lastModifiedBy>Risher, Hannah@CalOES</cp:lastModifiedBy>
  <cp:revision>177</cp:revision>
  <dcterms:created xsi:type="dcterms:W3CDTF">2024-10-23T23:35:00Z</dcterms:created>
  <dcterms:modified xsi:type="dcterms:W3CDTF">2024-11-14T22:10:00Z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0x0101007E50C01199B31A4EACE212A9EC2232C7</vt:lpwstr>
  </property>
</Properties>
</file>