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E08D3" w14:textId="77777777" w:rsidR="00D40D65" w:rsidRDefault="00D40D65" w:rsidP="00D40D65">
      <w:pPr>
        <w:rPr>
          <w:rFonts w:ascii="Franklin Gothic Book" w:eastAsia="Times New Roman" w:hAnsi="Franklin Gothic Book" w:cs="Times New Roman"/>
        </w:rPr>
      </w:pPr>
      <w:r w:rsidRPr="009410F5">
        <w:rPr>
          <w:rFonts w:ascii="Franklin Gothic Book" w:eastAsia="Times New Roman" w:hAnsi="Franklin Gothic Book" w:cs="Times New Roman"/>
          <w:noProof/>
        </w:rPr>
        <mc:AlternateContent>
          <mc:Choice Requires="wps">
            <w:drawing>
              <wp:anchor distT="45720" distB="45720" distL="114300" distR="114300" simplePos="0" relativeHeight="251664384" behindDoc="0" locked="0" layoutInCell="1" allowOverlap="1" wp14:anchorId="38BE0909" wp14:editId="4E884F45">
                <wp:simplePos x="0" y="0"/>
                <wp:positionH relativeFrom="column">
                  <wp:posOffset>5582920</wp:posOffset>
                </wp:positionH>
                <wp:positionV relativeFrom="topMargin">
                  <wp:align>bottom</wp:align>
                </wp:positionV>
                <wp:extent cx="937260" cy="266700"/>
                <wp:effectExtent l="0" t="0" r="0" b="0"/>
                <wp:wrapSquare wrapText="bothSides"/>
                <wp:docPr id="4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 cy="266700"/>
                        </a:xfrm>
                        <a:prstGeom prst="rect">
                          <a:avLst/>
                        </a:prstGeom>
                        <a:solidFill>
                          <a:srgbClr val="FFFFFF"/>
                        </a:solidFill>
                        <a:ln w="9525">
                          <a:noFill/>
                          <a:miter lim="800000"/>
                          <a:headEnd/>
                          <a:tailEnd/>
                        </a:ln>
                      </wps:spPr>
                      <wps:txbx>
                        <w:txbxContent>
                          <w:p w14:paraId="38BE0913" w14:textId="77777777" w:rsidR="00D40D65" w:rsidRPr="003A2B0D" w:rsidRDefault="00D40D65" w:rsidP="00D40D65">
                            <w:pPr>
                              <w:rPr>
                                <w:b/>
                                <w:bCs/>
                              </w:rPr>
                            </w:pPr>
                            <w:r w:rsidRPr="003A2B0D">
                              <w:rPr>
                                <w:b/>
                                <w:bCs/>
                              </w:rPr>
                              <w:t>WF - 4</w:t>
                            </w:r>
                          </w:p>
                          <w:p w14:paraId="38BE0914" w14:textId="77777777" w:rsidR="00D40D65" w:rsidRDefault="00D40D65" w:rsidP="00D40D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BE0909" id="_x0000_t202" coordsize="21600,21600" o:spt="202" path="m,l,21600r21600,l21600,xe">
                <v:stroke joinstyle="miter"/>
                <v:path gradientshapeok="t" o:connecttype="rect"/>
              </v:shapetype>
              <v:shape id="Text Box 2" o:spid="_x0000_s1026" type="#_x0000_t202" style="position:absolute;margin-left:439.6pt;margin-top:0;width:73.8pt;height:21pt;z-index:251664384;visibility:visible;mso-wrap-style:square;mso-width-percent:0;mso-height-percent:0;mso-wrap-distance-left:9pt;mso-wrap-distance-top:3.6pt;mso-wrap-distance-right:9pt;mso-wrap-distance-bottom:3.6pt;mso-position-horizontal:absolute;mso-position-horizontal-relative:text;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" stroked="f">
                <v:textbox>
                  <w:txbxContent>
                    <w:p w14:paraId="38BE0913" w14:textId="77777777" w:rsidR="00D40D65" w:rsidRPr="003A2B0D" w:rsidRDefault="00D40D65" w:rsidP="00D40D65">
                      <w:pPr>
                        <w:rPr>
                          <w:b/>
                          <w:bCs/>
                        </w:rPr>
                      </w:pPr>
                      <w:r w:rsidRPr="003A2B0D">
                        <w:rPr>
                          <w:b/>
                          <w:bCs/>
                        </w:rPr>
                        <w:t>WF - 4</w:t>
                      </w:r>
                    </w:p>
                    <w:p w14:paraId="38BE0914" w14:textId="77777777" w:rsidR="00D40D65" w:rsidRDefault="00D40D65" w:rsidP="00D40D65"/>
                  </w:txbxContent>
                </v:textbox>
                <w10:wrap type="square" anchory="margin"/>
              </v:shape>
            </w:pict>
          </mc:Fallback>
        </mc:AlternateContent>
      </w:r>
    </w:p>
    <w:p w14:paraId="38BE08D4" w14:textId="06CFDCC8" w:rsidR="00D40D65" w:rsidRPr="00071931" w:rsidRDefault="00D40D65" w:rsidP="00481EA6">
      <w:pPr>
        <w:pStyle w:val="Heading1"/>
      </w:pPr>
      <w:r w:rsidRPr="00F47ADA">
        <w:t>FEMA Mitigation Funding Opportunity</w:t>
      </w:r>
    </w:p>
    <w:p w14:paraId="38BE08D6" w14:textId="7DA9D5B9" w:rsidR="00D40D65" w:rsidRPr="003A2B0D" w:rsidRDefault="00D40D65" w:rsidP="00481EA6">
      <w:pPr>
        <w:pStyle w:val="Heading1"/>
      </w:pPr>
      <w:r w:rsidRPr="00F47ADA">
        <w:t>Defensible Space</w:t>
      </w:r>
    </w:p>
    <w:p w14:paraId="38BE08D7" w14:textId="77777777" w:rsidR="00D40D65" w:rsidRPr="00F47ADA" w:rsidRDefault="00D40D65" w:rsidP="001F1428">
      <w:pPr>
        <w:pStyle w:val="Heading2"/>
      </w:pPr>
      <w:r w:rsidRPr="00F47ADA">
        <w:t>Overview</w:t>
      </w:r>
    </w:p>
    <w:p w14:paraId="38BE08D9" w14:textId="1675A331" w:rsidR="00D40D65" w:rsidRPr="00F47ADA" w:rsidRDefault="00D40D65" w:rsidP="00BD1F0F">
      <w:r w:rsidRPr="00F47ADA">
        <w:t>A defensible space is an area around a building in which vegetation, debris, and other ty</w:t>
      </w:r>
      <w:bookmarkStart w:id="0" w:name="_GoBack"/>
      <w:bookmarkEnd w:id="0"/>
      <w:r w:rsidRPr="00F47ADA">
        <w:t xml:space="preserve">pes of combustible fuels have been treated, cleared, or reduced to slow the spread of fire to and from the building. </w:t>
      </w:r>
      <w:r w:rsidRPr="00F47ADA">
        <w:rPr>
          <w:b/>
          <w:bCs/>
        </w:rPr>
        <w:t>See illustration below</w:t>
      </w:r>
      <w:r w:rsidRPr="00F47ADA">
        <w:t xml:space="preserve">. </w:t>
      </w:r>
      <w:r w:rsidRPr="001F1428">
        <w:t>Information about local vegetation, weather, and topography is used to determine the Fire Severity Zone of an area, which can help determine the most effective design of a defensible space. It is one of the most cost-effective ways to protect a building from a wildfire and can often be created by the property owner</w:t>
      </w:r>
      <w:r w:rsidRPr="001F1428">
        <w:rPr>
          <w:noProof/>
        </w:rPr>
        <w:drawing>
          <wp:anchor distT="0" distB="0" distL="114300" distR="114300" simplePos="0" relativeHeight="251659264" behindDoc="1" locked="0" layoutInCell="1" allowOverlap="1" wp14:anchorId="38BE090B" wp14:editId="6EE6598D">
            <wp:simplePos x="0" y="0"/>
            <wp:positionH relativeFrom="column">
              <wp:posOffset>-373380</wp:posOffset>
            </wp:positionH>
            <wp:positionV relativeFrom="page">
              <wp:align>top</wp:align>
            </wp:positionV>
            <wp:extent cx="1638300" cy="1112520"/>
            <wp:effectExtent l="0" t="0" r="0" b="0"/>
            <wp:wrapTight wrapText="bothSides">
              <wp:wrapPolygon edited="0">
                <wp:start x="2512" y="7767"/>
                <wp:lineTo x="1005" y="9986"/>
                <wp:lineTo x="0" y="12205"/>
                <wp:lineTo x="0" y="15904"/>
                <wp:lineTo x="2009" y="19233"/>
                <wp:lineTo x="3014" y="19973"/>
                <wp:lineTo x="5023" y="19973"/>
                <wp:lineTo x="21098" y="16644"/>
                <wp:lineTo x="21349" y="16274"/>
                <wp:lineTo x="21349" y="11836"/>
                <wp:lineTo x="19088" y="11096"/>
                <wp:lineTo x="5274" y="7767"/>
                <wp:lineTo x="2512" y="7767"/>
              </wp:wrapPolygon>
            </wp:wrapTight>
            <wp:docPr id="19" name="Picture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rotWithShape="1">
                    <a:blip r:embed="rId8">
                      <a:extLst>
                        <a:ext uri="{28A0092B-C50C-407E-A947-70E740481C1C}">
                          <a14:useLocalDpi xmlns:a14="http://schemas.microsoft.com/office/drawing/2010/main" val="0"/>
                        </a:ext>
                      </a:extLst>
                    </a:blip>
                    <a:srcRect b="30476"/>
                    <a:stretch/>
                  </pic:blipFill>
                  <pic:spPr bwMode="auto">
                    <a:xfrm>
                      <a:off x="0" y="0"/>
                      <a:ext cx="1638300" cy="11125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F1428">
        <w:t>.</w:t>
      </w:r>
    </w:p>
    <w:p w14:paraId="38BE08DA" w14:textId="77777777" w:rsidR="00D40D65" w:rsidRPr="00F47ADA" w:rsidRDefault="00D40D65" w:rsidP="00BD1F0F">
      <w:pPr>
        <w:rPr>
          <w:rFonts w:ascii="FranklinGothic-Book" w:hAnsi="FranklinGothic-Book"/>
        </w:rPr>
      </w:pPr>
      <w:r w:rsidRPr="00F47ADA">
        <w:t xml:space="preserve">Defensible space projects for residential structures, commercial buildings, public facilities, and infrastructure must be implemented in conformance with local code requirements for defensible space.  </w:t>
      </w:r>
    </w:p>
    <w:p w14:paraId="38BE08DB" w14:textId="77777777" w:rsidR="00D40D65" w:rsidRPr="00F47ADA" w:rsidRDefault="00D40D65" w:rsidP="00DB01B3">
      <w:pPr>
        <w:autoSpaceDE w:val="0"/>
        <w:autoSpaceDN w:val="0"/>
        <w:adjustRightInd w:val="0"/>
        <w:spacing w:after="0" w:line="240" w:lineRule="auto"/>
        <w:jc w:val="center"/>
        <w:rPr>
          <w:rFonts w:ascii="FranklinGothic-Book" w:hAnsi="FranklinGothic-Book" w:cs="FranklinGothic-Book"/>
          <w:szCs w:val="24"/>
        </w:rPr>
      </w:pPr>
      <w:r w:rsidRPr="00F47ADA">
        <w:rPr>
          <w:rFonts w:ascii="FranklinGothic-Book" w:hAnsi="FranklinGothic-Book" w:cs="FranklinGothic-Book"/>
          <w:noProof/>
          <w:szCs w:val="24"/>
        </w:rPr>
        <w:drawing>
          <wp:inline distT="0" distB="0" distL="0" distR="0" wp14:anchorId="38BE090D" wp14:editId="432F06B8">
            <wp:extent cx="4762500" cy="2472690"/>
            <wp:effectExtent l="0" t="0" r="0" b="3810"/>
            <wp:docPr id="20" name="Picture 20" descr="A graphic illustrating circular zones are a central point at increasing diameters describing defensible space projects for each zone.  Zone 1: Remove combustible litter on roofs and gutters and trim tree branches that overhang the roof and chimney.  Zone 1: Eliminate all combustible materials within 30 feet of the home. Zone 2: Place woodpiles at least 30 feet from the building and store the wood in vegetation-free zone such as a graveled area. Zone 2: Prune and remove dead and dying branches from individual and well-spaced clumps of trees and shrubs. Zone 3: Reduce fuels by thinning and pruning vegetation horizontally and verticall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2472690"/>
                    </a:xfrm>
                    <a:prstGeom prst="rect">
                      <a:avLst/>
                    </a:prstGeom>
                    <a:noFill/>
                    <a:ln>
                      <a:noFill/>
                    </a:ln>
                  </pic:spPr>
                </pic:pic>
              </a:graphicData>
            </a:graphic>
          </wp:inline>
        </w:drawing>
      </w:r>
    </w:p>
    <w:p w14:paraId="2CDB62CF" w14:textId="1B9AE444" w:rsidR="00DB6FF1" w:rsidRPr="00485990" w:rsidRDefault="00F30EE6" w:rsidP="003A2B0D">
      <w:pPr>
        <w:pStyle w:val="Heading2"/>
      </w:pPr>
      <w:r w:rsidRPr="00485990">
        <w:t>Eligible Activities</w:t>
      </w:r>
    </w:p>
    <w:p w14:paraId="43F3A0DE" w14:textId="59325B00" w:rsidR="0011719E" w:rsidRPr="005F15B7" w:rsidRDefault="00F30EE6" w:rsidP="005F15B7">
      <w:pPr>
        <w:pStyle w:val="ListParagraph"/>
        <w:numPr>
          <w:ilvl w:val="0"/>
          <w:numId w:val="8"/>
        </w:numPr>
        <w:shd w:val="clear" w:color="auto" w:fill="2F5496" w:themeFill="accent1" w:themeFillShade="BF"/>
        <w:spacing w:line="240" w:lineRule="auto"/>
        <w:rPr>
          <w:rFonts w:cs="Times New Roman"/>
          <w:color w:val="FFFFFF" w:themeColor="background1"/>
          <w:szCs w:val="24"/>
        </w:rPr>
      </w:pPr>
      <w:r w:rsidRPr="005F15B7">
        <w:rPr>
          <w:rFonts w:cs="Times New Roman"/>
          <w:color w:val="FFFFFF" w:themeColor="background1"/>
          <w:szCs w:val="24"/>
        </w:rPr>
        <w:t>Replacing flammable vegetation with fire-resistant vegetation by selective removal of flammable species and/or planting and seeding of fire-resistant species</w:t>
      </w:r>
      <w:r w:rsidR="0011719E" w:rsidRPr="005F15B7">
        <w:rPr>
          <w:rFonts w:cs="Times New Roman"/>
          <w:color w:val="FFFFFF" w:themeColor="background1"/>
          <w:szCs w:val="24"/>
        </w:rPr>
        <w:t>.</w:t>
      </w:r>
    </w:p>
    <w:p w14:paraId="1D529122" w14:textId="77777777" w:rsidR="00DB6FF1" w:rsidRPr="005F15B7" w:rsidRDefault="00F30EE6" w:rsidP="005F15B7">
      <w:pPr>
        <w:pStyle w:val="ListParagraph"/>
        <w:numPr>
          <w:ilvl w:val="0"/>
          <w:numId w:val="8"/>
        </w:numPr>
        <w:shd w:val="clear" w:color="auto" w:fill="2F5496" w:themeFill="accent1" w:themeFillShade="BF"/>
        <w:rPr>
          <w:rFonts w:cs="Times New Roman"/>
          <w:color w:val="FFFFFF" w:themeColor="background1"/>
          <w:szCs w:val="24"/>
        </w:rPr>
      </w:pPr>
      <w:r w:rsidRPr="005F15B7">
        <w:rPr>
          <w:rFonts w:cs="Times New Roman"/>
          <w:color w:val="FFFFFF" w:themeColor="background1"/>
          <w:szCs w:val="24"/>
        </w:rPr>
        <w:t>Removal of down, dead, or dry vegetation</w:t>
      </w:r>
    </w:p>
    <w:p w14:paraId="6FB3304B" w14:textId="77777777" w:rsidR="005F15B7" w:rsidRPr="005F15B7" w:rsidRDefault="00F30EE6" w:rsidP="005F15B7">
      <w:pPr>
        <w:pStyle w:val="ListParagraph"/>
        <w:numPr>
          <w:ilvl w:val="0"/>
          <w:numId w:val="8"/>
        </w:numPr>
        <w:shd w:val="clear" w:color="auto" w:fill="2F5496" w:themeFill="accent1" w:themeFillShade="BF"/>
        <w:rPr>
          <w:rFonts w:cs="Times New Roman"/>
          <w:color w:val="FFFFFF" w:themeColor="background1"/>
          <w:szCs w:val="24"/>
        </w:rPr>
      </w:pPr>
      <w:r w:rsidRPr="005F15B7">
        <w:rPr>
          <w:rFonts w:cs="Times New Roman"/>
          <w:color w:val="FFFFFF" w:themeColor="background1"/>
          <w:szCs w:val="24"/>
        </w:rPr>
        <w:t xml:space="preserve">Cutting and clearing of shrubs and brush. </w:t>
      </w:r>
    </w:p>
    <w:p w14:paraId="3E1DA9EE" w14:textId="77777777" w:rsidR="003A2B0D" w:rsidRPr="003A2B0D" w:rsidRDefault="00F30EE6" w:rsidP="005F15B7">
      <w:pPr>
        <w:pStyle w:val="ListParagraph"/>
        <w:numPr>
          <w:ilvl w:val="0"/>
          <w:numId w:val="8"/>
        </w:numPr>
        <w:shd w:val="clear" w:color="auto" w:fill="2F5496" w:themeFill="accent1" w:themeFillShade="BF"/>
        <w:rPr>
          <w:rFonts w:cs="Times New Roman"/>
          <w:color w:val="FFFFFF" w:themeColor="background1"/>
        </w:rPr>
      </w:pPr>
      <w:r w:rsidRPr="003A2B0D">
        <w:rPr>
          <w:rFonts w:cs="Times New Roman"/>
          <w:color w:val="FFFFFF" w:themeColor="background1"/>
          <w:szCs w:val="24"/>
        </w:rPr>
        <w:t xml:space="preserve">Pruning trees generally up to 15 feet aboveground </w:t>
      </w:r>
    </w:p>
    <w:p w14:paraId="3811A018" w14:textId="77777777" w:rsidR="003A2B0D" w:rsidRDefault="00F30EE6" w:rsidP="005F15B7">
      <w:pPr>
        <w:pStyle w:val="ListParagraph"/>
        <w:numPr>
          <w:ilvl w:val="0"/>
          <w:numId w:val="8"/>
        </w:numPr>
        <w:shd w:val="clear" w:color="auto" w:fill="2F5496" w:themeFill="accent1" w:themeFillShade="BF"/>
        <w:rPr>
          <w:rFonts w:cs="Times New Roman"/>
          <w:color w:val="FFFFFF" w:themeColor="background1"/>
        </w:rPr>
      </w:pPr>
      <w:r w:rsidRPr="003A2B0D">
        <w:rPr>
          <w:rFonts w:cs="Times New Roman"/>
          <w:color w:val="FFFFFF" w:themeColor="background1"/>
        </w:rPr>
        <w:t>Removing or trimming tree limbs overhanging roof and chimney</w:t>
      </w:r>
    </w:p>
    <w:p w14:paraId="653FFA33" w14:textId="77777777" w:rsidR="003A2B0D" w:rsidRDefault="00F30EE6" w:rsidP="005F15B7">
      <w:pPr>
        <w:pStyle w:val="ListParagraph"/>
        <w:numPr>
          <w:ilvl w:val="0"/>
          <w:numId w:val="8"/>
        </w:numPr>
        <w:shd w:val="clear" w:color="auto" w:fill="2F5496" w:themeFill="accent1" w:themeFillShade="BF"/>
        <w:rPr>
          <w:rFonts w:cs="Times New Roman"/>
          <w:color w:val="FFFFFF" w:themeColor="background1"/>
        </w:rPr>
      </w:pPr>
      <w:r w:rsidRPr="003A2B0D">
        <w:rPr>
          <w:rFonts w:cs="Times New Roman"/>
          <w:color w:val="FFFFFF" w:themeColor="background1"/>
        </w:rPr>
        <w:t>Cleaning all needles and leaves from roofs, eaves, and rain gutters</w:t>
      </w:r>
    </w:p>
    <w:p w14:paraId="38D4AFE8" w14:textId="77777777" w:rsidR="003A2B0D" w:rsidRDefault="00F30EE6" w:rsidP="005F15B7">
      <w:pPr>
        <w:pStyle w:val="ListParagraph"/>
        <w:numPr>
          <w:ilvl w:val="0"/>
          <w:numId w:val="8"/>
        </w:numPr>
        <w:shd w:val="clear" w:color="auto" w:fill="2F5496" w:themeFill="accent1" w:themeFillShade="BF"/>
        <w:rPr>
          <w:rFonts w:cs="Times New Roman"/>
          <w:color w:val="FFFFFF" w:themeColor="background1"/>
        </w:rPr>
      </w:pPr>
      <w:r w:rsidRPr="003A2B0D">
        <w:rPr>
          <w:rFonts w:cs="Times New Roman"/>
          <w:color w:val="FFFFFF" w:themeColor="background1"/>
        </w:rPr>
        <w:lastRenderedPageBreak/>
        <w:t>Thinning shrubs or trees so crowns do not intersect and there is space between individual shrubs and trees</w:t>
      </w:r>
    </w:p>
    <w:p w14:paraId="2DF1F4A1" w14:textId="2A5C7A83" w:rsidR="001F4D96" w:rsidRPr="003A2B0D" w:rsidRDefault="00F30EE6" w:rsidP="005F15B7">
      <w:pPr>
        <w:pStyle w:val="ListParagraph"/>
        <w:numPr>
          <w:ilvl w:val="0"/>
          <w:numId w:val="8"/>
        </w:numPr>
        <w:shd w:val="clear" w:color="auto" w:fill="2F5496" w:themeFill="accent1" w:themeFillShade="BF"/>
        <w:rPr>
          <w:rFonts w:cs="Times New Roman"/>
          <w:color w:val="FFFFFF" w:themeColor="background1"/>
        </w:rPr>
      </w:pPr>
      <w:r w:rsidRPr="003A2B0D">
        <w:rPr>
          <w:rFonts w:cs="Times New Roman"/>
          <w:color w:val="FFFFFF" w:themeColor="background1"/>
        </w:rPr>
        <w:t>Conducting outreach to educate homeowners on defensible space and solicit participation in project</w:t>
      </w:r>
      <w:r w:rsidR="00DB6FF1" w:rsidRPr="003A2B0D">
        <w:rPr>
          <w:rFonts w:cs="Times New Roman"/>
          <w:color w:val="FFFFFF" w:themeColor="background1"/>
        </w:rPr>
        <w:t xml:space="preserve"> i</w:t>
      </w:r>
      <w:r w:rsidRPr="003A2B0D">
        <w:rPr>
          <w:rFonts w:cs="Times New Roman"/>
          <w:color w:val="FFFFFF" w:themeColor="background1"/>
        </w:rPr>
        <w:t>nspections by fire officials to confirm that defensible space has been completed adequately</w:t>
      </w:r>
    </w:p>
    <w:p w14:paraId="38BE08E8" w14:textId="78736EBD" w:rsidR="00D40D65" w:rsidRDefault="00D40D65" w:rsidP="003A2B0D">
      <w:pPr>
        <w:pStyle w:val="Heading2"/>
      </w:pPr>
      <w:r w:rsidRPr="00F47ADA">
        <w:t>Overall Complexity</w:t>
      </w:r>
    </w:p>
    <w:tbl>
      <w:tblPr>
        <w:tblStyle w:val="TableGrid"/>
        <w:tblW w:w="0" w:type="auto"/>
        <w:tblInd w:w="-5" w:type="dxa"/>
        <w:tblLook w:val="04A0" w:firstRow="1" w:lastRow="0" w:firstColumn="1" w:lastColumn="0" w:noHBand="0" w:noVBand="1"/>
        <w:tblCaption w:val="Overall Complexity Table"/>
        <w:tblDescription w:val="table of overall complexity"/>
      </w:tblPr>
      <w:tblGrid>
        <w:gridCol w:w="3116"/>
        <w:gridCol w:w="3117"/>
        <w:gridCol w:w="3117"/>
      </w:tblGrid>
      <w:tr w:rsidR="00D40D65" w:rsidRPr="00F47ADA" w14:paraId="38BE08EC" w14:textId="77777777" w:rsidTr="000242DC">
        <w:trPr>
          <w:tblHeader/>
        </w:trPr>
        <w:tc>
          <w:tcPr>
            <w:tcW w:w="3116" w:type="dxa"/>
            <w:shd w:val="clear" w:color="auto" w:fill="2F5496" w:themeFill="accent1" w:themeFillShade="BF"/>
          </w:tcPr>
          <w:p w14:paraId="38BE08E9" w14:textId="77777777" w:rsidR="00D40D65" w:rsidRPr="000242DC" w:rsidRDefault="00D40D65" w:rsidP="00A670A6">
            <w:pPr>
              <w:jc w:val="center"/>
              <w:rPr>
                <w:rFonts w:cs="Times New Roman"/>
                <w:color w:val="FFFFFF" w:themeColor="background1"/>
                <w:sz w:val="28"/>
                <w:szCs w:val="28"/>
              </w:rPr>
            </w:pPr>
            <w:r w:rsidRPr="000242DC">
              <w:rPr>
                <w:rFonts w:cs="Times New Roman"/>
                <w:color w:val="FFFFFF" w:themeColor="background1"/>
                <w:sz w:val="28"/>
                <w:szCs w:val="28"/>
              </w:rPr>
              <w:t>Application</w:t>
            </w:r>
          </w:p>
        </w:tc>
        <w:tc>
          <w:tcPr>
            <w:tcW w:w="3117" w:type="dxa"/>
            <w:shd w:val="clear" w:color="auto" w:fill="2F5496" w:themeFill="accent1" w:themeFillShade="BF"/>
          </w:tcPr>
          <w:p w14:paraId="38BE08EA" w14:textId="77777777" w:rsidR="00D40D65" w:rsidRPr="000242DC" w:rsidRDefault="00D40D65" w:rsidP="00A670A6">
            <w:pPr>
              <w:jc w:val="center"/>
              <w:rPr>
                <w:rFonts w:cs="Times New Roman"/>
                <w:color w:val="FFFFFF" w:themeColor="background1"/>
                <w:sz w:val="28"/>
                <w:szCs w:val="28"/>
              </w:rPr>
            </w:pPr>
            <w:r w:rsidRPr="000242DC">
              <w:rPr>
                <w:rFonts w:cs="Times New Roman"/>
                <w:color w:val="FFFFFF" w:themeColor="background1"/>
                <w:sz w:val="28"/>
                <w:szCs w:val="28"/>
              </w:rPr>
              <w:t>Environmental</w:t>
            </w:r>
          </w:p>
        </w:tc>
        <w:tc>
          <w:tcPr>
            <w:tcW w:w="3117" w:type="dxa"/>
            <w:shd w:val="clear" w:color="auto" w:fill="2F5496" w:themeFill="accent1" w:themeFillShade="BF"/>
          </w:tcPr>
          <w:p w14:paraId="38BE08EB" w14:textId="77777777" w:rsidR="00D40D65" w:rsidRPr="000242DC" w:rsidRDefault="00D40D65" w:rsidP="00A670A6">
            <w:pPr>
              <w:jc w:val="center"/>
              <w:rPr>
                <w:rFonts w:cs="Times New Roman"/>
                <w:color w:val="FFFFFF" w:themeColor="background1"/>
                <w:sz w:val="28"/>
                <w:szCs w:val="28"/>
              </w:rPr>
            </w:pPr>
            <w:r w:rsidRPr="000242DC">
              <w:rPr>
                <w:rFonts w:cs="Times New Roman"/>
                <w:color w:val="FFFFFF" w:themeColor="background1"/>
                <w:sz w:val="28"/>
                <w:szCs w:val="28"/>
              </w:rPr>
              <w:t>Legal</w:t>
            </w:r>
          </w:p>
        </w:tc>
      </w:tr>
      <w:tr w:rsidR="00D40D65" w:rsidRPr="00F47ADA" w14:paraId="38BE08F0" w14:textId="77777777" w:rsidTr="00A670A6">
        <w:tc>
          <w:tcPr>
            <w:tcW w:w="3116" w:type="dxa"/>
          </w:tcPr>
          <w:p w14:paraId="38BE08ED" w14:textId="77777777" w:rsidR="00D40D65" w:rsidRPr="000242DC" w:rsidRDefault="00D40D65" w:rsidP="00A670A6">
            <w:pPr>
              <w:jc w:val="center"/>
              <w:rPr>
                <w:rFonts w:cs="Times New Roman"/>
                <w:sz w:val="28"/>
                <w:szCs w:val="28"/>
              </w:rPr>
            </w:pPr>
            <w:r w:rsidRPr="000242DC">
              <w:rPr>
                <w:rFonts w:cs="Times New Roman"/>
                <w:sz w:val="28"/>
                <w:szCs w:val="28"/>
              </w:rPr>
              <w:t>High</w:t>
            </w:r>
          </w:p>
        </w:tc>
        <w:tc>
          <w:tcPr>
            <w:tcW w:w="3117" w:type="dxa"/>
          </w:tcPr>
          <w:p w14:paraId="38BE08EE" w14:textId="77777777" w:rsidR="00D40D65" w:rsidRPr="000242DC" w:rsidRDefault="00D40D65" w:rsidP="00A670A6">
            <w:pPr>
              <w:jc w:val="center"/>
              <w:rPr>
                <w:rFonts w:cs="Times New Roman"/>
                <w:sz w:val="28"/>
                <w:szCs w:val="28"/>
              </w:rPr>
            </w:pPr>
            <w:r w:rsidRPr="000242DC">
              <w:rPr>
                <w:rFonts w:cs="Times New Roman"/>
                <w:sz w:val="28"/>
                <w:szCs w:val="28"/>
              </w:rPr>
              <w:t>Medium</w:t>
            </w:r>
          </w:p>
        </w:tc>
        <w:tc>
          <w:tcPr>
            <w:tcW w:w="3117" w:type="dxa"/>
          </w:tcPr>
          <w:p w14:paraId="38BE08EF" w14:textId="77777777" w:rsidR="00D40D65" w:rsidRPr="000242DC" w:rsidRDefault="00D40D65" w:rsidP="00A670A6">
            <w:pPr>
              <w:jc w:val="center"/>
              <w:rPr>
                <w:rFonts w:cs="Times New Roman"/>
                <w:sz w:val="28"/>
                <w:szCs w:val="28"/>
              </w:rPr>
            </w:pPr>
            <w:r w:rsidRPr="000242DC">
              <w:rPr>
                <w:rFonts w:cs="Times New Roman"/>
                <w:sz w:val="28"/>
                <w:szCs w:val="28"/>
              </w:rPr>
              <w:t>Medium</w:t>
            </w:r>
          </w:p>
        </w:tc>
      </w:tr>
    </w:tbl>
    <w:p w14:paraId="38BE08F2" w14:textId="77777777" w:rsidR="00D40D65" w:rsidRPr="00F47ADA" w:rsidRDefault="00D40D65" w:rsidP="003A2B0D">
      <w:pPr>
        <w:pStyle w:val="Heading2"/>
      </w:pPr>
      <w:r w:rsidRPr="00F47ADA">
        <w:t xml:space="preserve">Application Requirements: </w:t>
      </w:r>
    </w:p>
    <w:p w14:paraId="38BE08F3" w14:textId="77777777" w:rsidR="00D40D65" w:rsidRPr="00BD1F0F" w:rsidRDefault="00D40D65" w:rsidP="00BD1F0F">
      <w:pPr>
        <w:pStyle w:val="ListParagraph"/>
      </w:pPr>
      <w:r w:rsidRPr="00BD1F0F">
        <w:t>Must be a local government, Tribe, or PNP</w:t>
      </w:r>
    </w:p>
    <w:p w14:paraId="38BE08F4" w14:textId="77777777" w:rsidR="00D40D65" w:rsidRPr="00BD1F0F" w:rsidRDefault="00D40D65" w:rsidP="00BD1F0F">
      <w:pPr>
        <w:pStyle w:val="ListParagraph"/>
      </w:pPr>
      <w:r w:rsidRPr="00BD1F0F">
        <w:t>Must have a FEMA approved Local Hazard Mitigation Plan</w:t>
      </w:r>
    </w:p>
    <w:p w14:paraId="38BE08F5" w14:textId="77777777" w:rsidR="00D40D65" w:rsidRPr="00BD1F0F" w:rsidRDefault="00D40D65" w:rsidP="00BD1F0F">
      <w:pPr>
        <w:pStyle w:val="ListParagraph"/>
      </w:pPr>
      <w:r w:rsidRPr="00BD1F0F">
        <w:t>Must fulfill appropriate state emergency management agency application requirements including, scope of work, budget, schedule, etc.</w:t>
      </w:r>
    </w:p>
    <w:p w14:paraId="38BE08F6" w14:textId="77777777" w:rsidR="00D40D65" w:rsidRPr="00BD1F0F" w:rsidRDefault="00D40D65" w:rsidP="00BD1F0F">
      <w:pPr>
        <w:pStyle w:val="ListParagraph"/>
      </w:pPr>
      <w:r w:rsidRPr="00BD1F0F">
        <w:t>Long-term benefits must outweigh costs (BCR &gt; 1)</w:t>
      </w:r>
    </w:p>
    <w:p w14:paraId="38BE08F7" w14:textId="77777777" w:rsidR="00D40D65" w:rsidRPr="00BD1F0F" w:rsidRDefault="00D40D65" w:rsidP="00BD1F0F">
      <w:pPr>
        <w:pStyle w:val="ListParagraph"/>
      </w:pPr>
      <w:r w:rsidRPr="00BD1F0F">
        <w:t>25% local match required</w:t>
      </w:r>
    </w:p>
    <w:p w14:paraId="38BE08F8" w14:textId="77777777" w:rsidR="00D40D65" w:rsidRPr="00BD1F0F" w:rsidRDefault="00D40D65" w:rsidP="00BD1F0F">
      <w:pPr>
        <w:pStyle w:val="ListParagraph"/>
      </w:pPr>
      <w:r w:rsidRPr="00BD1F0F">
        <w:t>Application should include property level detail for activities including address of property, associated defensible space activities, and documentation of homeowner’s voluntary participation</w:t>
      </w:r>
    </w:p>
    <w:p w14:paraId="38BE08F9" w14:textId="77777777" w:rsidR="00D40D65" w:rsidRPr="00BD1F0F" w:rsidRDefault="00D40D65" w:rsidP="00BD1F0F">
      <w:pPr>
        <w:pStyle w:val="ListParagraph"/>
      </w:pPr>
      <w:r w:rsidRPr="00BD1F0F">
        <w:t>Projects involving reimbursement payments to homeowners must include details of the reimbursement process</w:t>
      </w:r>
    </w:p>
    <w:p w14:paraId="38BE08FA" w14:textId="77777777" w:rsidR="00D40D65" w:rsidRPr="00BD1F0F" w:rsidRDefault="00D40D65" w:rsidP="00BD1F0F">
      <w:pPr>
        <w:pStyle w:val="ListParagraph"/>
      </w:pPr>
      <w:r w:rsidRPr="00BD1F0F">
        <w:t>Application should include means by which activities will take place (i.e., will contractors, homeowners, or local jurisdiction staff complete the work?)</w:t>
      </w:r>
    </w:p>
    <w:p w14:paraId="38BE08FB" w14:textId="77777777" w:rsidR="00D40D65" w:rsidRPr="00BD1F0F" w:rsidRDefault="00D40D65" w:rsidP="00BD1F0F">
      <w:pPr>
        <w:pStyle w:val="ListParagraph"/>
      </w:pPr>
      <w:r w:rsidRPr="00BD1F0F">
        <w:t>Funding limits are set by the state emergency management agency</w:t>
      </w:r>
    </w:p>
    <w:p w14:paraId="38BE08FD" w14:textId="13BABB22" w:rsidR="00D40D65" w:rsidRPr="00BD1F0F" w:rsidRDefault="00D40D65" w:rsidP="00BD1F0F">
      <w:pPr>
        <w:pStyle w:val="ListParagraph"/>
      </w:pPr>
      <w:r w:rsidRPr="00BD1F0F">
        <w:t>No construction or project activities allowed prior to FEMA/Cal OES approval</w:t>
      </w:r>
    </w:p>
    <w:p w14:paraId="38BE08FE" w14:textId="77777777" w:rsidR="00D40D65" w:rsidRPr="00F47ADA" w:rsidRDefault="00D40D65" w:rsidP="003A2B0D">
      <w:pPr>
        <w:pStyle w:val="Heading2"/>
      </w:pPr>
      <w:r w:rsidRPr="00F47ADA">
        <w:t xml:space="preserve">Environmental Requirements: </w:t>
      </w:r>
    </w:p>
    <w:p w14:paraId="38BE08FF" w14:textId="77777777" w:rsidR="00D40D65" w:rsidRPr="00F47ADA" w:rsidRDefault="00D40D65" w:rsidP="00BD1F0F">
      <w:r w:rsidRPr="00F47ADA">
        <w:t>Depending on the specific location and methods the applicable environmental and historic preservation (EHP) laws can differ. Given this, engagement with FEMA EHP is required on a project specific basis. FEMA EHP has streamlined consultation tools in place with partner agencies, such as the State Historic Preservation Office and the US Fish and Wildlife Service, that may aid in a faster EHP compliance review and project clearance.</w:t>
      </w:r>
    </w:p>
    <w:p w14:paraId="38BE0900" w14:textId="77777777" w:rsidR="00D40D65" w:rsidRPr="00F47ADA" w:rsidRDefault="00D40D65" w:rsidP="00BD1F0F">
      <w:r w:rsidRPr="00F47ADA">
        <w:t>Basic EHP requirements for this project type:</w:t>
      </w:r>
    </w:p>
    <w:p w14:paraId="38BE0901" w14:textId="77777777" w:rsidR="00D40D65" w:rsidRPr="00BD1F0F" w:rsidRDefault="00D40D65" w:rsidP="00BD1F0F">
      <w:pPr>
        <w:pStyle w:val="ListParagraph"/>
      </w:pPr>
      <w:r w:rsidRPr="00BD1F0F">
        <w:t>Location of each structure (address, coordinates)</w:t>
      </w:r>
    </w:p>
    <w:p w14:paraId="38BE0902" w14:textId="77777777" w:rsidR="00D40D65" w:rsidRPr="00BD1F0F" w:rsidRDefault="00D40D65" w:rsidP="00BD1F0F">
      <w:pPr>
        <w:pStyle w:val="ListParagraph"/>
      </w:pPr>
      <w:r w:rsidRPr="00BD1F0F">
        <w:t>Proposed methods for vegetation reduction</w:t>
      </w:r>
    </w:p>
    <w:p w14:paraId="38BE0903" w14:textId="77777777" w:rsidR="00D40D65" w:rsidRPr="00BD1F0F" w:rsidRDefault="00D40D65" w:rsidP="00BD1F0F">
      <w:pPr>
        <w:pStyle w:val="ListParagraph"/>
      </w:pPr>
      <w:r w:rsidRPr="00BD1F0F">
        <w:lastRenderedPageBreak/>
        <w:t>For trees that will be cut or removed, provide the maximum trunk circumference and description of removal method (Will root ball be removed? Will tree be chained/drag dragged?)</w:t>
      </w:r>
    </w:p>
    <w:p w14:paraId="38BE0904" w14:textId="77777777" w:rsidR="00D40D65" w:rsidRPr="00BD1F0F" w:rsidRDefault="00D40D65" w:rsidP="00BD1F0F">
      <w:pPr>
        <w:pStyle w:val="ListParagraph"/>
      </w:pPr>
      <w:r w:rsidRPr="00BD1F0F">
        <w:t>Description of any ground disturbance</w:t>
      </w:r>
    </w:p>
    <w:p w14:paraId="38BE0905" w14:textId="77777777" w:rsidR="00D40D65" w:rsidRPr="00BD1F0F" w:rsidRDefault="00D40D65" w:rsidP="00BD1F0F">
      <w:pPr>
        <w:pStyle w:val="ListParagraph"/>
      </w:pPr>
      <w:r w:rsidRPr="00BD1F0F">
        <w:t>Planned disposal methods for the cut vegetation (Will materials be chipped and broadcast? Hauled to a licensed landfill?)</w:t>
      </w:r>
    </w:p>
    <w:p w14:paraId="38BE0906" w14:textId="77777777" w:rsidR="00D40D65" w:rsidRPr="00BD1F0F" w:rsidRDefault="00D40D65" w:rsidP="00BD1F0F">
      <w:pPr>
        <w:pStyle w:val="ListParagraph"/>
      </w:pPr>
      <w:r w:rsidRPr="00BD1F0F">
        <w:t>Proposed methods to avoid impacts to threatened and endangered plants or animals</w:t>
      </w:r>
    </w:p>
    <w:p w14:paraId="38BE0908" w14:textId="25E7415C" w:rsidR="004628D4" w:rsidRPr="00BD1F0F" w:rsidRDefault="00D40D65" w:rsidP="00BD1F0F">
      <w:pPr>
        <w:pStyle w:val="ListParagraph"/>
      </w:pPr>
      <w:r w:rsidRPr="00BD1F0F">
        <w:t>Photographs of the vegetation in the general area</w:t>
      </w:r>
    </w:p>
    <w:sectPr w:rsidR="004628D4" w:rsidRPr="00BD1F0F" w:rsidSect="006D4CD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CFB28" w14:textId="77777777" w:rsidR="00916AF6" w:rsidRDefault="00916AF6" w:rsidP="00F808FB">
      <w:pPr>
        <w:spacing w:after="0" w:line="240" w:lineRule="auto"/>
      </w:pPr>
      <w:r>
        <w:separator/>
      </w:r>
    </w:p>
  </w:endnote>
  <w:endnote w:type="continuationSeparator" w:id="0">
    <w:p w14:paraId="07F276D2" w14:textId="77777777" w:rsidR="00916AF6" w:rsidRDefault="00916AF6" w:rsidP="00F80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Gothic-Book">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33AA6" w14:textId="797E4C0F" w:rsidR="00F808FB" w:rsidRDefault="00F808FB">
    <w:pPr>
      <w:pStyle w:val="Footer"/>
    </w:pPr>
    <w:r>
      <w:t>FEMA Region IX</w:t>
    </w:r>
    <w:r>
      <w:tab/>
    </w:r>
    <w:r>
      <w:tab/>
      <w:t>September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8096C" w14:textId="77777777" w:rsidR="00916AF6" w:rsidRDefault="00916AF6" w:rsidP="00F808FB">
      <w:pPr>
        <w:spacing w:after="0" w:line="240" w:lineRule="auto"/>
      </w:pPr>
      <w:r>
        <w:separator/>
      </w:r>
    </w:p>
  </w:footnote>
  <w:footnote w:type="continuationSeparator" w:id="0">
    <w:p w14:paraId="29F1143C" w14:textId="77777777" w:rsidR="00916AF6" w:rsidRDefault="00916AF6" w:rsidP="00F808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D3C85"/>
    <w:multiLevelType w:val="hybridMultilevel"/>
    <w:tmpl w:val="E7985232"/>
    <w:lvl w:ilvl="0" w:tplc="9C58799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82EEC"/>
    <w:multiLevelType w:val="hybridMultilevel"/>
    <w:tmpl w:val="AD288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434D6E"/>
    <w:multiLevelType w:val="hybridMultilevel"/>
    <w:tmpl w:val="5B1EE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5011B5"/>
    <w:multiLevelType w:val="hybridMultilevel"/>
    <w:tmpl w:val="23DAE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A8383C"/>
    <w:multiLevelType w:val="hybridMultilevel"/>
    <w:tmpl w:val="3AA07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CD1D6B"/>
    <w:multiLevelType w:val="hybridMultilevel"/>
    <w:tmpl w:val="AA8C2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9632AB2"/>
    <w:multiLevelType w:val="hybridMultilevel"/>
    <w:tmpl w:val="44805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9F4B26"/>
    <w:multiLevelType w:val="hybridMultilevel"/>
    <w:tmpl w:val="7792B6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BD8735A"/>
    <w:multiLevelType w:val="hybridMultilevel"/>
    <w:tmpl w:val="5FA813A8"/>
    <w:lvl w:ilvl="0" w:tplc="6EFC55E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A7429F"/>
    <w:multiLevelType w:val="hybridMultilevel"/>
    <w:tmpl w:val="273A5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9C63F0"/>
    <w:multiLevelType w:val="hybridMultilevel"/>
    <w:tmpl w:val="5080A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0"/>
  </w:num>
  <w:num w:numId="5">
    <w:abstractNumId w:val="7"/>
  </w:num>
  <w:num w:numId="6">
    <w:abstractNumId w:val="1"/>
  </w:num>
  <w:num w:numId="7">
    <w:abstractNumId w:val="8"/>
  </w:num>
  <w:num w:numId="8">
    <w:abstractNumId w:val="9"/>
  </w:num>
  <w:num w:numId="9">
    <w:abstractNumId w:val="6"/>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D65"/>
    <w:rsid w:val="000242DC"/>
    <w:rsid w:val="0011719E"/>
    <w:rsid w:val="001F1428"/>
    <w:rsid w:val="001F4D96"/>
    <w:rsid w:val="003A2B0D"/>
    <w:rsid w:val="003D6DBA"/>
    <w:rsid w:val="003E6B99"/>
    <w:rsid w:val="004628D4"/>
    <w:rsid w:val="00481EA6"/>
    <w:rsid w:val="00485990"/>
    <w:rsid w:val="004A7EF8"/>
    <w:rsid w:val="005F15B7"/>
    <w:rsid w:val="005F1D17"/>
    <w:rsid w:val="006D4CDF"/>
    <w:rsid w:val="008979ED"/>
    <w:rsid w:val="00916AF6"/>
    <w:rsid w:val="009F7107"/>
    <w:rsid w:val="00B40C83"/>
    <w:rsid w:val="00BD1F0F"/>
    <w:rsid w:val="00BE5EA2"/>
    <w:rsid w:val="00D268EE"/>
    <w:rsid w:val="00D40D65"/>
    <w:rsid w:val="00DB01B3"/>
    <w:rsid w:val="00DB5BF8"/>
    <w:rsid w:val="00DB6FF1"/>
    <w:rsid w:val="00F30EE6"/>
    <w:rsid w:val="00F73D60"/>
    <w:rsid w:val="00F808FB"/>
    <w:rsid w:val="00F9035B"/>
    <w:rsid w:val="00F90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E08D3"/>
  <w15:chartTrackingRefBased/>
  <w15:docId w15:val="{1B937BA1-3265-498C-AFF3-08EDF2C57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428"/>
    <w:rPr>
      <w:rFonts w:ascii="Century Gothic" w:hAnsi="Century Gothic"/>
      <w:sz w:val="24"/>
    </w:rPr>
  </w:style>
  <w:style w:type="paragraph" w:styleId="Heading1">
    <w:name w:val="heading 1"/>
    <w:basedOn w:val="Normal"/>
    <w:next w:val="Normal"/>
    <w:link w:val="Heading1Char"/>
    <w:uiPriority w:val="9"/>
    <w:qFormat/>
    <w:rsid w:val="00481EA6"/>
    <w:pPr>
      <w:keepNext/>
      <w:keepLines/>
      <w:spacing w:after="0"/>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3A2B0D"/>
    <w:pPr>
      <w:keepNext/>
      <w:keepLines/>
      <w:spacing w:before="120" w:after="120"/>
      <w:outlineLvl w:val="1"/>
    </w:pPr>
    <w:rPr>
      <w:rFonts w:eastAsiaTheme="majorEastAsia" w:cstheme="majorBidi"/>
      <w:b/>
      <w:color w:val="2F5496"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40D6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D1F0F"/>
    <w:pPr>
      <w:numPr>
        <w:numId w:val="11"/>
      </w:numPr>
      <w:ind w:left="360"/>
      <w:contextualSpacing/>
    </w:pPr>
  </w:style>
  <w:style w:type="table" w:styleId="TableGrid">
    <w:name w:val="Table Grid"/>
    <w:basedOn w:val="TableNormal"/>
    <w:uiPriority w:val="39"/>
    <w:rsid w:val="00D40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81EA6"/>
    <w:rPr>
      <w:rFonts w:ascii="Century Gothic" w:eastAsiaTheme="majorEastAsia" w:hAnsi="Century Gothic" w:cstheme="majorBidi"/>
      <w:b/>
      <w:sz w:val="28"/>
      <w:szCs w:val="32"/>
    </w:rPr>
  </w:style>
  <w:style w:type="paragraph" w:styleId="Title">
    <w:name w:val="Title"/>
    <w:basedOn w:val="Normal"/>
    <w:next w:val="Normal"/>
    <w:link w:val="TitleChar"/>
    <w:uiPriority w:val="10"/>
    <w:qFormat/>
    <w:rsid w:val="00F73D60"/>
    <w:pPr>
      <w:spacing w:after="0" w:line="240" w:lineRule="auto"/>
      <w:contextualSpacing/>
      <w:jc w:val="center"/>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F73D60"/>
    <w:rPr>
      <w:rFonts w:ascii="Times New Roman" w:eastAsiaTheme="majorEastAsia" w:hAnsi="Times New Roman" w:cstheme="majorBidi"/>
      <w:b/>
      <w:spacing w:val="-10"/>
      <w:kern w:val="28"/>
      <w:sz w:val="28"/>
      <w:szCs w:val="56"/>
    </w:rPr>
  </w:style>
  <w:style w:type="paragraph" w:styleId="Header">
    <w:name w:val="header"/>
    <w:basedOn w:val="Normal"/>
    <w:link w:val="HeaderChar"/>
    <w:uiPriority w:val="99"/>
    <w:unhideWhenUsed/>
    <w:rsid w:val="00F808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08FB"/>
    <w:rPr>
      <w:rFonts w:ascii="Times New Roman" w:hAnsi="Times New Roman"/>
      <w:sz w:val="24"/>
    </w:rPr>
  </w:style>
  <w:style w:type="paragraph" w:styleId="Footer">
    <w:name w:val="footer"/>
    <w:basedOn w:val="Normal"/>
    <w:link w:val="FooterChar"/>
    <w:uiPriority w:val="99"/>
    <w:unhideWhenUsed/>
    <w:rsid w:val="00F808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08FB"/>
    <w:rPr>
      <w:rFonts w:ascii="Times New Roman" w:hAnsi="Times New Roman"/>
      <w:sz w:val="24"/>
    </w:rPr>
  </w:style>
  <w:style w:type="character" w:customStyle="1" w:styleId="Heading2Char">
    <w:name w:val="Heading 2 Char"/>
    <w:basedOn w:val="DefaultParagraphFont"/>
    <w:link w:val="Heading2"/>
    <w:uiPriority w:val="9"/>
    <w:rsid w:val="003A2B0D"/>
    <w:rPr>
      <w:rFonts w:ascii="Century Gothic" w:eastAsiaTheme="majorEastAsia" w:hAnsi="Century Gothic" w:cstheme="majorBidi"/>
      <w:b/>
      <w:color w:val="2F5496" w:themeColor="accent1" w:themeShade="BF"/>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General Doc" ma:contentTypeID="0x010100A3C0AE248FC7AE4A8F6A9800E77547E60100D35BA1A73372ED4A9364D2E17BB3A6B9" ma:contentTypeVersion="13" ma:contentTypeDescription="Cal OES General Document" ma:contentTypeScope="" ma:versionID="82dbf47ab273c9e51534c90f921537d9">
  <xsd:schema xmlns:xsd="http://www.w3.org/2001/XMLSchema" xmlns:xs="http://www.w3.org/2001/XMLSchema" xmlns:p="http://schemas.microsoft.com/office/2006/metadata/properties" xmlns:ns2="0a8bad6b-f581-42d1-a937-dbda95349e24" xmlns:ns3="1ba08a47-4485-4df1-b92e-bb63ba008779" targetNamespace="http://schemas.microsoft.com/office/2006/metadata/properties" ma:root="true" ma:fieldsID="32ef09b76317325211c1621927f17900" ns2:_="" ns3:_="">
    <xsd:import namespace="0a8bad6b-f581-42d1-a937-dbda95349e24"/>
    <xsd:import namespace="1ba08a47-4485-4df1-b92e-bb63ba008779"/>
    <xsd:element name="properties">
      <xsd:complexType>
        <xsd:sequence>
          <xsd:element name="documentManagement">
            <xsd:complexType>
              <xsd:all>
                <xsd:element ref="ns2:oesRollupDescription" minOccurs="0"/>
                <xsd:element ref="ns2:h91dd47120624aa8a205903f7dc28ad4" minOccurs="0"/>
                <xsd:element ref="ns2:TaxCatchAll" minOccurs="0"/>
                <xsd:element ref="ns2:TaxCatchAllLabel" minOccurs="0"/>
                <xsd:element ref="ns2:oesGroupBy"/>
                <xsd:element ref="ns3:oesDisplay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8bad6b-f581-42d1-a937-dbda95349e24" elementFormDefault="qualified">
    <xsd:import namespace="http://schemas.microsoft.com/office/2006/documentManagement/types"/>
    <xsd:import namespace="http://schemas.microsoft.com/office/infopath/2007/PartnerControls"/>
    <xsd:element name="oesRollupDescription" ma:index="8" nillable="true" ma:displayName="Rollup Description" ma:description="Use this for a brief description of the item, which will be displayed on the page." ma:internalName="oesRollupDescription" ma:readOnly="false">
      <xsd:simpleType>
        <xsd:restriction base="dms:Note">
          <xsd:maxLength value="255"/>
        </xsd:restriction>
      </xsd:simpleType>
    </xsd:element>
    <xsd:element name="h91dd47120624aa8a205903f7dc28ad4" ma:index="9" ma:taxonomy="true" ma:internalName="h91dd47120624aa8a205903f7dc28ad4" ma:taxonomyFieldName="oesDivision" ma:displayName="Cal OES Division" ma:default="" ma:fieldId="{191dd471-2062-4aa8-a205-903f7dc28ad4}" ma:sspId="ed650271-3da9-459d-b38c-75915af8c2ed" ma:termSetId="35129ea4-2b69-4523-92bc-aa23dc2aa4f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eeb0fb86-bc12-4cb3-92ad-dd6aef4c6903}" ma:internalName="TaxCatchAll" ma:showField="CatchAllData" ma:web="0a8bad6b-f581-42d1-a937-dbda95349e2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eb0fb86-bc12-4cb3-92ad-dd6aef4c6903}" ma:internalName="TaxCatchAllLabel" ma:readOnly="true" ma:showField="CatchAllDataLabel" ma:web="0a8bad6b-f581-42d1-a937-dbda95349e24">
      <xsd:complexType>
        <xsd:complexContent>
          <xsd:extension base="dms:MultiChoiceLookup">
            <xsd:sequence>
              <xsd:element name="Value" type="dms:Lookup" maxOccurs="unbounded" minOccurs="0" nillable="true"/>
            </xsd:sequence>
          </xsd:extension>
        </xsd:complexContent>
      </xsd:complexType>
    </xsd:element>
    <xsd:element name="oesGroupBy" ma:index="13" ma:displayName="Group By" ma:description="Use this field to group items together based on a common group name." ma:internalName="oesGroupB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a08a47-4485-4df1-b92e-bb63ba008779" elementFormDefault="qualified">
    <xsd:import namespace="http://schemas.microsoft.com/office/2006/documentManagement/types"/>
    <xsd:import namespace="http://schemas.microsoft.com/office/infopath/2007/PartnerControls"/>
    <xsd:element name="oesDisplayOn" ma:index="14" nillable="true" ma:displayName="Display On" ma:list="{34f9ac60-0367-4830-ae89-726c94aa64ac}" ma:internalName="oesDisplayOn" ma:showField="Title" ma:requiredMultiChoice="tru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esDisplayOn xmlns="1ba08a47-4485-4df1-b92e-bb63ba008779">
      <Value>20</Value>
    </oesDisplayOn>
    <oesRollupDescription xmlns="0a8bad6b-f581-42d1-a937-dbda95349e24" xsi:nil="true"/>
    <oesGroupBy xmlns="0a8bad6b-f581-42d1-a937-dbda95349e24"> FEMA Wildfire Mitigation Funding Opportunities</oesGroupBy>
    <h91dd47120624aa8a205903f7dc28ad4 xmlns="0a8bad6b-f581-42d1-a937-dbda95349e24">
      <Terms xmlns="http://schemas.microsoft.com/office/infopath/2007/PartnerControls">
        <TermInfo xmlns="http://schemas.microsoft.com/office/infopath/2007/PartnerControls">
          <TermName xmlns="http://schemas.microsoft.com/office/infopath/2007/PartnerControls">Recovery</TermName>
          <TermId xmlns="http://schemas.microsoft.com/office/infopath/2007/PartnerControls">5c2352b6-fb4e-475d-8d45-1bce5e618ade</TermId>
        </TermInfo>
      </Terms>
    </h91dd47120624aa8a205903f7dc28ad4>
    <TaxCatchAll xmlns="0a8bad6b-f581-42d1-a937-dbda95349e24">
      <Value>16</Value>
    </TaxCatchAll>
  </documentManagement>
</p:properties>
</file>

<file path=customXml/itemProps1.xml><?xml version="1.0" encoding="utf-8"?>
<ds:datastoreItem xmlns:ds="http://schemas.openxmlformats.org/officeDocument/2006/customXml" ds:itemID="{8DDF19B6-8563-427E-835C-FB8711AB19A5}">
  <ds:schemaRefs>
    <ds:schemaRef ds:uri="http://schemas.openxmlformats.org/officeDocument/2006/bibliography"/>
  </ds:schemaRefs>
</ds:datastoreItem>
</file>

<file path=customXml/itemProps2.xml><?xml version="1.0" encoding="utf-8"?>
<ds:datastoreItem xmlns:ds="http://schemas.openxmlformats.org/officeDocument/2006/customXml" ds:itemID="{B2D8968D-F30E-42A5-A38F-C968C2512F30}"/>
</file>

<file path=customXml/itemProps3.xml><?xml version="1.0" encoding="utf-8"?>
<ds:datastoreItem xmlns:ds="http://schemas.openxmlformats.org/officeDocument/2006/customXml" ds:itemID="{B348DC27-BF7A-4E0B-AF7B-E897D17EBA06}"/>
</file>

<file path=customXml/itemProps4.xml><?xml version="1.0" encoding="utf-8"?>
<ds:datastoreItem xmlns:ds="http://schemas.openxmlformats.org/officeDocument/2006/customXml" ds:itemID="{381D4981-DC5C-455E-8275-E8CC806C9277}"/>
</file>

<file path=docProps/app.xml><?xml version="1.0" encoding="utf-8"?>
<Properties xmlns="http://schemas.openxmlformats.org/officeDocument/2006/extended-properties" xmlns:vt="http://schemas.openxmlformats.org/officeDocument/2006/docPropsVTypes">
  <Template>Normal</Template>
  <TotalTime>34</TotalTime>
  <Pages>3</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FEMA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FEMA Wildfire Mitigation Funding Opportunity Defensible Space</dc:title>
  <dc:subject/>
  <dc:creator>Hanchett, Bonnie</dc:creator>
  <cp:keywords/>
  <dc:description/>
  <cp:lastModifiedBy>Briggs, David@CalOES</cp:lastModifiedBy>
  <cp:revision>26</cp:revision>
  <dcterms:created xsi:type="dcterms:W3CDTF">2020-11-05T13:34:00Z</dcterms:created>
  <dcterms:modified xsi:type="dcterms:W3CDTF">2020-12-29T17:25:00Z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0x010100A3C0AE248FC7AE4A8F6A9800E77547E60100D35BA1A73372ED4A9364D2E17BB3A6B9</vt:lpwstr>
  </property>
  <property fmtid="{D5CDD505-2E9C-101B-9397-08002B2CF9AE}" pid="3" name="oesDivision">
    <vt:lpwstr>16;#Recovery|5c2352b6-fb4e-475d-8d45-1bce5e618ade</vt:lpwstr>
  </property>
</Properties>
</file>