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182C5" w14:textId="06C546C6" w:rsidR="00640CD6" w:rsidRPr="00B56BF3" w:rsidRDefault="00640CD6" w:rsidP="00640CD6">
      <w:r w:rsidRPr="00BE01E5">
        <w:rPr>
          <w:rFonts w:ascii="Franklin Gothic Book" w:eastAsia="Times New Roman" w:hAnsi="Franklin Gothic Book" w:cs="Times New Roman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2F6FED4" wp14:editId="30523D47">
                <wp:simplePos x="0" y="0"/>
                <wp:positionH relativeFrom="margin">
                  <wp:posOffset>5562600</wp:posOffset>
                </wp:positionH>
                <wp:positionV relativeFrom="topMargin">
                  <wp:align>bottom</wp:align>
                </wp:positionV>
                <wp:extent cx="695325" cy="281940"/>
                <wp:effectExtent l="0" t="0" r="9525" b="3810"/>
                <wp:wrapSquare wrapText="bothSides"/>
                <wp:docPr id="48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358AF" w14:textId="5E059B3E" w:rsidR="00640CD6" w:rsidRPr="000A39B7" w:rsidRDefault="00640CD6" w:rsidP="00640CD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A39B7">
                              <w:rPr>
                                <w:b/>
                                <w:bCs/>
                              </w:rPr>
                              <w:t xml:space="preserve">WF </w:t>
                            </w:r>
                            <w:r w:rsidR="00A25B16" w:rsidRPr="000A39B7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0A39B7"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  <w:p w14:paraId="1B2DD385" w14:textId="77777777" w:rsidR="00640CD6" w:rsidRDefault="00640CD6" w:rsidP="00640C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6FE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8pt;margin-top:0;width:54.75pt;height:22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" stroked="f">
                <v:textbox>
                  <w:txbxContent>
                    <w:p w14:paraId="02C358AF" w14:textId="5E059B3E" w:rsidR="00640CD6" w:rsidRPr="000A39B7" w:rsidRDefault="00640CD6" w:rsidP="00640CD6">
                      <w:pPr>
                        <w:rPr>
                          <w:b/>
                          <w:bCs/>
                        </w:rPr>
                      </w:pPr>
                      <w:r w:rsidRPr="000A39B7">
                        <w:rPr>
                          <w:b/>
                          <w:bCs/>
                        </w:rPr>
                        <w:t xml:space="preserve">WF </w:t>
                      </w:r>
                      <w:r w:rsidR="00A25B16" w:rsidRPr="000A39B7">
                        <w:rPr>
                          <w:b/>
                          <w:bCs/>
                        </w:rPr>
                        <w:t>-</w:t>
                      </w:r>
                      <w:r w:rsidRPr="000A39B7">
                        <w:rPr>
                          <w:b/>
                          <w:bCs/>
                        </w:rPr>
                        <w:t>7</w:t>
                      </w:r>
                    </w:p>
                    <w:p w14:paraId="1B2DD385" w14:textId="77777777" w:rsidR="00640CD6" w:rsidRDefault="00640CD6" w:rsidP="00640CD6"/>
                  </w:txbxContent>
                </v:textbox>
                <w10:wrap type="square" anchorx="margin" anchory="margin"/>
              </v:shape>
            </w:pict>
          </mc:Fallback>
        </mc:AlternateContent>
      </w:r>
      <w:bookmarkStart w:id="0" w:name="_GoBack"/>
      <w:r w:rsidRPr="00B56BF3">
        <w:rPr>
          <w:rFonts w:ascii="Franklin Gothic Book" w:hAnsi="Franklin Gothic Book"/>
          <w:b/>
          <w:bCs/>
          <w:noProof/>
          <w:szCs w:val="24"/>
        </w:rPr>
        <w:drawing>
          <wp:anchor distT="0" distB="0" distL="114300" distR="114300" simplePos="0" relativeHeight="251662336" behindDoc="1" locked="0" layoutInCell="1" allowOverlap="1" wp14:anchorId="101A1494" wp14:editId="292D9CBA">
            <wp:simplePos x="0" y="0"/>
            <wp:positionH relativeFrom="margin">
              <wp:posOffset>-160020</wp:posOffset>
            </wp:positionH>
            <wp:positionV relativeFrom="page">
              <wp:align>top</wp:align>
            </wp:positionV>
            <wp:extent cx="1638300" cy="1143000"/>
            <wp:effectExtent l="0" t="0" r="0" b="0"/>
            <wp:wrapTight wrapText="bothSides">
              <wp:wrapPolygon edited="0">
                <wp:start x="2512" y="7920"/>
                <wp:lineTo x="1005" y="9720"/>
                <wp:lineTo x="0" y="11880"/>
                <wp:lineTo x="0" y="15840"/>
                <wp:lineTo x="1507" y="19080"/>
                <wp:lineTo x="2260" y="19800"/>
                <wp:lineTo x="5526" y="19800"/>
                <wp:lineTo x="20847" y="16920"/>
                <wp:lineTo x="21349" y="16200"/>
                <wp:lineTo x="21349" y="11880"/>
                <wp:lineTo x="19088" y="11160"/>
                <wp:lineTo x="5526" y="7920"/>
                <wp:lineTo x="2512" y="7920"/>
              </wp:wrapPolygon>
            </wp:wrapTight>
            <wp:docPr id="27" name="Picture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476"/>
                    <a:stretch/>
                  </pic:blipFill>
                  <pic:spPr bwMode="auto">
                    <a:xfrm>
                      <a:off x="0" y="0"/>
                      <a:ext cx="1638300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481853A9" w14:textId="77777777" w:rsidR="00640CD6" w:rsidRPr="00B56BF3" w:rsidRDefault="00640CD6" w:rsidP="000A39B7">
      <w:pPr>
        <w:pStyle w:val="Heading1"/>
      </w:pPr>
      <w:r w:rsidRPr="00B56BF3">
        <w:t>FEMA Mitigation Funding Opportunity</w:t>
      </w:r>
    </w:p>
    <w:p w14:paraId="1E6D05B5" w14:textId="74C1083C" w:rsidR="00640CD6" w:rsidRPr="00B26C82" w:rsidRDefault="00640CD6" w:rsidP="000A39B7">
      <w:pPr>
        <w:pStyle w:val="Heading1"/>
      </w:pPr>
      <w:r w:rsidRPr="00B56BF3">
        <w:t>Building Codes Improvements</w:t>
      </w:r>
    </w:p>
    <w:p w14:paraId="5780A966" w14:textId="77777777" w:rsidR="00640CD6" w:rsidRPr="00B56BF3" w:rsidRDefault="00640CD6" w:rsidP="000A39B7">
      <w:pPr>
        <w:pStyle w:val="Heading2"/>
      </w:pPr>
      <w:r w:rsidRPr="00B56BF3">
        <w:t>Overview</w:t>
      </w:r>
    </w:p>
    <w:p w14:paraId="7DEF942E" w14:textId="77777777" w:rsidR="00640CD6" w:rsidRPr="00B56BF3" w:rsidRDefault="00640CD6" w:rsidP="00B26C82">
      <w:r w:rsidRPr="00B56BF3">
        <w:t xml:space="preserve">Building codes specify the minimum legal design and construction requirements for a given jurisdiction. Structural integrity, construction materials and fire protection are taken into consideration to safeguard the occupants of a building, and to protect the building’s structure. </w:t>
      </w:r>
      <w:r w:rsidRPr="00B56BF3">
        <w:rPr>
          <w:rFonts w:eastAsiaTheme="minorEastAsia"/>
          <w:color w:val="333333"/>
        </w:rPr>
        <w:t xml:space="preserve">The International Code Council (ICC) develops codes in collaboration with </w:t>
      </w:r>
      <w:r w:rsidRPr="00B56BF3">
        <w:rPr>
          <w:rFonts w:cs="Arial"/>
          <w:color w:val="333333"/>
        </w:rPr>
        <w:t>Federal Emergency Management Agency (FEMA) and other Federal, states, local and private authorities.</w:t>
      </w:r>
    </w:p>
    <w:p w14:paraId="6B1498A7" w14:textId="77777777" w:rsidR="00640CD6" w:rsidRPr="00B56BF3" w:rsidRDefault="00640CD6" w:rsidP="00B26C82">
      <w:r w:rsidRPr="00B56BF3">
        <w:t>Adhering to the codes not only aides in protecting life and property but also increases disaster resilience.</w:t>
      </w:r>
      <w:r w:rsidRPr="00B56BF3">
        <w:rPr>
          <w:rFonts w:eastAsiaTheme="minorEastAsia"/>
        </w:rPr>
        <w:t xml:space="preserve"> This allows individuals and families to rapidly recover, following a disaster, with minimal costs and enable the continuation of operations and essentials services,</w:t>
      </w:r>
    </w:p>
    <w:p w14:paraId="327601F4" w14:textId="093F062F" w:rsidR="00F52EC7" w:rsidRDefault="00640CD6" w:rsidP="00B26C82">
      <w:pPr>
        <w:rPr>
          <w:rFonts w:cstheme="minorHAnsi"/>
          <w:lang w:val="en"/>
        </w:rPr>
      </w:pPr>
      <w:r w:rsidRPr="00B56BF3">
        <w:t xml:space="preserve">With wildfires as a major threat to California, it’s important that building and fire codes are in place and adhered to, to ensure the sustainability of residential and commercial structures. </w:t>
      </w:r>
      <w:r w:rsidRPr="00B56BF3">
        <w:rPr>
          <w:rFonts w:cstheme="minorHAnsi"/>
          <w:color w:val="1B1B1B"/>
          <w:lang w:val="en"/>
        </w:rPr>
        <w:t xml:space="preserve">Funding opportunities are available to states, local and tribal governments, for code implementation and is made available from the </w:t>
      </w:r>
      <w:bookmarkStart w:id="1" w:name="_Hlk59108654"/>
      <w:r w:rsidRPr="00B56BF3">
        <w:rPr>
          <w:rFonts w:cstheme="minorHAnsi"/>
          <w:color w:val="1B1B1B"/>
          <w:lang w:val="en"/>
        </w:rPr>
        <w:t xml:space="preserve">Federal Emergency Management Agency (FEMA) through the </w:t>
      </w:r>
      <w:r w:rsidRPr="00B56BF3">
        <w:rPr>
          <w:rFonts w:cstheme="minorHAnsi"/>
          <w:lang w:val="en"/>
        </w:rPr>
        <w:t>California Office of Emergency Services (CalOES).</w:t>
      </w:r>
      <w:bookmarkEnd w:id="1"/>
    </w:p>
    <w:p w14:paraId="0325E731" w14:textId="5F7C9E99" w:rsidR="00A30396" w:rsidRPr="00B26C82" w:rsidRDefault="00A30396" w:rsidP="000A39B7">
      <w:pPr>
        <w:pStyle w:val="Heading2"/>
      </w:pPr>
      <w:bookmarkStart w:id="2" w:name="_Hlk54602509"/>
      <w:r w:rsidRPr="00B26C82">
        <w:t>Eligible Activities</w:t>
      </w:r>
    </w:p>
    <w:bookmarkEnd w:id="2"/>
    <w:p w14:paraId="48B1257A" w14:textId="19714C12" w:rsidR="00CA46CB" w:rsidRPr="007A6398" w:rsidRDefault="00A30396" w:rsidP="003543D3">
      <w:pPr>
        <w:pStyle w:val="ListParagraph"/>
        <w:numPr>
          <w:ilvl w:val="0"/>
          <w:numId w:val="13"/>
        </w:numPr>
        <w:shd w:val="clear" w:color="auto" w:fill="2F5496" w:themeFill="accent1" w:themeFillShade="BF"/>
        <w:spacing w:after="0" w:line="240" w:lineRule="auto"/>
        <w:ind w:left="360"/>
        <w:rPr>
          <w:rFonts w:cs="Times New Roman"/>
          <w:b/>
          <w:bCs/>
          <w:color w:val="FFFFFF" w:themeColor="background1"/>
          <w:szCs w:val="24"/>
        </w:rPr>
      </w:pPr>
      <w:r w:rsidRPr="007A6398">
        <w:rPr>
          <w:rFonts w:cs="Times New Roman"/>
          <w:b/>
          <w:bCs/>
          <w:color w:val="FFFFFF" w:themeColor="background1"/>
          <w:szCs w:val="24"/>
        </w:rPr>
        <w:t>Evaluate adoption and/or implementation of codes that reduce risk:</w:t>
      </w:r>
    </w:p>
    <w:p w14:paraId="3A937958" w14:textId="77777777" w:rsidR="00A30396" w:rsidRPr="000B591B" w:rsidRDefault="00A30396" w:rsidP="003543D3">
      <w:pPr>
        <w:pStyle w:val="ListParagraph"/>
        <w:numPr>
          <w:ilvl w:val="0"/>
          <w:numId w:val="14"/>
        </w:numPr>
        <w:shd w:val="clear" w:color="auto" w:fill="2F5496" w:themeFill="accent1" w:themeFillShade="BF"/>
        <w:spacing w:after="0" w:line="240" w:lineRule="auto"/>
        <w:ind w:left="360"/>
        <w:rPr>
          <w:rFonts w:cs="Times New Roman"/>
          <w:color w:val="FFFFFF" w:themeColor="background1"/>
          <w:szCs w:val="24"/>
        </w:rPr>
      </w:pPr>
      <w:r w:rsidRPr="000B591B">
        <w:rPr>
          <w:rFonts w:cs="Times New Roman"/>
          <w:color w:val="FFFFFF" w:themeColor="background1"/>
          <w:szCs w:val="24"/>
        </w:rPr>
        <w:t>Evaluate which code adoption and enforcement activities are best suited for the jurisdiction</w:t>
      </w:r>
    </w:p>
    <w:p w14:paraId="7572443D" w14:textId="25B2B6CE" w:rsidR="00A30396" w:rsidRPr="000B591B" w:rsidRDefault="00A30396" w:rsidP="003543D3">
      <w:pPr>
        <w:pStyle w:val="ListParagraph"/>
        <w:numPr>
          <w:ilvl w:val="0"/>
          <w:numId w:val="14"/>
        </w:numPr>
        <w:shd w:val="clear" w:color="auto" w:fill="2F5496" w:themeFill="accent1" w:themeFillShade="BF"/>
        <w:spacing w:after="0" w:line="240" w:lineRule="auto"/>
        <w:ind w:left="360"/>
        <w:rPr>
          <w:rFonts w:cs="Times New Roman"/>
          <w:color w:val="FFFFFF" w:themeColor="background1"/>
          <w:szCs w:val="24"/>
        </w:rPr>
      </w:pPr>
      <w:r w:rsidRPr="000B591B">
        <w:rPr>
          <w:rFonts w:cs="Times New Roman"/>
          <w:color w:val="FFFFFF" w:themeColor="background1"/>
          <w:szCs w:val="24"/>
        </w:rPr>
        <w:t>Adopt building codes or develop building code requirements, including publication of those requirements related to land use, zoning, floodplain management, infrastructure, urban-wildland defensible space, or other area, that help make the community more resilient.</w:t>
      </w:r>
    </w:p>
    <w:p w14:paraId="3BB0DCA2" w14:textId="6786B2BD" w:rsidR="00A30396" w:rsidRPr="000B591B" w:rsidRDefault="00A30396" w:rsidP="003543D3">
      <w:pPr>
        <w:pStyle w:val="ListParagraph"/>
        <w:numPr>
          <w:ilvl w:val="0"/>
          <w:numId w:val="12"/>
        </w:numPr>
        <w:shd w:val="clear" w:color="auto" w:fill="2F5496" w:themeFill="accent1" w:themeFillShade="BF"/>
        <w:spacing w:after="0" w:line="240" w:lineRule="auto"/>
        <w:ind w:left="360"/>
        <w:rPr>
          <w:rFonts w:cs="Times New Roman"/>
          <w:b/>
          <w:bCs/>
          <w:color w:val="FFFFFF" w:themeColor="background1"/>
          <w:szCs w:val="24"/>
        </w:rPr>
      </w:pPr>
      <w:r w:rsidRPr="000B591B">
        <w:rPr>
          <w:rFonts w:cs="Times New Roman"/>
          <w:b/>
          <w:bCs/>
          <w:color w:val="FFFFFF" w:themeColor="background1"/>
          <w:szCs w:val="24"/>
        </w:rPr>
        <w:t>Enhance existing adopted codes to incorporate more current requirements or higher standards</w:t>
      </w:r>
      <w:r w:rsidR="00847783" w:rsidRPr="000B591B">
        <w:rPr>
          <w:rFonts w:cs="Times New Roman"/>
          <w:b/>
          <w:bCs/>
          <w:color w:val="FFFFFF" w:themeColor="background1"/>
          <w:szCs w:val="24"/>
        </w:rPr>
        <w:t>:</w:t>
      </w:r>
    </w:p>
    <w:p w14:paraId="0B0D1217" w14:textId="77777777" w:rsidR="00A30396" w:rsidRPr="000B591B" w:rsidRDefault="00A30396" w:rsidP="003543D3">
      <w:pPr>
        <w:pStyle w:val="ListParagraph"/>
        <w:numPr>
          <w:ilvl w:val="0"/>
          <w:numId w:val="15"/>
        </w:numPr>
        <w:shd w:val="clear" w:color="auto" w:fill="2F5496" w:themeFill="accent1" w:themeFillShade="BF"/>
        <w:spacing w:after="0" w:line="240" w:lineRule="auto"/>
        <w:ind w:left="360"/>
        <w:rPr>
          <w:rFonts w:cs="Times New Roman"/>
          <w:color w:val="FFFFFF" w:themeColor="background1"/>
          <w:szCs w:val="24"/>
        </w:rPr>
      </w:pPr>
      <w:r w:rsidRPr="000B591B">
        <w:rPr>
          <w:rFonts w:cs="Times New Roman"/>
          <w:color w:val="FFFFFF" w:themeColor="background1"/>
          <w:szCs w:val="24"/>
        </w:rPr>
        <w:t>Improve or modify current or existing building code requirements to reflect the latest code edition, exceed the latest code edition, or develop or modify building code-coordinated requirements, including publication of those requirements, related to land use, zoning, floodplain management, infrastructure, urban wildland defensible space, or other area, that help make the community more resilient.</w:t>
      </w:r>
    </w:p>
    <w:p w14:paraId="164EF8FA" w14:textId="3B9D32F4" w:rsidR="00A30396" w:rsidRPr="000B591B" w:rsidRDefault="00A30396" w:rsidP="003543D3">
      <w:pPr>
        <w:pStyle w:val="ListParagraph"/>
        <w:numPr>
          <w:ilvl w:val="0"/>
          <w:numId w:val="15"/>
        </w:numPr>
        <w:shd w:val="clear" w:color="auto" w:fill="2F5496" w:themeFill="accent1" w:themeFillShade="BF"/>
        <w:spacing w:after="0" w:line="240" w:lineRule="auto"/>
        <w:ind w:left="360"/>
        <w:rPr>
          <w:rFonts w:cs="Times New Roman"/>
          <w:color w:val="FFFFFF" w:themeColor="background1"/>
          <w:szCs w:val="24"/>
        </w:rPr>
      </w:pPr>
      <w:r w:rsidRPr="000B591B">
        <w:rPr>
          <w:rFonts w:cs="Times New Roman"/>
          <w:color w:val="FFFFFF" w:themeColor="background1"/>
          <w:szCs w:val="24"/>
        </w:rPr>
        <w:t xml:space="preserve">Enhance existing adopted codes and enforcement to incorporate more current requirements, higher standards, electronic permitting, online model </w:t>
      </w:r>
      <w:r w:rsidRPr="000B591B">
        <w:rPr>
          <w:rFonts w:cs="Times New Roman"/>
          <w:color w:val="FFFFFF" w:themeColor="background1"/>
          <w:szCs w:val="24"/>
        </w:rPr>
        <w:lastRenderedPageBreak/>
        <w:t>code access, virtual inspection technology, and remote building codes administration</w:t>
      </w:r>
    </w:p>
    <w:p w14:paraId="6EB251A7" w14:textId="78F96758" w:rsidR="00A30396" w:rsidRPr="000B591B" w:rsidRDefault="00A30396" w:rsidP="003543D3">
      <w:pPr>
        <w:pStyle w:val="ListParagraph"/>
        <w:numPr>
          <w:ilvl w:val="0"/>
          <w:numId w:val="12"/>
        </w:numPr>
        <w:shd w:val="clear" w:color="auto" w:fill="2F5496" w:themeFill="accent1" w:themeFillShade="BF"/>
        <w:spacing w:after="0" w:line="240" w:lineRule="auto"/>
        <w:ind w:left="360"/>
        <w:rPr>
          <w:rFonts w:cs="Times New Roman"/>
          <w:b/>
          <w:bCs/>
          <w:color w:val="FFFFFF" w:themeColor="background1"/>
          <w:szCs w:val="24"/>
        </w:rPr>
      </w:pPr>
      <w:r w:rsidRPr="000B591B">
        <w:rPr>
          <w:rFonts w:cs="Times New Roman"/>
          <w:b/>
          <w:bCs/>
          <w:color w:val="FFFFFF" w:themeColor="background1"/>
          <w:szCs w:val="24"/>
        </w:rPr>
        <w:t>Develop professional workforce capabilities through technical assistance and training</w:t>
      </w:r>
      <w:r w:rsidR="00847783" w:rsidRPr="000B591B">
        <w:rPr>
          <w:rFonts w:cs="Times New Roman"/>
          <w:b/>
          <w:bCs/>
          <w:color w:val="FFFFFF" w:themeColor="background1"/>
          <w:szCs w:val="24"/>
        </w:rPr>
        <w:t>:</w:t>
      </w:r>
    </w:p>
    <w:p w14:paraId="49F374C5" w14:textId="77777777" w:rsidR="00A30396" w:rsidRPr="000B591B" w:rsidRDefault="00A30396" w:rsidP="003543D3">
      <w:pPr>
        <w:pStyle w:val="ListParagraph"/>
        <w:numPr>
          <w:ilvl w:val="0"/>
          <w:numId w:val="16"/>
        </w:numPr>
        <w:shd w:val="clear" w:color="auto" w:fill="2F5496" w:themeFill="accent1" w:themeFillShade="BF"/>
        <w:spacing w:after="0" w:line="240" w:lineRule="auto"/>
        <w:ind w:left="360"/>
        <w:rPr>
          <w:rFonts w:cs="Times New Roman"/>
          <w:color w:val="FFFFFF" w:themeColor="background1"/>
          <w:szCs w:val="24"/>
        </w:rPr>
      </w:pPr>
      <w:r w:rsidRPr="000B591B">
        <w:rPr>
          <w:rFonts w:cs="Times New Roman"/>
          <w:color w:val="FFFFFF" w:themeColor="background1"/>
          <w:szCs w:val="24"/>
        </w:rPr>
        <w:t>Provide or pursue training, including individual certification courses (inspector, plans reviewer, certified floodplain manager, etc.) and training for both the public and private sectors</w:t>
      </w:r>
    </w:p>
    <w:p w14:paraId="3A325C0F" w14:textId="688140B7" w:rsidR="003B1886" w:rsidRPr="000B591B" w:rsidRDefault="00A30396" w:rsidP="003543D3">
      <w:pPr>
        <w:pStyle w:val="ListParagraph"/>
        <w:numPr>
          <w:ilvl w:val="0"/>
          <w:numId w:val="16"/>
        </w:numPr>
        <w:shd w:val="clear" w:color="auto" w:fill="2F5496" w:themeFill="accent1" w:themeFillShade="BF"/>
        <w:spacing w:after="0" w:line="240" w:lineRule="auto"/>
        <w:ind w:left="360"/>
        <w:rPr>
          <w:rFonts w:cs="Times New Roman"/>
          <w:color w:val="FFFFFF" w:themeColor="background1"/>
          <w:szCs w:val="24"/>
        </w:rPr>
      </w:pPr>
      <w:r w:rsidRPr="000B591B">
        <w:rPr>
          <w:rFonts w:cs="Times New Roman"/>
          <w:color w:val="FFFFFF" w:themeColor="background1"/>
          <w:szCs w:val="24"/>
        </w:rPr>
        <w:t>Develop planning, training, and exercises for post-disaster building code enforcement through the ICC’s When Disaster Strike’s Institute training cours</w:t>
      </w:r>
      <w:r w:rsidR="003B1886" w:rsidRPr="000B591B">
        <w:rPr>
          <w:rFonts w:cs="Times New Roman"/>
          <w:color w:val="FFFFFF" w:themeColor="background1"/>
          <w:szCs w:val="24"/>
        </w:rPr>
        <w:t>e</w:t>
      </w:r>
    </w:p>
    <w:p w14:paraId="51C9E972" w14:textId="6B02A087" w:rsidR="009B6D30" w:rsidRPr="00F63F8E" w:rsidRDefault="00255A9B" w:rsidP="000A39B7">
      <w:pPr>
        <w:pStyle w:val="Heading2"/>
      </w:pPr>
      <w:r w:rsidRPr="00F63F8E">
        <w:t>Eligible Activities Continued</w:t>
      </w:r>
    </w:p>
    <w:p w14:paraId="3C7D8BC6" w14:textId="5C3A4603" w:rsidR="00255A9B" w:rsidRPr="00F63F8E" w:rsidRDefault="00255A9B" w:rsidP="003543D3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1" w:themeFillShade="BF"/>
        <w:spacing w:after="0" w:line="240" w:lineRule="auto"/>
        <w:ind w:left="360"/>
        <w:rPr>
          <w:rFonts w:cs="Times New Roman"/>
          <w:b/>
          <w:bCs/>
          <w:color w:val="FFFFFF" w:themeColor="background1"/>
          <w:szCs w:val="24"/>
        </w:rPr>
      </w:pPr>
      <w:r w:rsidRPr="00F63F8E">
        <w:rPr>
          <w:rFonts w:cs="Times New Roman"/>
          <w:b/>
          <w:bCs/>
          <w:color w:val="FFFFFF" w:themeColor="background1"/>
          <w:szCs w:val="24"/>
        </w:rPr>
        <w:t>Post-Disaster Code enforcement</w:t>
      </w:r>
    </w:p>
    <w:p w14:paraId="3767F6AF" w14:textId="77777777" w:rsidR="00255A9B" w:rsidRPr="00F63F8E" w:rsidRDefault="00255A9B" w:rsidP="003543D3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1" w:themeFillShade="BF"/>
        <w:spacing w:after="0" w:line="240" w:lineRule="auto"/>
        <w:ind w:left="360"/>
        <w:rPr>
          <w:rFonts w:cs="Times New Roman"/>
          <w:color w:val="FFFFFF" w:themeColor="background1"/>
          <w:szCs w:val="24"/>
        </w:rPr>
      </w:pPr>
      <w:r w:rsidRPr="00F63F8E">
        <w:rPr>
          <w:rFonts w:cs="Times New Roman"/>
          <w:color w:val="FFFFFF" w:themeColor="background1"/>
          <w:szCs w:val="24"/>
        </w:rPr>
        <w:t>Develop activities related to improving code enforcement (evaluate processes, implement an inspection program, improve Building Code Effectiveness Grading Schedule (BCEGS) score, improve Community Rating System (CRS) rating, etc.)</w:t>
      </w:r>
    </w:p>
    <w:p w14:paraId="2A6F638E" w14:textId="77777777" w:rsidR="00255A9B" w:rsidRPr="00F63F8E" w:rsidRDefault="00255A9B" w:rsidP="003543D3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1" w:themeFillShade="BF"/>
        <w:spacing w:after="0" w:line="240" w:lineRule="auto"/>
        <w:ind w:left="360"/>
        <w:rPr>
          <w:rFonts w:cs="Times New Roman"/>
          <w:color w:val="FFFFFF" w:themeColor="background1"/>
          <w:szCs w:val="24"/>
        </w:rPr>
      </w:pPr>
      <w:r w:rsidRPr="00F63F8E">
        <w:rPr>
          <w:rFonts w:cs="Times New Roman"/>
          <w:color w:val="FFFFFF" w:themeColor="background1"/>
          <w:szCs w:val="24"/>
        </w:rPr>
        <w:t>Develop or acquire software and hardware, and associated training, to assist with plan reviews, permitting, inspections, and records retention</w:t>
      </w:r>
    </w:p>
    <w:p w14:paraId="0E4AF91C" w14:textId="77777777" w:rsidR="00255A9B" w:rsidRPr="00F63F8E" w:rsidRDefault="00255A9B" w:rsidP="003543D3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1" w:themeFillShade="BF"/>
        <w:spacing w:after="0" w:line="240" w:lineRule="auto"/>
        <w:ind w:left="360"/>
        <w:rPr>
          <w:rFonts w:cs="Times New Roman"/>
          <w:color w:val="FFFFFF" w:themeColor="background1"/>
          <w:szCs w:val="24"/>
        </w:rPr>
      </w:pPr>
      <w:r w:rsidRPr="00F63F8E">
        <w:rPr>
          <w:rFonts w:cs="Times New Roman"/>
          <w:color w:val="FFFFFF" w:themeColor="background1"/>
          <w:szCs w:val="24"/>
        </w:rPr>
        <w:t>Purchase publications, or obtain digital license or printing permissions of publications to support building code activities</w:t>
      </w:r>
    </w:p>
    <w:p w14:paraId="6D435553" w14:textId="77777777" w:rsidR="00255A9B" w:rsidRPr="00F63F8E" w:rsidRDefault="00255A9B" w:rsidP="003543D3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1" w:themeFillShade="BF"/>
        <w:spacing w:after="0" w:line="240" w:lineRule="auto"/>
        <w:ind w:left="360"/>
        <w:rPr>
          <w:rFonts w:cs="Times New Roman"/>
          <w:color w:val="FFFFFF" w:themeColor="background1"/>
          <w:szCs w:val="24"/>
        </w:rPr>
      </w:pPr>
      <w:r w:rsidRPr="00F63F8E">
        <w:rPr>
          <w:rFonts w:cs="Times New Roman"/>
          <w:color w:val="FFFFFF" w:themeColor="background1"/>
          <w:szCs w:val="24"/>
        </w:rPr>
        <w:t>Engage consulting services to support activities related to building codes</w:t>
      </w:r>
    </w:p>
    <w:p w14:paraId="4B2D4D29" w14:textId="77777777" w:rsidR="00255A9B" w:rsidRPr="00F63F8E" w:rsidRDefault="00255A9B" w:rsidP="003543D3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1" w:themeFillShade="BF"/>
        <w:spacing w:after="0" w:line="240" w:lineRule="auto"/>
        <w:ind w:left="360"/>
        <w:rPr>
          <w:rFonts w:cs="Times New Roman"/>
          <w:color w:val="FFFFFF" w:themeColor="background1"/>
          <w:szCs w:val="24"/>
        </w:rPr>
      </w:pPr>
      <w:r w:rsidRPr="00F63F8E">
        <w:rPr>
          <w:rFonts w:cs="Times New Roman"/>
          <w:color w:val="FFFFFF" w:themeColor="background1"/>
          <w:szCs w:val="24"/>
        </w:rPr>
        <w:t>Cover costs associated with building department accreditation</w:t>
      </w:r>
    </w:p>
    <w:p w14:paraId="4FC62144" w14:textId="1C00110E" w:rsidR="00640CD6" w:rsidRPr="00F63F8E" w:rsidRDefault="00255A9B" w:rsidP="003543D3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1" w:themeFillShade="BF"/>
        <w:spacing w:after="0" w:line="240" w:lineRule="auto"/>
        <w:ind w:left="360"/>
        <w:rPr>
          <w:rFonts w:cs="Times New Roman"/>
          <w:color w:val="FFFFFF" w:themeColor="background1"/>
          <w:szCs w:val="24"/>
        </w:rPr>
      </w:pPr>
      <w:r w:rsidRPr="00F63F8E">
        <w:rPr>
          <w:rFonts w:cs="Times New Roman"/>
          <w:color w:val="FFFFFF" w:themeColor="background1"/>
          <w:szCs w:val="24"/>
        </w:rPr>
        <w:t>Conduct public awareness outreach activities related to new requirements</w:t>
      </w:r>
    </w:p>
    <w:p w14:paraId="0F7F051B" w14:textId="5AB28A86" w:rsidR="00324C8C" w:rsidRPr="00324C8C" w:rsidRDefault="00640CD6" w:rsidP="000A39B7">
      <w:pPr>
        <w:pStyle w:val="Heading2"/>
      </w:pPr>
      <w:r w:rsidRPr="00B56BF3">
        <w:t>Overall Complexity</w:t>
      </w: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  <w:tblCaption w:val="Overall Complexity Table"/>
        <w:tblDescription w:val="table of overall complexity"/>
      </w:tblPr>
      <w:tblGrid>
        <w:gridCol w:w="3116"/>
        <w:gridCol w:w="3117"/>
        <w:gridCol w:w="3487"/>
      </w:tblGrid>
      <w:tr w:rsidR="00640CD6" w:rsidRPr="00B56BF3" w14:paraId="40F0EF13" w14:textId="77777777" w:rsidTr="00324C8C">
        <w:trPr>
          <w:tblHeader/>
        </w:trPr>
        <w:tc>
          <w:tcPr>
            <w:tcW w:w="3116" w:type="dxa"/>
            <w:shd w:val="clear" w:color="auto" w:fill="2F5496" w:themeFill="accent1" w:themeFillShade="BF"/>
          </w:tcPr>
          <w:p w14:paraId="22AA72D1" w14:textId="77777777" w:rsidR="00640CD6" w:rsidRPr="00324C8C" w:rsidRDefault="00640CD6" w:rsidP="00A670A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FFFFFF" w:themeColor="background1"/>
                <w:sz w:val="28"/>
                <w:szCs w:val="28"/>
              </w:rPr>
            </w:pPr>
            <w:r w:rsidRPr="00324C8C">
              <w:rPr>
                <w:rFonts w:cs="Times New Roman"/>
                <w:color w:val="FFFFFF" w:themeColor="background1"/>
                <w:sz w:val="28"/>
                <w:szCs w:val="28"/>
              </w:rPr>
              <w:t>Application</w:t>
            </w:r>
          </w:p>
        </w:tc>
        <w:tc>
          <w:tcPr>
            <w:tcW w:w="3117" w:type="dxa"/>
            <w:shd w:val="clear" w:color="auto" w:fill="2F5496" w:themeFill="accent1" w:themeFillShade="BF"/>
          </w:tcPr>
          <w:p w14:paraId="00038B47" w14:textId="77777777" w:rsidR="00640CD6" w:rsidRPr="00324C8C" w:rsidRDefault="00640CD6" w:rsidP="00A670A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FFFFFF" w:themeColor="background1"/>
                <w:sz w:val="28"/>
                <w:szCs w:val="28"/>
              </w:rPr>
            </w:pPr>
            <w:r w:rsidRPr="00324C8C">
              <w:rPr>
                <w:rFonts w:cs="Times New Roman"/>
                <w:color w:val="FFFFFF" w:themeColor="background1"/>
                <w:sz w:val="28"/>
                <w:szCs w:val="28"/>
              </w:rPr>
              <w:t>Environmental</w:t>
            </w:r>
          </w:p>
        </w:tc>
        <w:tc>
          <w:tcPr>
            <w:tcW w:w="3487" w:type="dxa"/>
            <w:shd w:val="clear" w:color="auto" w:fill="2F5496" w:themeFill="accent1" w:themeFillShade="BF"/>
          </w:tcPr>
          <w:p w14:paraId="2302E3FC" w14:textId="77777777" w:rsidR="00640CD6" w:rsidRPr="00324C8C" w:rsidRDefault="00640CD6" w:rsidP="00A670A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FFFFFF" w:themeColor="background1"/>
                <w:sz w:val="28"/>
                <w:szCs w:val="28"/>
              </w:rPr>
            </w:pPr>
            <w:r w:rsidRPr="00324C8C">
              <w:rPr>
                <w:rFonts w:cs="Times New Roman"/>
                <w:color w:val="FFFFFF" w:themeColor="background1"/>
                <w:sz w:val="28"/>
                <w:szCs w:val="28"/>
              </w:rPr>
              <w:t>Legal</w:t>
            </w:r>
          </w:p>
        </w:tc>
      </w:tr>
      <w:tr w:rsidR="00640CD6" w:rsidRPr="00B56BF3" w14:paraId="1CFF94F0" w14:textId="77777777" w:rsidTr="00A670A6">
        <w:tc>
          <w:tcPr>
            <w:tcW w:w="3116" w:type="dxa"/>
          </w:tcPr>
          <w:p w14:paraId="761079DD" w14:textId="77777777" w:rsidR="00640CD6" w:rsidRPr="00324C8C" w:rsidRDefault="00640CD6" w:rsidP="00A670A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324C8C">
              <w:rPr>
                <w:rFonts w:cs="Times New Roman"/>
                <w:sz w:val="28"/>
                <w:szCs w:val="28"/>
              </w:rPr>
              <w:t>Low</w:t>
            </w:r>
          </w:p>
        </w:tc>
        <w:tc>
          <w:tcPr>
            <w:tcW w:w="3117" w:type="dxa"/>
          </w:tcPr>
          <w:p w14:paraId="7120003A" w14:textId="77777777" w:rsidR="00640CD6" w:rsidRPr="00324C8C" w:rsidRDefault="00640CD6" w:rsidP="00A670A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324C8C">
              <w:rPr>
                <w:rFonts w:cs="Times New Roman"/>
                <w:sz w:val="28"/>
                <w:szCs w:val="28"/>
              </w:rPr>
              <w:t>Low</w:t>
            </w:r>
          </w:p>
        </w:tc>
        <w:tc>
          <w:tcPr>
            <w:tcW w:w="3487" w:type="dxa"/>
          </w:tcPr>
          <w:p w14:paraId="73B5B577" w14:textId="77777777" w:rsidR="00640CD6" w:rsidRPr="00324C8C" w:rsidRDefault="00640CD6" w:rsidP="00A670A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324C8C">
              <w:rPr>
                <w:rFonts w:cs="Times New Roman"/>
                <w:sz w:val="28"/>
                <w:szCs w:val="28"/>
              </w:rPr>
              <w:t>Low</w:t>
            </w:r>
          </w:p>
        </w:tc>
      </w:tr>
    </w:tbl>
    <w:p w14:paraId="16E53716" w14:textId="77777777" w:rsidR="00640CD6" w:rsidRPr="00B56BF3" w:rsidRDefault="00640CD6" w:rsidP="000A39B7">
      <w:pPr>
        <w:pStyle w:val="Heading2"/>
      </w:pPr>
      <w:r w:rsidRPr="00B56BF3">
        <w:t xml:space="preserve">Application Requirements: </w:t>
      </w:r>
    </w:p>
    <w:p w14:paraId="727F099A" w14:textId="77777777" w:rsidR="00640CD6" w:rsidRPr="00B56BF3" w:rsidRDefault="00640CD6" w:rsidP="00324C8C">
      <w:pPr>
        <w:pStyle w:val="ListParagraph"/>
        <w:numPr>
          <w:ilvl w:val="0"/>
          <w:numId w:val="17"/>
        </w:numPr>
      </w:pPr>
      <w:r w:rsidRPr="00B56BF3">
        <w:t>Must be a local government, Tribe, or PNP</w:t>
      </w:r>
    </w:p>
    <w:p w14:paraId="0EA04525" w14:textId="77777777" w:rsidR="00640CD6" w:rsidRPr="00B56BF3" w:rsidRDefault="00640CD6" w:rsidP="00324C8C">
      <w:pPr>
        <w:pStyle w:val="ListParagraph"/>
        <w:numPr>
          <w:ilvl w:val="0"/>
          <w:numId w:val="17"/>
        </w:numPr>
      </w:pPr>
      <w:r w:rsidRPr="00B56BF3">
        <w:t>Must have a FEMA approved Local Hazard Mitigation Plan</w:t>
      </w:r>
    </w:p>
    <w:p w14:paraId="35895B02" w14:textId="77777777" w:rsidR="00640CD6" w:rsidRPr="00B56BF3" w:rsidRDefault="00640CD6" w:rsidP="00324C8C">
      <w:pPr>
        <w:pStyle w:val="ListParagraph"/>
        <w:numPr>
          <w:ilvl w:val="0"/>
          <w:numId w:val="17"/>
        </w:numPr>
      </w:pPr>
      <w:r w:rsidRPr="00B56BF3">
        <w:t>Must fulfill appropriate state emergency management agency application requirements including, scope of work, budget, schedule, etc.</w:t>
      </w:r>
    </w:p>
    <w:p w14:paraId="717528E6" w14:textId="77777777" w:rsidR="00640CD6" w:rsidRPr="00B56BF3" w:rsidRDefault="00640CD6" w:rsidP="00324C8C">
      <w:pPr>
        <w:pStyle w:val="ListParagraph"/>
        <w:numPr>
          <w:ilvl w:val="0"/>
          <w:numId w:val="17"/>
        </w:numPr>
      </w:pPr>
      <w:r w:rsidRPr="00B56BF3">
        <w:t>Must include narrative discussion of the benefits of the project (no formal benefit-cost analysis is required)</w:t>
      </w:r>
    </w:p>
    <w:p w14:paraId="36AF0334" w14:textId="77777777" w:rsidR="00640CD6" w:rsidRPr="00B56BF3" w:rsidRDefault="00640CD6" w:rsidP="00324C8C">
      <w:pPr>
        <w:pStyle w:val="ListParagraph"/>
        <w:numPr>
          <w:ilvl w:val="0"/>
          <w:numId w:val="17"/>
        </w:numPr>
      </w:pPr>
      <w:r w:rsidRPr="00B56BF3">
        <w:t>Must fit within program or state funding limits</w:t>
      </w:r>
    </w:p>
    <w:p w14:paraId="64757D09" w14:textId="6B93D3AA" w:rsidR="00640CD6" w:rsidRPr="000A39B7" w:rsidRDefault="00640CD6" w:rsidP="00640CD6">
      <w:pPr>
        <w:pStyle w:val="ListParagraph"/>
        <w:numPr>
          <w:ilvl w:val="0"/>
          <w:numId w:val="17"/>
        </w:numPr>
      </w:pPr>
      <w:r w:rsidRPr="00B56BF3">
        <w:t>25% local match required</w:t>
      </w:r>
    </w:p>
    <w:p w14:paraId="0A4A9D9C" w14:textId="77777777" w:rsidR="00640CD6" w:rsidRPr="00B56BF3" w:rsidRDefault="00640CD6" w:rsidP="000A39B7">
      <w:pPr>
        <w:pStyle w:val="Heading2"/>
      </w:pPr>
      <w:r w:rsidRPr="00B56BF3">
        <w:t xml:space="preserve">Environmental Requirements: </w:t>
      </w:r>
    </w:p>
    <w:p w14:paraId="4220B8CF" w14:textId="7367B142" w:rsidR="00640CD6" w:rsidRPr="000A39B7" w:rsidRDefault="00640CD6" w:rsidP="00640CD6">
      <w:r w:rsidRPr="00B56BF3">
        <w:t>Building code improvement projects are categorically excluded from NEPA review as the activit</w:t>
      </w:r>
      <w:r w:rsidR="001D3D58">
        <w:t>ies</w:t>
      </w:r>
      <w:r w:rsidRPr="00B56BF3">
        <w:t xml:space="preserve"> involve no ground disturbance</w:t>
      </w:r>
      <w:r w:rsidR="001D3D58">
        <w:t>.</w:t>
      </w:r>
    </w:p>
    <w:sectPr w:rsidR="00640CD6" w:rsidRPr="000A39B7" w:rsidSect="006D4CD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5FEB2" w14:textId="77777777" w:rsidR="001F5AE4" w:rsidRDefault="001F5AE4" w:rsidP="00324C8C">
      <w:pPr>
        <w:spacing w:after="0" w:line="240" w:lineRule="auto"/>
      </w:pPr>
      <w:r>
        <w:separator/>
      </w:r>
    </w:p>
  </w:endnote>
  <w:endnote w:type="continuationSeparator" w:id="0">
    <w:p w14:paraId="4DAA1B6D" w14:textId="77777777" w:rsidR="001F5AE4" w:rsidRDefault="001F5AE4" w:rsidP="0032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08614" w14:textId="56116568" w:rsidR="00324C8C" w:rsidRDefault="00324C8C">
    <w:pPr>
      <w:pStyle w:val="Footer"/>
    </w:pPr>
    <w:r>
      <w:t>FEMA Region IX</w:t>
    </w:r>
    <w:r>
      <w:tab/>
    </w:r>
    <w:r>
      <w:tab/>
      <w:t>September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42386" w14:textId="77777777" w:rsidR="001F5AE4" w:rsidRDefault="001F5AE4" w:rsidP="00324C8C">
      <w:pPr>
        <w:spacing w:after="0" w:line="240" w:lineRule="auto"/>
      </w:pPr>
      <w:r>
        <w:separator/>
      </w:r>
    </w:p>
  </w:footnote>
  <w:footnote w:type="continuationSeparator" w:id="0">
    <w:p w14:paraId="0E0C8456" w14:textId="77777777" w:rsidR="001F5AE4" w:rsidRDefault="001F5AE4" w:rsidP="00324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F5F98"/>
    <w:multiLevelType w:val="hybridMultilevel"/>
    <w:tmpl w:val="B7CA78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138B0"/>
    <w:multiLevelType w:val="hybridMultilevel"/>
    <w:tmpl w:val="CD4C5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42D25"/>
    <w:multiLevelType w:val="hybridMultilevel"/>
    <w:tmpl w:val="62C0C236"/>
    <w:lvl w:ilvl="0" w:tplc="178473F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178473F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981567"/>
    <w:multiLevelType w:val="hybridMultilevel"/>
    <w:tmpl w:val="70B69464"/>
    <w:lvl w:ilvl="0" w:tplc="178473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F0B7B"/>
    <w:multiLevelType w:val="hybridMultilevel"/>
    <w:tmpl w:val="36D28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06710"/>
    <w:multiLevelType w:val="hybridMultilevel"/>
    <w:tmpl w:val="A7A616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909F3"/>
    <w:multiLevelType w:val="hybridMultilevel"/>
    <w:tmpl w:val="BE648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0087B"/>
    <w:multiLevelType w:val="hybridMultilevel"/>
    <w:tmpl w:val="9BF6C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5513B"/>
    <w:multiLevelType w:val="hybridMultilevel"/>
    <w:tmpl w:val="0688E9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C1106"/>
    <w:multiLevelType w:val="hybridMultilevel"/>
    <w:tmpl w:val="29529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97E3E"/>
    <w:multiLevelType w:val="hybridMultilevel"/>
    <w:tmpl w:val="6DF48954"/>
    <w:lvl w:ilvl="0" w:tplc="A732A6D2">
      <w:start w:val="3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C53C1"/>
    <w:multiLevelType w:val="hybridMultilevel"/>
    <w:tmpl w:val="9334B808"/>
    <w:lvl w:ilvl="0" w:tplc="A732A6D2">
      <w:start w:val="3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B57A3"/>
    <w:multiLevelType w:val="hybridMultilevel"/>
    <w:tmpl w:val="7F100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B3F66"/>
    <w:multiLevelType w:val="hybridMultilevel"/>
    <w:tmpl w:val="F0CED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82A00"/>
    <w:multiLevelType w:val="hybridMultilevel"/>
    <w:tmpl w:val="D3669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B3146"/>
    <w:multiLevelType w:val="hybridMultilevel"/>
    <w:tmpl w:val="0C9882B4"/>
    <w:lvl w:ilvl="0" w:tplc="178473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15415"/>
    <w:multiLevelType w:val="hybridMultilevel"/>
    <w:tmpl w:val="FDD8E1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5"/>
  </w:num>
  <w:num w:numId="5">
    <w:abstractNumId w:val="3"/>
  </w:num>
  <w:num w:numId="6">
    <w:abstractNumId w:val="10"/>
  </w:num>
  <w:num w:numId="7">
    <w:abstractNumId w:val="9"/>
  </w:num>
  <w:num w:numId="8">
    <w:abstractNumId w:val="11"/>
  </w:num>
  <w:num w:numId="9">
    <w:abstractNumId w:val="1"/>
  </w:num>
  <w:num w:numId="10">
    <w:abstractNumId w:val="8"/>
  </w:num>
  <w:num w:numId="11">
    <w:abstractNumId w:val="4"/>
  </w:num>
  <w:num w:numId="12">
    <w:abstractNumId w:val="5"/>
  </w:num>
  <w:num w:numId="13">
    <w:abstractNumId w:val="16"/>
  </w:num>
  <w:num w:numId="14">
    <w:abstractNumId w:val="6"/>
  </w:num>
  <w:num w:numId="15">
    <w:abstractNumId w:val="13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D6"/>
    <w:rsid w:val="00060293"/>
    <w:rsid w:val="000A39B7"/>
    <w:rsid w:val="000B591B"/>
    <w:rsid w:val="000C528B"/>
    <w:rsid w:val="00176341"/>
    <w:rsid w:val="001D3D58"/>
    <w:rsid w:val="001F5AE4"/>
    <w:rsid w:val="00255A9B"/>
    <w:rsid w:val="002A797C"/>
    <w:rsid w:val="003227BD"/>
    <w:rsid w:val="00324C8C"/>
    <w:rsid w:val="003543D3"/>
    <w:rsid w:val="00365BCC"/>
    <w:rsid w:val="003A36E7"/>
    <w:rsid w:val="003B1886"/>
    <w:rsid w:val="003B4F12"/>
    <w:rsid w:val="003E4A72"/>
    <w:rsid w:val="004628D4"/>
    <w:rsid w:val="00502EC0"/>
    <w:rsid w:val="00640CD6"/>
    <w:rsid w:val="00692615"/>
    <w:rsid w:val="006D4CDF"/>
    <w:rsid w:val="007A6398"/>
    <w:rsid w:val="008041C7"/>
    <w:rsid w:val="00814961"/>
    <w:rsid w:val="00847783"/>
    <w:rsid w:val="008A2E13"/>
    <w:rsid w:val="008F6585"/>
    <w:rsid w:val="00964BC2"/>
    <w:rsid w:val="009B6D30"/>
    <w:rsid w:val="00A25B16"/>
    <w:rsid w:val="00A30396"/>
    <w:rsid w:val="00A87031"/>
    <w:rsid w:val="00AA69A6"/>
    <w:rsid w:val="00AA6E71"/>
    <w:rsid w:val="00B26C82"/>
    <w:rsid w:val="00BF1837"/>
    <w:rsid w:val="00C0371D"/>
    <w:rsid w:val="00C071FD"/>
    <w:rsid w:val="00CA46CB"/>
    <w:rsid w:val="00CE0A19"/>
    <w:rsid w:val="00D75C5C"/>
    <w:rsid w:val="00F52EC7"/>
    <w:rsid w:val="00F63F8E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5C109"/>
  <w15:chartTrackingRefBased/>
  <w15:docId w15:val="{830EA314-B724-4610-922B-932F2A9A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9B7"/>
    <w:rPr>
      <w:rFonts w:ascii="Century Gothic" w:hAnsi="Century Gothic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9B7"/>
    <w:pPr>
      <w:keepNext/>
      <w:keepLines/>
      <w:spacing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371D"/>
    <w:pPr>
      <w:keepNext/>
      <w:keepLines/>
      <w:spacing w:before="120" w:after="120"/>
      <w:outlineLvl w:val="1"/>
    </w:pPr>
    <w:rPr>
      <w:rFonts w:eastAsiaTheme="majorEastAsia" w:cstheme="majorBidi"/>
      <w:b/>
      <w:color w:val="4472C4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9B7"/>
    <w:pPr>
      <w:ind w:left="720"/>
      <w:contextualSpacing/>
    </w:pPr>
  </w:style>
  <w:style w:type="table" w:styleId="TableGrid">
    <w:name w:val="Table Grid"/>
    <w:basedOn w:val="TableNormal"/>
    <w:uiPriority w:val="39"/>
    <w:rsid w:val="00640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76341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341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A39B7"/>
    <w:rPr>
      <w:rFonts w:ascii="Century Gothic" w:eastAsiaTheme="majorEastAsia" w:hAnsi="Century Gothic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371D"/>
    <w:rPr>
      <w:rFonts w:ascii="Century Gothic" w:eastAsiaTheme="majorEastAsia" w:hAnsi="Century Gothic" w:cstheme="majorBidi"/>
      <w:b/>
      <w:color w:val="4472C4" w:themeColor="accent1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324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C8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4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C8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al Doc" ma:contentTypeID="0x010100A3C0AE248FC7AE4A8F6A9800E77547E60100D35BA1A73372ED4A9364D2E17BB3A6B9" ma:contentTypeVersion="13" ma:contentTypeDescription="Cal OES General Document" ma:contentTypeScope="" ma:versionID="82dbf47ab273c9e51534c90f921537d9">
  <xsd:schema xmlns:xsd="http://www.w3.org/2001/XMLSchema" xmlns:xs="http://www.w3.org/2001/XMLSchema" xmlns:p="http://schemas.microsoft.com/office/2006/metadata/properties" xmlns:ns2="0a8bad6b-f581-42d1-a937-dbda95349e24" xmlns:ns3="1ba08a47-4485-4df1-b92e-bb63ba008779" targetNamespace="http://schemas.microsoft.com/office/2006/metadata/properties" ma:root="true" ma:fieldsID="32ef09b76317325211c1621927f17900" ns2:_="" ns3:_="">
    <xsd:import namespace="0a8bad6b-f581-42d1-a937-dbda95349e24"/>
    <xsd:import namespace="1ba08a47-4485-4df1-b92e-bb63ba008779"/>
    <xsd:element name="properties">
      <xsd:complexType>
        <xsd:sequence>
          <xsd:element name="documentManagement">
            <xsd:complexType>
              <xsd:all>
                <xsd:element ref="ns2:oesRollupDescription" minOccurs="0"/>
                <xsd:element ref="ns2:h91dd47120624aa8a205903f7dc28ad4" minOccurs="0"/>
                <xsd:element ref="ns2:TaxCatchAll" minOccurs="0"/>
                <xsd:element ref="ns2:TaxCatchAllLabel" minOccurs="0"/>
                <xsd:element ref="ns2:oesGroupBy"/>
                <xsd:element ref="ns3:oesDisplay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bad6b-f581-42d1-a937-dbda95349e24" elementFormDefault="qualified">
    <xsd:import namespace="http://schemas.microsoft.com/office/2006/documentManagement/types"/>
    <xsd:import namespace="http://schemas.microsoft.com/office/infopath/2007/PartnerControls"/>
    <xsd:element name="oesRollupDescription" ma:index="8" nillable="true" ma:displayName="Rollup Description" ma:description="Use this for a brief description of the item, which will be displayed on the page." ma:internalName="oesRollupDescription" ma:readOnly="false">
      <xsd:simpleType>
        <xsd:restriction base="dms:Note">
          <xsd:maxLength value="255"/>
        </xsd:restriction>
      </xsd:simpleType>
    </xsd:element>
    <xsd:element name="h91dd47120624aa8a205903f7dc28ad4" ma:index="9" ma:taxonomy="true" ma:internalName="h91dd47120624aa8a205903f7dc28ad4" ma:taxonomyFieldName="oesDivision" ma:displayName="Cal OES Division" ma:default="" ma:fieldId="{191dd471-2062-4aa8-a205-903f7dc28ad4}" ma:sspId="ed650271-3da9-459d-b38c-75915af8c2ed" ma:termSetId="35129ea4-2b69-4523-92bc-aa23dc2aa4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eb0fb86-bc12-4cb3-92ad-dd6aef4c6903}" ma:internalName="TaxCatchAll" ma:showField="CatchAllData" ma:web="0a8bad6b-f581-42d1-a937-dbda95349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eeb0fb86-bc12-4cb3-92ad-dd6aef4c6903}" ma:internalName="TaxCatchAllLabel" ma:readOnly="true" ma:showField="CatchAllDataLabel" ma:web="0a8bad6b-f581-42d1-a937-dbda95349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esGroupBy" ma:index="13" ma:displayName="Group By" ma:description="Use this field to group items together based on a common group name." ma:internalName="oesGroupB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08a47-4485-4df1-b92e-bb63ba008779" elementFormDefault="qualified">
    <xsd:import namespace="http://schemas.microsoft.com/office/2006/documentManagement/types"/>
    <xsd:import namespace="http://schemas.microsoft.com/office/infopath/2007/PartnerControls"/>
    <xsd:element name="oesDisplayOn" ma:index="14" nillable="true" ma:displayName="Display On" ma:list="{34f9ac60-0367-4830-ae89-726c94aa64ac}" ma:internalName="oesDisplayOn" ma:showField="Title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esDisplayOn xmlns="1ba08a47-4485-4df1-b92e-bb63ba008779">
      <Value>20</Value>
    </oesDisplayOn>
    <oesRollupDescription xmlns="0a8bad6b-f581-42d1-a937-dbda95349e24" xsi:nil="true"/>
    <oesGroupBy xmlns="0a8bad6b-f581-42d1-a937-dbda95349e24"> FEMA Wildfire Mitigation Funding Opportunities</oesGroupBy>
    <h91dd47120624aa8a205903f7dc28ad4 xmlns="0a8bad6b-f581-42d1-a937-dbda95349e24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Recovery</TermName>
          <TermId xmlns="http://schemas.microsoft.com/office/infopath/2007/PartnerControls">5c2352b6-fb4e-475d-8d45-1bce5e618ade</TermId>
        </TermInfo>
      </Terms>
    </h91dd47120624aa8a205903f7dc28ad4>
    <TaxCatchAll xmlns="0a8bad6b-f581-42d1-a937-dbda95349e24">
      <Value>16</Value>
    </TaxCatchAll>
  </documentManagement>
</p:properties>
</file>

<file path=customXml/itemProps1.xml><?xml version="1.0" encoding="utf-8"?>
<ds:datastoreItem xmlns:ds="http://schemas.openxmlformats.org/officeDocument/2006/customXml" ds:itemID="{F9F753B2-36C4-468C-9779-2907E8A9D3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F25C26-8CDA-4362-85D0-28570061CD76}"/>
</file>

<file path=customXml/itemProps3.xml><?xml version="1.0" encoding="utf-8"?>
<ds:datastoreItem xmlns:ds="http://schemas.openxmlformats.org/officeDocument/2006/customXml" ds:itemID="{9526EB01-3FEC-447E-A670-075CCAB7AB00}"/>
</file>

<file path=customXml/itemProps4.xml><?xml version="1.0" encoding="utf-8"?>
<ds:datastoreItem xmlns:ds="http://schemas.openxmlformats.org/officeDocument/2006/customXml" ds:itemID="{7D3B4279-C848-410C-9E8A-B696ABCA0C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 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 Wildfire Mitigation Funding Opportunity Building Codes Improvements</dc:title>
  <dc:subject/>
  <dc:creator>Hanchett, Bonnie</dc:creator>
  <cp:keywords/>
  <dc:description/>
  <cp:lastModifiedBy>Briggs, David@CalOES</cp:lastModifiedBy>
  <cp:revision>38</cp:revision>
  <dcterms:created xsi:type="dcterms:W3CDTF">2020-11-05T13:55:00Z</dcterms:created>
  <dcterms:modified xsi:type="dcterms:W3CDTF">2020-12-29T17:19:00Z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0x010100A3C0AE248FC7AE4A8F6A9800E77547E60100D35BA1A73372ED4A9364D2E17BB3A6B9</vt:lpwstr>
  </property>
  <property fmtid="{D5CDD505-2E9C-101B-9397-08002B2CF9AE}" pid="3" name="oesDivision">
    <vt:lpwstr>16;#Recovery|5c2352b6-fb4e-475d-8d45-1bce5e618ade</vt:lpwstr>
  </property>
</Properties>
</file>