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F63BE4" w14:textId="0706BF56" w:rsidR="008230E1" w:rsidRPr="008230E1" w:rsidRDefault="008230E1" w:rsidP="008230E1">
      <w:pPr>
        <w:shd w:val="clear" w:color="auto" w:fill="1F3864" w:themeFill="accent1" w:themeFillShade="80"/>
        <w:spacing w:after="0"/>
        <w:jc w:val="center"/>
        <w:rPr>
          <w:rFonts w:ascii="Century Gothic" w:hAnsi="Century Gothic"/>
          <w:b/>
          <w:bCs/>
          <w:sz w:val="32"/>
          <w:szCs w:val="32"/>
        </w:rPr>
      </w:pPr>
      <w:r>
        <w:rPr>
          <w:rFonts w:ascii="Century Gothic" w:hAnsi="Century Gothic"/>
          <w:noProof/>
        </w:rPr>
        <w:drawing>
          <wp:anchor distT="0" distB="0" distL="114300" distR="114300" simplePos="0" relativeHeight="251661312" behindDoc="0" locked="0" layoutInCell="1" allowOverlap="1" wp14:anchorId="7B8A6939" wp14:editId="7BF9725B">
            <wp:simplePos x="0" y="0"/>
            <wp:positionH relativeFrom="column">
              <wp:posOffset>-57150</wp:posOffset>
            </wp:positionH>
            <wp:positionV relativeFrom="paragraph">
              <wp:posOffset>0</wp:posOffset>
            </wp:positionV>
            <wp:extent cx="822960" cy="82296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22960" cy="8229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230E1">
        <w:rPr>
          <w:rFonts w:ascii="Century Gothic" w:hAnsi="Century Gothic"/>
          <w:b/>
          <w:bCs/>
          <w:sz w:val="32"/>
          <w:szCs w:val="32"/>
        </w:rPr>
        <w:t>County Emergency Operations Plan (EOP)</w:t>
      </w:r>
    </w:p>
    <w:p w14:paraId="1EAD9200" w14:textId="3F1AED19" w:rsidR="008230E1" w:rsidRPr="008230E1" w:rsidRDefault="008230E1" w:rsidP="008230E1">
      <w:pPr>
        <w:shd w:val="clear" w:color="auto" w:fill="1F3864" w:themeFill="accent1" w:themeFillShade="80"/>
        <w:spacing w:after="0"/>
        <w:jc w:val="center"/>
        <w:rPr>
          <w:rFonts w:ascii="Century Gothic" w:hAnsi="Century Gothic"/>
          <w:b/>
          <w:bCs/>
          <w:i/>
          <w:iCs/>
          <w:sz w:val="32"/>
          <w:szCs w:val="32"/>
        </w:rPr>
      </w:pPr>
      <w:r w:rsidRPr="008230E1">
        <w:rPr>
          <w:rFonts w:ascii="Century Gothic" w:hAnsi="Century Gothic"/>
          <w:b/>
          <w:bCs/>
          <w:i/>
          <w:iCs/>
          <w:sz w:val="32"/>
          <w:szCs w:val="32"/>
        </w:rPr>
        <w:t>Review Process</w:t>
      </w:r>
    </w:p>
    <w:p w14:paraId="523CEB94" w14:textId="6338A74A" w:rsidR="008230E1" w:rsidRPr="008230E1" w:rsidRDefault="008230E1" w:rsidP="008230E1">
      <w:pPr>
        <w:shd w:val="clear" w:color="auto" w:fill="1F3864" w:themeFill="accent1" w:themeFillShade="80"/>
        <w:spacing w:after="0"/>
        <w:jc w:val="center"/>
        <w:rPr>
          <w:rFonts w:ascii="Century Gothic" w:hAnsi="Century Gothic"/>
          <w:b/>
          <w:bCs/>
          <w:sz w:val="32"/>
          <w:szCs w:val="32"/>
        </w:rPr>
      </w:pPr>
      <w:r w:rsidRPr="008230E1">
        <w:rPr>
          <w:rFonts w:ascii="Century Gothic" w:hAnsi="Century Gothic"/>
          <w:b/>
          <w:bCs/>
          <w:sz w:val="32"/>
          <w:szCs w:val="32"/>
        </w:rPr>
        <w:t>Fact Sheet</w:t>
      </w:r>
    </w:p>
    <w:p w14:paraId="0F95005C" w14:textId="77777777" w:rsidR="008230E1" w:rsidRDefault="008230E1" w:rsidP="002C3982">
      <w:pPr>
        <w:pStyle w:val="Heading1"/>
        <w:spacing w:before="0" w:line="276" w:lineRule="auto"/>
        <w:jc w:val="center"/>
        <w:rPr>
          <w:sz w:val="24"/>
          <w:szCs w:val="24"/>
        </w:rPr>
      </w:pPr>
    </w:p>
    <w:p w14:paraId="21D8814E" w14:textId="4D3F4709" w:rsidR="002C3982" w:rsidRPr="002C3982" w:rsidRDefault="008513C8" w:rsidP="002C3982">
      <w:pPr>
        <w:pStyle w:val="Heading1"/>
        <w:spacing w:before="0" w:line="276" w:lineRule="auto"/>
        <w:jc w:val="center"/>
        <w:rPr>
          <w:sz w:val="24"/>
          <w:szCs w:val="24"/>
        </w:rPr>
      </w:pPr>
      <w:r>
        <w:rPr>
          <w:sz w:val="24"/>
          <w:szCs w:val="24"/>
        </w:rPr>
        <w:t>March</w:t>
      </w:r>
      <w:r w:rsidR="001526FA">
        <w:rPr>
          <w:sz w:val="24"/>
          <w:szCs w:val="24"/>
        </w:rPr>
        <w:t xml:space="preserve"> </w:t>
      </w:r>
      <w:r w:rsidR="0058648C">
        <w:rPr>
          <w:sz w:val="24"/>
          <w:szCs w:val="24"/>
        </w:rPr>
        <w:t>6</w:t>
      </w:r>
      <w:r w:rsidR="001526FA">
        <w:rPr>
          <w:sz w:val="24"/>
          <w:szCs w:val="24"/>
        </w:rPr>
        <w:t>, 202</w:t>
      </w:r>
      <w:r>
        <w:rPr>
          <w:sz w:val="24"/>
          <w:szCs w:val="24"/>
        </w:rPr>
        <w:t>4</w:t>
      </w:r>
    </w:p>
    <w:p w14:paraId="78FE07E9" w14:textId="55687720" w:rsidR="00AB74CD" w:rsidRDefault="00AB74CD" w:rsidP="003C6B24">
      <w:pPr>
        <w:spacing w:before="120" w:line="240" w:lineRule="auto"/>
        <w:rPr>
          <w:rFonts w:ascii="Century Gothic" w:hAnsi="Century Gothic"/>
          <w:szCs w:val="24"/>
        </w:rPr>
      </w:pPr>
      <w:r w:rsidRPr="009F4D71">
        <w:rPr>
          <w:rFonts w:ascii="Century Gothic" w:hAnsi="Century Gothic"/>
          <w:szCs w:val="24"/>
        </w:rPr>
        <w:t>The California Governor’s Office of Emergency Services (Cal OES) reviews County Emergency Operations Plans (EOPs) and offers re</w:t>
      </w:r>
      <w:r w:rsidR="001379F5">
        <w:rPr>
          <w:rFonts w:ascii="Century Gothic" w:hAnsi="Century Gothic"/>
          <w:szCs w:val="24"/>
        </w:rPr>
        <w:t xml:space="preserve">commendations for improvement. </w:t>
      </w:r>
      <w:r w:rsidRPr="009F4D71">
        <w:rPr>
          <w:rFonts w:ascii="Century Gothic" w:hAnsi="Century Gothic"/>
          <w:szCs w:val="24"/>
        </w:rPr>
        <w:t xml:space="preserve">This fact sheet outlines the </w:t>
      </w:r>
      <w:r w:rsidR="00946C84">
        <w:rPr>
          <w:rFonts w:ascii="Century Gothic" w:hAnsi="Century Gothic"/>
          <w:szCs w:val="24"/>
        </w:rPr>
        <w:t>Why, What, Who, When</w:t>
      </w:r>
      <w:r w:rsidR="008758AC" w:rsidRPr="009F4D71">
        <w:rPr>
          <w:rFonts w:ascii="Century Gothic" w:hAnsi="Century Gothic"/>
          <w:szCs w:val="24"/>
        </w:rPr>
        <w:t>, and How</w:t>
      </w:r>
      <w:r w:rsidRPr="009F4D71">
        <w:rPr>
          <w:rFonts w:ascii="Century Gothic" w:hAnsi="Century Gothic"/>
          <w:szCs w:val="24"/>
        </w:rPr>
        <w:t xml:space="preserve"> of the review process for California counties.</w:t>
      </w:r>
      <w:r w:rsidR="001379F5">
        <w:rPr>
          <w:rFonts w:ascii="Century Gothic" w:hAnsi="Century Gothic"/>
          <w:szCs w:val="24"/>
        </w:rPr>
        <w:t xml:space="preserve"> </w:t>
      </w:r>
      <w:r w:rsidR="008758AC" w:rsidRPr="009F4D71">
        <w:rPr>
          <w:rFonts w:ascii="Century Gothic" w:hAnsi="Century Gothic"/>
          <w:szCs w:val="24"/>
        </w:rPr>
        <w:t xml:space="preserve">A summary of what has changed and what has not changed is </w:t>
      </w:r>
      <w:r w:rsidR="00EE7E78">
        <w:rPr>
          <w:rFonts w:ascii="Century Gothic" w:hAnsi="Century Gothic"/>
          <w:szCs w:val="24"/>
        </w:rPr>
        <w:t>highlighted</w:t>
      </w:r>
      <w:r w:rsidR="008758AC" w:rsidRPr="009F4D71">
        <w:rPr>
          <w:rFonts w:ascii="Century Gothic" w:hAnsi="Century Gothic"/>
          <w:szCs w:val="24"/>
        </w:rPr>
        <w:t>.</w:t>
      </w:r>
    </w:p>
    <w:p w14:paraId="1BACC947" w14:textId="77777777" w:rsidR="0058648C" w:rsidRDefault="0058648C" w:rsidP="0058648C">
      <w:pPr>
        <w:spacing w:after="0" w:line="240" w:lineRule="auto"/>
        <w:rPr>
          <w:rFonts w:ascii="Century Gothic" w:hAnsi="Century Gothic"/>
          <w:b/>
          <w:bCs/>
        </w:rPr>
        <w:sectPr w:rsidR="0058648C" w:rsidSect="00AB74CD">
          <w:footerReference w:type="default" r:id="rId9"/>
          <w:type w:val="continuous"/>
          <w:pgSz w:w="12240" w:h="15840"/>
          <w:pgMar w:top="720" w:right="720" w:bottom="720" w:left="720" w:header="576" w:footer="432" w:gutter="0"/>
          <w:cols w:space="720"/>
          <w:docGrid w:linePitch="360"/>
        </w:sectPr>
      </w:pPr>
    </w:p>
    <w:p w14:paraId="10E816B0" w14:textId="77777777" w:rsidR="0058648C" w:rsidRPr="0058648C" w:rsidRDefault="0058648C" w:rsidP="0058648C">
      <w:pPr>
        <w:spacing w:after="0" w:line="240" w:lineRule="auto"/>
        <w:rPr>
          <w:rFonts w:ascii="Century Gothic" w:hAnsi="Century Gothic"/>
          <w:b/>
          <w:bCs/>
        </w:rPr>
      </w:pPr>
      <w:r w:rsidRPr="0058648C">
        <w:rPr>
          <w:rFonts w:ascii="Century Gothic" w:hAnsi="Century Gothic"/>
          <w:b/>
          <w:bCs/>
        </w:rPr>
        <w:t>Why</w:t>
      </w:r>
    </w:p>
    <w:p w14:paraId="32BB1BE8" w14:textId="60235418" w:rsidR="0058648C" w:rsidRPr="0058648C" w:rsidRDefault="0058648C" w:rsidP="0058648C">
      <w:pPr>
        <w:spacing w:line="240" w:lineRule="auto"/>
        <w:rPr>
          <w:rFonts w:ascii="Century Gothic" w:hAnsi="Century Gothic"/>
        </w:rPr>
      </w:pPr>
      <w:r w:rsidRPr="0058648C">
        <w:rPr>
          <w:rFonts w:ascii="Century Gothic" w:hAnsi="Century Gothic"/>
        </w:rPr>
        <w:t xml:space="preserve">Recent legislation amended Government Code 8593.3.2, 8593.9, and 8610 to require that Cal OES review 10 county EOPs each year. The legislation also specifies items to be reviewed, requires that Cal OES provide technical assistance, and establishes a by-request Access and Functional Needs (AFN) Consultation. </w:t>
      </w:r>
    </w:p>
    <w:p w14:paraId="252863CC" w14:textId="77777777" w:rsidR="0058648C" w:rsidRPr="0058648C" w:rsidRDefault="0058648C" w:rsidP="0058648C">
      <w:pPr>
        <w:spacing w:after="0" w:line="240" w:lineRule="auto"/>
        <w:rPr>
          <w:rFonts w:ascii="Century Gothic" w:hAnsi="Century Gothic"/>
          <w:b/>
          <w:bCs/>
        </w:rPr>
      </w:pPr>
      <w:r w:rsidRPr="0058648C">
        <w:rPr>
          <w:rFonts w:ascii="Century Gothic" w:hAnsi="Century Gothic"/>
          <w:b/>
          <w:bCs/>
        </w:rPr>
        <w:t>What</w:t>
      </w:r>
    </w:p>
    <w:p w14:paraId="19893F0F" w14:textId="77777777" w:rsidR="0058648C" w:rsidRPr="0058648C" w:rsidRDefault="0058648C" w:rsidP="0058648C">
      <w:pPr>
        <w:spacing w:line="240" w:lineRule="auto"/>
        <w:rPr>
          <w:rFonts w:ascii="Century Gothic" w:hAnsi="Century Gothic"/>
        </w:rPr>
      </w:pPr>
      <w:r w:rsidRPr="0058648C">
        <w:rPr>
          <w:rFonts w:ascii="Century Gothic" w:hAnsi="Century Gothic"/>
        </w:rPr>
        <w:t>Cal OES is required to review county EOPs. An Operational Area (OA) EOP is considered a county EOP if the OA EOP includes the county. A complete review submission includes all EOP annexes and appendices. Intersecting, stand-alone plans should also be submitted if the crosswalk elements are met by those documents. The EOP is reviewed against an EOP crosswalk (completed by the county). (Other jurisdictions, such as cities, special districts, or tribes, are welcome to use the crosswalk, but a Cal OES review is not required.)</w:t>
      </w:r>
    </w:p>
    <w:p w14:paraId="0D4D830B" w14:textId="77777777" w:rsidR="0058648C" w:rsidRPr="0058648C" w:rsidRDefault="0058648C" w:rsidP="0058648C">
      <w:pPr>
        <w:spacing w:after="0" w:line="240" w:lineRule="auto"/>
        <w:rPr>
          <w:rFonts w:ascii="Century Gothic" w:hAnsi="Century Gothic"/>
          <w:b/>
          <w:bCs/>
        </w:rPr>
      </w:pPr>
      <w:r w:rsidRPr="0058648C">
        <w:rPr>
          <w:rFonts w:ascii="Century Gothic" w:hAnsi="Century Gothic"/>
          <w:b/>
          <w:bCs/>
        </w:rPr>
        <w:t>Who</w:t>
      </w:r>
    </w:p>
    <w:p w14:paraId="71A8F138" w14:textId="77777777" w:rsidR="0058648C" w:rsidRPr="0058648C" w:rsidRDefault="0058648C" w:rsidP="0058648C">
      <w:pPr>
        <w:spacing w:line="240" w:lineRule="auto"/>
        <w:rPr>
          <w:rFonts w:ascii="Century Gothic" w:hAnsi="Century Gothic"/>
        </w:rPr>
      </w:pPr>
      <w:r w:rsidRPr="0058648C">
        <w:rPr>
          <w:rFonts w:ascii="Century Gothic" w:hAnsi="Century Gothic"/>
        </w:rPr>
        <w:t>The Cal OES review will maintain existing relationships and enroll subject matter experts. The Region ESC remains the point of contact for the County and reviews the plan for compliance with Federal Emergency Management Agency Comprehensive Planning Guide (CPG) 101 and the California Standardized Emergency Management System (SEMS). The Community Planning Unit coordinates the reviews. A panel of subject matter experts evaluates specific areas of the plan. AFN Consultations (when requested) will be executed by the Cal OES Office of Access and Functional Needs.</w:t>
      </w:r>
    </w:p>
    <w:p w14:paraId="6309D3C8" w14:textId="77777777" w:rsidR="0058648C" w:rsidRPr="0058648C" w:rsidRDefault="0058648C" w:rsidP="0058648C">
      <w:pPr>
        <w:spacing w:after="0" w:line="240" w:lineRule="auto"/>
        <w:rPr>
          <w:rFonts w:ascii="Century Gothic" w:hAnsi="Century Gothic"/>
          <w:b/>
          <w:bCs/>
        </w:rPr>
      </w:pPr>
      <w:r w:rsidRPr="0058648C">
        <w:rPr>
          <w:rFonts w:ascii="Century Gothic" w:hAnsi="Century Gothic"/>
          <w:b/>
          <w:bCs/>
        </w:rPr>
        <w:t>When</w:t>
      </w:r>
    </w:p>
    <w:p w14:paraId="25716A96" w14:textId="5E500738" w:rsidR="0058648C" w:rsidRDefault="0058648C" w:rsidP="0058648C">
      <w:pPr>
        <w:spacing w:line="240" w:lineRule="auto"/>
        <w:rPr>
          <w:rFonts w:ascii="Century Gothic" w:hAnsi="Century Gothic"/>
        </w:rPr>
      </w:pPr>
      <w:r w:rsidRPr="0058648C">
        <w:rPr>
          <w:rFonts w:ascii="Century Gothic" w:hAnsi="Century Gothic"/>
        </w:rPr>
        <w:t>Cal OES will select 10 existing plans each year for review. Counties will be notified in advance. Additionally, Cal OES will review plan updates. Plan updates should be submitted to</w:t>
      </w:r>
      <w:r>
        <w:rPr>
          <w:rFonts w:ascii="Century Gothic" w:hAnsi="Century Gothic"/>
        </w:rPr>
        <w:t xml:space="preserve"> </w:t>
      </w:r>
      <w:r w:rsidRPr="0058648C">
        <w:rPr>
          <w:rFonts w:ascii="Century Gothic" w:hAnsi="Century Gothic"/>
        </w:rPr>
        <w:t>Cal OES 90 days prior to approval/adoption to allow time for the review and incorporation of recommendations.</w:t>
      </w:r>
    </w:p>
    <w:p w14:paraId="6BF56F0A" w14:textId="77777777" w:rsidR="003C6B24" w:rsidRDefault="003C6B24" w:rsidP="0058648C">
      <w:pPr>
        <w:spacing w:line="240" w:lineRule="auto"/>
        <w:rPr>
          <w:rFonts w:ascii="Century Gothic" w:hAnsi="Century Gothic"/>
        </w:rPr>
      </w:pPr>
    </w:p>
    <w:p w14:paraId="6D25B127" w14:textId="77777777" w:rsidR="003C6B24" w:rsidRPr="003C6B24" w:rsidRDefault="003C6B24" w:rsidP="003C6B24">
      <w:pPr>
        <w:pBdr>
          <w:top w:val="single" w:sz="4" w:space="1" w:color="auto"/>
          <w:left w:val="single" w:sz="4" w:space="4" w:color="auto"/>
          <w:bottom w:val="single" w:sz="4" w:space="1" w:color="auto"/>
          <w:right w:val="single" w:sz="4" w:space="4" w:color="auto"/>
        </w:pBdr>
        <w:shd w:val="clear" w:color="auto" w:fill="DEEAF6" w:themeFill="accent5" w:themeFillTint="33"/>
        <w:spacing w:after="0"/>
        <w:jc w:val="center"/>
        <w:rPr>
          <w:rFonts w:ascii="Century Gothic" w:hAnsi="Century Gothic"/>
          <w:b/>
          <w:sz w:val="2"/>
          <w:szCs w:val="2"/>
        </w:rPr>
      </w:pPr>
    </w:p>
    <w:p w14:paraId="6B35ABA1" w14:textId="6F9974E0" w:rsidR="0058648C" w:rsidRPr="009F4D71" w:rsidRDefault="0058648C" w:rsidP="003C6B24">
      <w:pPr>
        <w:pBdr>
          <w:top w:val="single" w:sz="4" w:space="1" w:color="auto"/>
          <w:left w:val="single" w:sz="4" w:space="4" w:color="auto"/>
          <w:bottom w:val="single" w:sz="4" w:space="1" w:color="auto"/>
          <w:right w:val="single" w:sz="4" w:space="4" w:color="auto"/>
        </w:pBdr>
        <w:shd w:val="clear" w:color="auto" w:fill="DEEAF6" w:themeFill="accent5" w:themeFillTint="33"/>
        <w:spacing w:before="240" w:line="240" w:lineRule="auto"/>
        <w:jc w:val="center"/>
        <w:rPr>
          <w:rFonts w:ascii="Century Gothic" w:hAnsi="Century Gothic"/>
          <w:b/>
        </w:rPr>
      </w:pPr>
      <w:r w:rsidRPr="009F4D71">
        <w:rPr>
          <w:rFonts w:ascii="Century Gothic" w:hAnsi="Century Gothic"/>
          <w:b/>
        </w:rPr>
        <w:t>Changes</w:t>
      </w:r>
    </w:p>
    <w:p w14:paraId="5A536BCE" w14:textId="77777777" w:rsidR="0058648C" w:rsidRPr="009F4D71" w:rsidRDefault="0058648C" w:rsidP="003C6B24">
      <w:pPr>
        <w:pStyle w:val="ListParagraph"/>
        <w:numPr>
          <w:ilvl w:val="0"/>
          <w:numId w:val="12"/>
        </w:numPr>
        <w:pBdr>
          <w:top w:val="single" w:sz="4" w:space="1" w:color="auto"/>
          <w:left w:val="single" w:sz="4" w:space="4" w:color="auto"/>
          <w:bottom w:val="single" w:sz="4" w:space="1" w:color="auto"/>
          <w:right w:val="single" w:sz="4" w:space="4" w:color="auto"/>
        </w:pBdr>
        <w:shd w:val="clear" w:color="auto" w:fill="DEEAF6" w:themeFill="accent5" w:themeFillTint="33"/>
        <w:spacing w:line="240" w:lineRule="auto"/>
        <w:ind w:left="450" w:hanging="450"/>
        <w:rPr>
          <w:rFonts w:ascii="Century Gothic" w:hAnsi="Century Gothic"/>
        </w:rPr>
      </w:pPr>
      <w:r w:rsidRPr="009F4D71">
        <w:rPr>
          <w:rFonts w:ascii="Century Gothic" w:hAnsi="Century Gothic"/>
        </w:rPr>
        <w:t>There are new content</w:t>
      </w:r>
      <w:r>
        <w:rPr>
          <w:rFonts w:ascii="Century Gothic" w:hAnsi="Century Gothic"/>
        </w:rPr>
        <w:t xml:space="preserve"> and </w:t>
      </w:r>
      <w:r w:rsidRPr="009F4D71">
        <w:rPr>
          <w:rFonts w:ascii="Century Gothic" w:hAnsi="Century Gothic"/>
        </w:rPr>
        <w:t>planning requirements for EOPs.</w:t>
      </w:r>
    </w:p>
    <w:p w14:paraId="4D5B9FB1" w14:textId="77777777" w:rsidR="0058648C" w:rsidRPr="009F4D71" w:rsidRDefault="0058648C" w:rsidP="003C6B24">
      <w:pPr>
        <w:pStyle w:val="ListParagraph"/>
        <w:numPr>
          <w:ilvl w:val="0"/>
          <w:numId w:val="12"/>
        </w:numPr>
        <w:pBdr>
          <w:top w:val="single" w:sz="4" w:space="1" w:color="auto"/>
          <w:left w:val="single" w:sz="4" w:space="4" w:color="auto"/>
          <w:bottom w:val="single" w:sz="4" w:space="1" w:color="auto"/>
          <w:right w:val="single" w:sz="4" w:space="4" w:color="auto"/>
        </w:pBdr>
        <w:shd w:val="clear" w:color="auto" w:fill="DEEAF6" w:themeFill="accent5" w:themeFillTint="33"/>
        <w:spacing w:line="240" w:lineRule="auto"/>
        <w:ind w:left="450" w:hanging="450"/>
        <w:rPr>
          <w:rFonts w:ascii="Century Gothic" w:hAnsi="Century Gothic"/>
        </w:rPr>
      </w:pPr>
      <w:r w:rsidRPr="009F4D71">
        <w:rPr>
          <w:rFonts w:ascii="Century Gothic" w:hAnsi="Century Gothic"/>
        </w:rPr>
        <w:t>The EOP Crosswalk has been expanded to include additional items.</w:t>
      </w:r>
    </w:p>
    <w:p w14:paraId="4F0A2BAE" w14:textId="77777777" w:rsidR="0058648C" w:rsidRPr="009F4D71" w:rsidRDefault="0058648C" w:rsidP="003C6B24">
      <w:pPr>
        <w:pStyle w:val="ListParagraph"/>
        <w:numPr>
          <w:ilvl w:val="0"/>
          <w:numId w:val="12"/>
        </w:numPr>
        <w:pBdr>
          <w:top w:val="single" w:sz="4" w:space="1" w:color="auto"/>
          <w:left w:val="single" w:sz="4" w:space="4" w:color="auto"/>
          <w:bottom w:val="single" w:sz="4" w:space="1" w:color="auto"/>
          <w:right w:val="single" w:sz="4" w:space="4" w:color="auto"/>
        </w:pBdr>
        <w:shd w:val="clear" w:color="auto" w:fill="DEEAF6" w:themeFill="accent5" w:themeFillTint="33"/>
        <w:spacing w:line="240" w:lineRule="auto"/>
        <w:ind w:left="450" w:hanging="450"/>
        <w:rPr>
          <w:rFonts w:ascii="Century Gothic" w:hAnsi="Century Gothic"/>
        </w:rPr>
      </w:pPr>
      <w:r w:rsidRPr="009F4D71">
        <w:rPr>
          <w:rFonts w:ascii="Century Gothic" w:hAnsi="Century Gothic"/>
        </w:rPr>
        <w:t xml:space="preserve">Counties are required to submit current plans </w:t>
      </w:r>
      <w:r w:rsidRPr="006B5393">
        <w:rPr>
          <w:rFonts w:ascii="Century Gothic" w:hAnsi="Century Gothic"/>
        </w:rPr>
        <w:t xml:space="preserve">and </w:t>
      </w:r>
      <w:r w:rsidRPr="009F4D71">
        <w:rPr>
          <w:rFonts w:ascii="Century Gothic" w:hAnsi="Century Gothic"/>
        </w:rPr>
        <w:t>updated plans to Cal OES.</w:t>
      </w:r>
    </w:p>
    <w:p w14:paraId="543A9F02" w14:textId="77777777" w:rsidR="0058648C" w:rsidRDefault="0058648C" w:rsidP="003C6B24">
      <w:pPr>
        <w:pStyle w:val="ListParagraph"/>
        <w:numPr>
          <w:ilvl w:val="0"/>
          <w:numId w:val="12"/>
        </w:numPr>
        <w:pBdr>
          <w:top w:val="single" w:sz="4" w:space="1" w:color="auto"/>
          <w:left w:val="single" w:sz="4" w:space="4" w:color="auto"/>
          <w:bottom w:val="single" w:sz="4" w:space="1" w:color="auto"/>
          <w:right w:val="single" w:sz="4" w:space="4" w:color="auto"/>
        </w:pBdr>
        <w:shd w:val="clear" w:color="auto" w:fill="DEEAF6" w:themeFill="accent5" w:themeFillTint="33"/>
        <w:spacing w:line="240" w:lineRule="auto"/>
        <w:ind w:left="450" w:hanging="450"/>
        <w:rPr>
          <w:rFonts w:ascii="Century Gothic" w:hAnsi="Century Gothic"/>
        </w:rPr>
      </w:pPr>
      <w:r w:rsidRPr="009F4D71">
        <w:rPr>
          <w:rFonts w:ascii="Century Gothic" w:hAnsi="Century Gothic"/>
        </w:rPr>
        <w:t>Cal OES is required to review 10+ plans/year.</w:t>
      </w:r>
    </w:p>
    <w:p w14:paraId="67F2DFAC" w14:textId="77777777" w:rsidR="0058648C" w:rsidRPr="009F4D71" w:rsidRDefault="0058648C" w:rsidP="003C6B24">
      <w:pPr>
        <w:pStyle w:val="ListParagraph"/>
        <w:numPr>
          <w:ilvl w:val="0"/>
          <w:numId w:val="12"/>
        </w:numPr>
        <w:pBdr>
          <w:top w:val="single" w:sz="4" w:space="1" w:color="auto"/>
          <w:left w:val="single" w:sz="4" w:space="4" w:color="auto"/>
          <w:bottom w:val="single" w:sz="4" w:space="1" w:color="auto"/>
          <w:right w:val="single" w:sz="4" w:space="4" w:color="auto"/>
        </w:pBdr>
        <w:shd w:val="clear" w:color="auto" w:fill="DEEAF6" w:themeFill="accent5" w:themeFillTint="33"/>
        <w:spacing w:line="240" w:lineRule="auto"/>
        <w:ind w:left="450" w:hanging="450"/>
        <w:rPr>
          <w:rFonts w:ascii="Century Gothic" w:hAnsi="Century Gothic"/>
        </w:rPr>
      </w:pPr>
      <w:r w:rsidRPr="009F4D71">
        <w:rPr>
          <w:rFonts w:ascii="Century Gothic" w:hAnsi="Century Gothic"/>
        </w:rPr>
        <w:t>Cal OES reviews existing plans (as well as updated plans).</w:t>
      </w:r>
    </w:p>
    <w:p w14:paraId="6B7BC26B" w14:textId="77777777" w:rsidR="0058648C" w:rsidRPr="00EE7E78" w:rsidRDefault="0058648C" w:rsidP="003C6B24">
      <w:pPr>
        <w:pStyle w:val="ListParagraph"/>
        <w:numPr>
          <w:ilvl w:val="0"/>
          <w:numId w:val="12"/>
        </w:numPr>
        <w:pBdr>
          <w:top w:val="single" w:sz="4" w:space="1" w:color="auto"/>
          <w:left w:val="single" w:sz="4" w:space="4" w:color="auto"/>
          <w:bottom w:val="single" w:sz="4" w:space="1" w:color="auto"/>
          <w:right w:val="single" w:sz="4" w:space="4" w:color="auto"/>
        </w:pBdr>
        <w:shd w:val="clear" w:color="auto" w:fill="DEEAF6" w:themeFill="accent5" w:themeFillTint="33"/>
        <w:spacing w:line="240" w:lineRule="auto"/>
        <w:ind w:left="450" w:hanging="450"/>
        <w:rPr>
          <w:rFonts w:ascii="Century Gothic" w:hAnsi="Century Gothic"/>
        </w:rPr>
      </w:pPr>
      <w:r w:rsidRPr="00EE7E78">
        <w:rPr>
          <w:rFonts w:ascii="Century Gothic" w:hAnsi="Century Gothic"/>
        </w:rPr>
        <w:t xml:space="preserve">Plan reviews enroll Subject Matter Experts (in addition to the Region ESC). </w:t>
      </w:r>
    </w:p>
    <w:p w14:paraId="05DE6328" w14:textId="77777777" w:rsidR="0058648C" w:rsidRPr="009F4D71" w:rsidRDefault="0058648C" w:rsidP="003C6B24">
      <w:pPr>
        <w:pStyle w:val="ListParagraph"/>
        <w:numPr>
          <w:ilvl w:val="0"/>
          <w:numId w:val="12"/>
        </w:numPr>
        <w:pBdr>
          <w:top w:val="single" w:sz="4" w:space="1" w:color="auto"/>
          <w:left w:val="single" w:sz="4" w:space="4" w:color="auto"/>
          <w:bottom w:val="single" w:sz="4" w:space="1" w:color="auto"/>
          <w:right w:val="single" w:sz="4" w:space="4" w:color="auto"/>
        </w:pBdr>
        <w:shd w:val="clear" w:color="auto" w:fill="DEEAF6" w:themeFill="accent5" w:themeFillTint="33"/>
        <w:spacing w:line="240" w:lineRule="auto"/>
        <w:ind w:left="450" w:hanging="450"/>
        <w:rPr>
          <w:rFonts w:ascii="Century Gothic" w:hAnsi="Century Gothic"/>
        </w:rPr>
      </w:pPr>
      <w:r w:rsidRPr="009F4D71">
        <w:rPr>
          <w:rFonts w:ascii="Century Gothic" w:hAnsi="Century Gothic"/>
        </w:rPr>
        <w:t>Cal OES offers an optional AFN Consultation</w:t>
      </w:r>
      <w:r>
        <w:rPr>
          <w:rFonts w:ascii="Century Gothic" w:hAnsi="Century Gothic"/>
        </w:rPr>
        <w:t xml:space="preserve"> and/or Cultural Competence Consultation</w:t>
      </w:r>
      <w:r w:rsidRPr="009F4D71">
        <w:rPr>
          <w:rFonts w:ascii="Century Gothic" w:hAnsi="Century Gothic"/>
        </w:rPr>
        <w:t>.</w:t>
      </w:r>
    </w:p>
    <w:p w14:paraId="6152283D" w14:textId="22885DFB" w:rsidR="0058648C" w:rsidRPr="009F4D71" w:rsidRDefault="0058648C" w:rsidP="003C6B24">
      <w:pPr>
        <w:pBdr>
          <w:top w:val="single" w:sz="4" w:space="1" w:color="auto"/>
          <w:left w:val="single" w:sz="4" w:space="4" w:color="auto"/>
          <w:bottom w:val="single" w:sz="4" w:space="1" w:color="auto"/>
          <w:right w:val="single" w:sz="4" w:space="4" w:color="auto"/>
        </w:pBdr>
        <w:shd w:val="clear" w:color="auto" w:fill="DEEAF6" w:themeFill="accent5" w:themeFillTint="33"/>
        <w:spacing w:before="480" w:line="240" w:lineRule="auto"/>
        <w:jc w:val="center"/>
        <w:rPr>
          <w:rFonts w:ascii="Century Gothic" w:hAnsi="Century Gothic"/>
          <w:b/>
        </w:rPr>
      </w:pPr>
      <w:r w:rsidRPr="009F4D71">
        <w:rPr>
          <w:rFonts w:ascii="Century Gothic" w:hAnsi="Century Gothic"/>
          <w:b/>
        </w:rPr>
        <w:t>No Change</w:t>
      </w:r>
      <w:r>
        <w:rPr>
          <w:rFonts w:ascii="Century Gothic" w:hAnsi="Century Gothic"/>
          <w:b/>
        </w:rPr>
        <w:t>s</w:t>
      </w:r>
    </w:p>
    <w:p w14:paraId="213FE339" w14:textId="77777777" w:rsidR="0058648C" w:rsidRPr="009F4D71" w:rsidRDefault="0058648C" w:rsidP="003C6B24">
      <w:pPr>
        <w:pStyle w:val="ListParagraph"/>
        <w:numPr>
          <w:ilvl w:val="0"/>
          <w:numId w:val="12"/>
        </w:numPr>
        <w:pBdr>
          <w:top w:val="single" w:sz="4" w:space="1" w:color="auto"/>
          <w:left w:val="single" w:sz="4" w:space="4" w:color="auto"/>
          <w:bottom w:val="single" w:sz="4" w:space="1" w:color="auto"/>
          <w:right w:val="single" w:sz="4" w:space="4" w:color="auto"/>
        </w:pBdr>
        <w:shd w:val="clear" w:color="auto" w:fill="DEEAF6" w:themeFill="accent5" w:themeFillTint="33"/>
        <w:spacing w:line="240" w:lineRule="auto"/>
        <w:ind w:left="450" w:hanging="450"/>
        <w:rPr>
          <w:rFonts w:ascii="Century Gothic" w:hAnsi="Century Gothic"/>
        </w:rPr>
      </w:pPr>
      <w:r w:rsidRPr="009F4D71">
        <w:rPr>
          <w:rFonts w:ascii="Century Gothic" w:hAnsi="Century Gothic"/>
        </w:rPr>
        <w:t>The Region ESC remains the County’s primary point of contact</w:t>
      </w:r>
      <w:r>
        <w:rPr>
          <w:rFonts w:ascii="Century Gothic" w:hAnsi="Century Gothic"/>
        </w:rPr>
        <w:t>.</w:t>
      </w:r>
    </w:p>
    <w:p w14:paraId="2AFCC2D2" w14:textId="77777777" w:rsidR="0058648C" w:rsidRDefault="0058648C" w:rsidP="003C6B24">
      <w:pPr>
        <w:pStyle w:val="ListParagraph"/>
        <w:numPr>
          <w:ilvl w:val="0"/>
          <w:numId w:val="12"/>
        </w:numPr>
        <w:pBdr>
          <w:top w:val="single" w:sz="4" w:space="1" w:color="auto"/>
          <w:left w:val="single" w:sz="4" w:space="4" w:color="auto"/>
          <w:bottom w:val="single" w:sz="4" w:space="1" w:color="auto"/>
          <w:right w:val="single" w:sz="4" w:space="4" w:color="auto"/>
        </w:pBdr>
        <w:shd w:val="clear" w:color="auto" w:fill="DEEAF6" w:themeFill="accent5" w:themeFillTint="33"/>
        <w:ind w:left="450" w:hanging="450"/>
        <w:rPr>
          <w:rFonts w:ascii="Century Gothic" w:hAnsi="Century Gothic"/>
        </w:rPr>
      </w:pPr>
      <w:r w:rsidRPr="009F4D71">
        <w:rPr>
          <w:rFonts w:ascii="Century Gothic" w:hAnsi="Century Gothic"/>
        </w:rPr>
        <w:t>EOPs will still be reviewed for SEMS and CPG 101 compliance.</w:t>
      </w:r>
    </w:p>
    <w:p w14:paraId="4EB0EE33" w14:textId="77777777" w:rsidR="003C6B24" w:rsidRPr="003C6B24" w:rsidRDefault="003C6B24" w:rsidP="003C6B24">
      <w:pPr>
        <w:pBdr>
          <w:top w:val="single" w:sz="4" w:space="1" w:color="auto"/>
          <w:left w:val="single" w:sz="4" w:space="4" w:color="auto"/>
          <w:bottom w:val="single" w:sz="4" w:space="1" w:color="auto"/>
          <w:right w:val="single" w:sz="4" w:space="4" w:color="auto"/>
        </w:pBdr>
        <w:shd w:val="clear" w:color="auto" w:fill="DEEAF6" w:themeFill="accent5" w:themeFillTint="33"/>
        <w:spacing w:line="240" w:lineRule="auto"/>
        <w:rPr>
          <w:rFonts w:ascii="Century Gothic" w:hAnsi="Century Gothic"/>
        </w:rPr>
      </w:pPr>
    </w:p>
    <w:p w14:paraId="2D6B78CF" w14:textId="77777777" w:rsidR="0058648C" w:rsidRPr="0058648C" w:rsidRDefault="0058648C" w:rsidP="0058648C">
      <w:pPr>
        <w:spacing w:line="240" w:lineRule="auto"/>
        <w:rPr>
          <w:rFonts w:ascii="Century Gothic" w:hAnsi="Century Gothic"/>
        </w:rPr>
      </w:pPr>
    </w:p>
    <w:p w14:paraId="6E71E5C3" w14:textId="77777777" w:rsidR="0058648C" w:rsidRDefault="0058648C" w:rsidP="0058648C">
      <w:pPr>
        <w:rPr>
          <w:rFonts w:ascii="Century Gothic" w:hAnsi="Century Gothic"/>
        </w:rPr>
      </w:pPr>
    </w:p>
    <w:p w14:paraId="4EB26AE1" w14:textId="77777777" w:rsidR="0058648C" w:rsidRDefault="0058648C" w:rsidP="0058648C">
      <w:pPr>
        <w:rPr>
          <w:rFonts w:ascii="Century Gothic" w:hAnsi="Century Gothic"/>
        </w:rPr>
        <w:sectPr w:rsidR="0058648C" w:rsidSect="0058648C">
          <w:type w:val="continuous"/>
          <w:pgSz w:w="12240" w:h="15840"/>
          <w:pgMar w:top="720" w:right="720" w:bottom="720" w:left="720" w:header="576" w:footer="432" w:gutter="0"/>
          <w:cols w:num="2" w:space="432" w:equalWidth="0">
            <w:col w:w="6624" w:space="432"/>
            <w:col w:w="3744"/>
          </w:cols>
          <w:docGrid w:linePitch="360"/>
        </w:sectPr>
      </w:pPr>
    </w:p>
    <w:p w14:paraId="0C9D1613" w14:textId="6573C5A0" w:rsidR="00F57C88" w:rsidRPr="009F4D71" w:rsidRDefault="00754470" w:rsidP="0058648C">
      <w:pPr>
        <w:rPr>
          <w:rFonts w:ascii="Century Gothic" w:hAnsi="Century Gothic"/>
          <w:b/>
          <w:bCs/>
        </w:rPr>
      </w:pPr>
      <w:r w:rsidRPr="009F4D71">
        <w:rPr>
          <w:rFonts w:ascii="Century Gothic" w:hAnsi="Century Gothic"/>
          <w:b/>
          <w:bCs/>
        </w:rPr>
        <w:br w:type="page"/>
      </w:r>
      <w:r w:rsidR="00A73C44" w:rsidRPr="009F4D71">
        <w:rPr>
          <w:rFonts w:ascii="Century Gothic" w:hAnsi="Century Gothic"/>
          <w:noProof/>
        </w:rPr>
        <w:lastRenderedPageBreak/>
        <w:drawing>
          <wp:anchor distT="0" distB="0" distL="114300" distR="114300" simplePos="0" relativeHeight="251660288" behindDoc="0" locked="0" layoutInCell="1" allowOverlap="1" wp14:anchorId="26921010" wp14:editId="17320FDD">
            <wp:simplePos x="0" y="0"/>
            <wp:positionH relativeFrom="margin">
              <wp:align>right</wp:align>
            </wp:positionH>
            <wp:positionV relativeFrom="paragraph">
              <wp:posOffset>19098</wp:posOffset>
            </wp:positionV>
            <wp:extent cx="3761105" cy="5641340"/>
            <wp:effectExtent l="19050" t="19050" r="10795" b="16510"/>
            <wp:wrapSquare wrapText="bothSides"/>
            <wp:docPr id="1" name="Picture 1" descr="Image of flowchart showing the steps of the EOP Review Process in diagram form.">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mage of flowchart showing the steps of the EOP Review Process in diagram form.">
                      <a:extLst>
                        <a:ext uri="{C183D7F6-B498-43B3-948B-1728B52AA6E4}">
                          <adec:decorative xmlns:adec="http://schemas.microsoft.com/office/drawing/2017/decorative" val="0"/>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761105" cy="5641340"/>
                    </a:xfrm>
                    <a:prstGeom prst="rect">
                      <a:avLst/>
                    </a:prstGeom>
                    <a:ln>
                      <a:solidFill>
                        <a:schemeClr val="accent1"/>
                      </a:solidFill>
                    </a:ln>
                  </pic:spPr>
                </pic:pic>
              </a:graphicData>
            </a:graphic>
            <wp14:sizeRelH relativeFrom="page">
              <wp14:pctWidth>0</wp14:pctWidth>
            </wp14:sizeRelH>
            <wp14:sizeRelV relativeFrom="page">
              <wp14:pctHeight>0</wp14:pctHeight>
            </wp14:sizeRelV>
          </wp:anchor>
        </w:drawing>
      </w:r>
      <w:r w:rsidR="002C3982" w:rsidRPr="009F4D71">
        <w:rPr>
          <w:rFonts w:ascii="Century Gothic" w:hAnsi="Century Gothic"/>
          <w:b/>
          <w:bCs/>
        </w:rPr>
        <w:t>How</w:t>
      </w:r>
      <w:r w:rsidR="009F4D71">
        <w:rPr>
          <w:rFonts w:ascii="Century Gothic" w:hAnsi="Century Gothic"/>
          <w:b/>
          <w:bCs/>
        </w:rPr>
        <w:br/>
      </w:r>
      <w:r w:rsidR="00F57C88" w:rsidRPr="009F4D71">
        <w:rPr>
          <w:rFonts w:ascii="Century Gothic" w:hAnsi="Century Gothic"/>
        </w:rPr>
        <w:t>Counties should expect to follow this process for EOP reviews:</w:t>
      </w:r>
    </w:p>
    <w:p w14:paraId="1DF166DA" w14:textId="77777777" w:rsidR="00AB74CD" w:rsidRPr="009F4D71" w:rsidRDefault="00AB74CD" w:rsidP="00AB74CD">
      <w:pPr>
        <w:pStyle w:val="BodyText"/>
        <w:numPr>
          <w:ilvl w:val="0"/>
          <w:numId w:val="11"/>
        </w:numPr>
        <w:spacing w:after="120" w:line="276" w:lineRule="auto"/>
        <w:rPr>
          <w:b/>
          <w:sz w:val="22"/>
          <w:szCs w:val="22"/>
        </w:rPr>
      </w:pPr>
      <w:r w:rsidRPr="009F4D71">
        <w:rPr>
          <w:b/>
          <w:sz w:val="22"/>
          <w:szCs w:val="22"/>
        </w:rPr>
        <w:t>Submission prompted.</w:t>
      </w:r>
    </w:p>
    <w:p w14:paraId="51037BE2" w14:textId="77777777" w:rsidR="00AB74CD" w:rsidRPr="009F4D71" w:rsidRDefault="00AB74CD" w:rsidP="00E60E0E">
      <w:pPr>
        <w:pStyle w:val="BodyText"/>
        <w:numPr>
          <w:ilvl w:val="1"/>
          <w:numId w:val="11"/>
        </w:numPr>
        <w:spacing w:after="120" w:line="276" w:lineRule="auto"/>
        <w:rPr>
          <w:sz w:val="22"/>
          <w:szCs w:val="22"/>
        </w:rPr>
      </w:pPr>
      <w:r w:rsidRPr="009F4D71">
        <w:rPr>
          <w:sz w:val="22"/>
          <w:szCs w:val="22"/>
          <w:u w:val="single"/>
        </w:rPr>
        <w:t>Updated plans</w:t>
      </w:r>
      <w:r w:rsidRPr="009F4D71">
        <w:rPr>
          <w:sz w:val="22"/>
          <w:szCs w:val="22"/>
        </w:rPr>
        <w:t xml:space="preserve"> should be submitted to Cal OES for review 90 days prior to desired adoption and approval.</w:t>
      </w:r>
    </w:p>
    <w:p w14:paraId="0DB470E9" w14:textId="04D9A2DD" w:rsidR="00AB74CD" w:rsidRPr="009F4D71" w:rsidRDefault="00AB74CD" w:rsidP="00E60E0E">
      <w:pPr>
        <w:pStyle w:val="BodyText"/>
        <w:numPr>
          <w:ilvl w:val="1"/>
          <w:numId w:val="11"/>
        </w:numPr>
        <w:spacing w:after="120" w:line="276" w:lineRule="auto"/>
        <w:rPr>
          <w:sz w:val="22"/>
          <w:szCs w:val="22"/>
        </w:rPr>
      </w:pPr>
      <w:r w:rsidRPr="009F4D71">
        <w:rPr>
          <w:sz w:val="22"/>
          <w:szCs w:val="22"/>
          <w:u w:val="single"/>
        </w:rPr>
        <w:t>Existing plans</w:t>
      </w:r>
      <w:r w:rsidRPr="009F4D71">
        <w:rPr>
          <w:sz w:val="22"/>
          <w:szCs w:val="22"/>
        </w:rPr>
        <w:t xml:space="preserve"> should be submitted to Ca</w:t>
      </w:r>
      <w:r w:rsidR="001379F5">
        <w:rPr>
          <w:sz w:val="22"/>
          <w:szCs w:val="22"/>
        </w:rPr>
        <w:t>l OES for review upon request.</w:t>
      </w:r>
      <w:r w:rsidR="002A7A6D">
        <w:rPr>
          <w:sz w:val="22"/>
          <w:szCs w:val="22"/>
        </w:rPr>
        <w:br/>
      </w:r>
      <w:r w:rsidRPr="009F4D71">
        <w:rPr>
          <w:sz w:val="22"/>
          <w:szCs w:val="22"/>
        </w:rPr>
        <w:t>Cal OES will determine a yearly EOP review schedule and communicate that schedule to the affected counties.</w:t>
      </w:r>
    </w:p>
    <w:p w14:paraId="5E5C4C05" w14:textId="3705DE5D" w:rsidR="00AB74CD" w:rsidRPr="009F4D71" w:rsidRDefault="00AB74CD" w:rsidP="00AB74CD">
      <w:pPr>
        <w:pStyle w:val="BodyText"/>
        <w:numPr>
          <w:ilvl w:val="0"/>
          <w:numId w:val="11"/>
        </w:numPr>
        <w:spacing w:after="120" w:line="276" w:lineRule="auto"/>
        <w:rPr>
          <w:sz w:val="22"/>
          <w:szCs w:val="22"/>
        </w:rPr>
      </w:pPr>
      <w:r w:rsidRPr="009F4D71">
        <w:rPr>
          <w:b/>
          <w:sz w:val="22"/>
          <w:szCs w:val="22"/>
        </w:rPr>
        <w:t xml:space="preserve">Crosswalk completed.  </w:t>
      </w:r>
      <w:r w:rsidRPr="009F4D71">
        <w:rPr>
          <w:sz w:val="22"/>
          <w:szCs w:val="22"/>
        </w:rPr>
        <w:t>Counties will complete the EOP Crosswalk to demonstrate how each element is met by the plan, intersecting plans, or the planning process. Counties will indicate their desire for an AFN Consultation on the crosswalk.</w:t>
      </w:r>
    </w:p>
    <w:p w14:paraId="15DD508F" w14:textId="227A1C10" w:rsidR="00AB74CD" w:rsidRPr="009F4D71" w:rsidRDefault="001379F5" w:rsidP="00AB74CD">
      <w:pPr>
        <w:pStyle w:val="BodyText"/>
        <w:numPr>
          <w:ilvl w:val="0"/>
          <w:numId w:val="11"/>
        </w:numPr>
        <w:spacing w:after="120" w:line="276" w:lineRule="auto"/>
        <w:rPr>
          <w:b/>
          <w:sz w:val="22"/>
          <w:szCs w:val="22"/>
        </w:rPr>
      </w:pPr>
      <w:r>
        <w:rPr>
          <w:b/>
          <w:sz w:val="22"/>
          <w:szCs w:val="22"/>
        </w:rPr>
        <w:t>Plan submitted.</w:t>
      </w:r>
      <w:r w:rsidR="00AB74CD" w:rsidRPr="009F4D71">
        <w:rPr>
          <w:b/>
          <w:sz w:val="22"/>
          <w:szCs w:val="22"/>
        </w:rPr>
        <w:t xml:space="preserve"> </w:t>
      </w:r>
      <w:r w:rsidR="00AB74CD" w:rsidRPr="009F4D71">
        <w:rPr>
          <w:sz w:val="22"/>
          <w:szCs w:val="22"/>
        </w:rPr>
        <w:t>Counties will submit a digital version of the pl</w:t>
      </w:r>
      <w:r>
        <w:rPr>
          <w:sz w:val="22"/>
          <w:szCs w:val="22"/>
        </w:rPr>
        <w:t xml:space="preserve">an to the Cal OES Region ESC. </w:t>
      </w:r>
      <w:r w:rsidR="00AB74CD" w:rsidRPr="009F4D71">
        <w:rPr>
          <w:sz w:val="22"/>
          <w:szCs w:val="22"/>
        </w:rPr>
        <w:t xml:space="preserve">The submission should include the plan; </w:t>
      </w:r>
      <w:bookmarkStart w:id="0" w:name="_Hlk106807048"/>
      <w:r w:rsidR="00AB74CD" w:rsidRPr="009F4D71">
        <w:rPr>
          <w:sz w:val="22"/>
          <w:szCs w:val="22"/>
        </w:rPr>
        <w:t>pertinent annexes and appendices; intersecting, stand-alone plans; and the completed EOP Crosswalk</w:t>
      </w:r>
      <w:bookmarkEnd w:id="0"/>
      <w:r w:rsidR="002A7A6D">
        <w:rPr>
          <w:sz w:val="22"/>
          <w:szCs w:val="22"/>
        </w:rPr>
        <w:t>.</w:t>
      </w:r>
    </w:p>
    <w:p w14:paraId="66683146" w14:textId="1E2C6AF5" w:rsidR="00AB74CD" w:rsidRPr="009F4D71" w:rsidRDefault="001379F5" w:rsidP="00AB74CD">
      <w:pPr>
        <w:pStyle w:val="BodyText"/>
        <w:numPr>
          <w:ilvl w:val="0"/>
          <w:numId w:val="11"/>
        </w:numPr>
        <w:spacing w:after="120" w:line="276" w:lineRule="auto"/>
        <w:rPr>
          <w:b/>
          <w:sz w:val="22"/>
          <w:szCs w:val="22"/>
        </w:rPr>
      </w:pPr>
      <w:r>
        <w:rPr>
          <w:b/>
          <w:sz w:val="22"/>
          <w:szCs w:val="22"/>
        </w:rPr>
        <w:t xml:space="preserve">Technical assistance begins. </w:t>
      </w:r>
      <w:r w:rsidR="005750CF" w:rsidRPr="009F4D71">
        <w:rPr>
          <w:sz w:val="22"/>
          <w:szCs w:val="22"/>
        </w:rPr>
        <w:t>During the review process,</w:t>
      </w:r>
      <w:r w:rsidR="00AB74CD" w:rsidRPr="009F4D71">
        <w:rPr>
          <w:sz w:val="22"/>
          <w:szCs w:val="22"/>
        </w:rPr>
        <w:t xml:space="preserve"> reviewers</w:t>
      </w:r>
      <w:r w:rsidR="008F0B4A">
        <w:rPr>
          <w:sz w:val="22"/>
          <w:szCs w:val="22"/>
        </w:rPr>
        <w:t xml:space="preserve"> (Regional ESC, Alert &amp; Warning, Community Planning Unit, Emergency Functions Planning Unit, Office of Access and Functional Needs, Law Enforcement)</w:t>
      </w:r>
      <w:r w:rsidR="00AB74CD" w:rsidRPr="009F4D71">
        <w:rPr>
          <w:sz w:val="22"/>
          <w:szCs w:val="22"/>
        </w:rPr>
        <w:t xml:space="preserve"> will reach out to the county contact to ask questions, gain clarification, and offer minor recommendations.</w:t>
      </w:r>
    </w:p>
    <w:p w14:paraId="46373487" w14:textId="7646FDCB" w:rsidR="00AB74CD" w:rsidRPr="009F4D71" w:rsidRDefault="001379F5" w:rsidP="00AB74CD">
      <w:pPr>
        <w:pStyle w:val="BodyText"/>
        <w:numPr>
          <w:ilvl w:val="0"/>
          <w:numId w:val="11"/>
        </w:numPr>
        <w:spacing w:after="120" w:line="276" w:lineRule="auto"/>
        <w:rPr>
          <w:b/>
          <w:sz w:val="22"/>
          <w:szCs w:val="22"/>
        </w:rPr>
      </w:pPr>
      <w:r>
        <w:rPr>
          <w:b/>
          <w:sz w:val="22"/>
          <w:szCs w:val="22"/>
        </w:rPr>
        <w:t xml:space="preserve">Feedback received. </w:t>
      </w:r>
      <w:r w:rsidR="00AB74CD" w:rsidRPr="009F4D71">
        <w:rPr>
          <w:sz w:val="22"/>
          <w:szCs w:val="22"/>
        </w:rPr>
        <w:t>Counties will receive the review feedback in a Summary Report (and AFN Consultation letter, if requested) upon completion of the review.</w:t>
      </w:r>
    </w:p>
    <w:p w14:paraId="4EE700AD" w14:textId="0A127ECC" w:rsidR="00AB74CD" w:rsidRPr="009F4D71" w:rsidRDefault="001379F5" w:rsidP="00AB74CD">
      <w:pPr>
        <w:pStyle w:val="BodyText"/>
        <w:numPr>
          <w:ilvl w:val="0"/>
          <w:numId w:val="11"/>
        </w:numPr>
        <w:spacing w:after="120" w:line="276" w:lineRule="auto"/>
        <w:rPr>
          <w:b/>
          <w:sz w:val="22"/>
          <w:szCs w:val="22"/>
        </w:rPr>
      </w:pPr>
      <w:r>
        <w:rPr>
          <w:b/>
          <w:sz w:val="22"/>
          <w:szCs w:val="22"/>
        </w:rPr>
        <w:t xml:space="preserve">Feedback integrated. </w:t>
      </w:r>
      <w:r w:rsidR="007673E9">
        <w:rPr>
          <w:sz w:val="22"/>
          <w:szCs w:val="22"/>
        </w:rPr>
        <w:t xml:space="preserve">Counties </w:t>
      </w:r>
      <w:r w:rsidR="00AB74CD" w:rsidRPr="009F4D71">
        <w:rPr>
          <w:sz w:val="22"/>
          <w:szCs w:val="22"/>
        </w:rPr>
        <w:t>integrate recommendations from the Summary Report into the EOP or EOP planning process as appropriate.</w:t>
      </w:r>
    </w:p>
    <w:p w14:paraId="0255502C" w14:textId="77F2C17A" w:rsidR="00AB74CD" w:rsidRDefault="00AB74CD" w:rsidP="002C3982">
      <w:pPr>
        <w:pStyle w:val="BodyText"/>
        <w:numPr>
          <w:ilvl w:val="0"/>
          <w:numId w:val="11"/>
        </w:numPr>
        <w:spacing w:after="120" w:line="276" w:lineRule="auto"/>
        <w:rPr>
          <w:sz w:val="22"/>
          <w:szCs w:val="22"/>
        </w:rPr>
      </w:pPr>
      <w:r w:rsidRPr="009F4D71">
        <w:rPr>
          <w:b/>
          <w:sz w:val="22"/>
          <w:szCs w:val="22"/>
        </w:rPr>
        <w:t xml:space="preserve">Final plan submitted. </w:t>
      </w:r>
      <w:r w:rsidRPr="009F4D71">
        <w:rPr>
          <w:sz w:val="22"/>
          <w:szCs w:val="22"/>
        </w:rPr>
        <w:t xml:space="preserve">Plans should be submitted to the Cal OES Region </w:t>
      </w:r>
      <w:r w:rsidR="007673E9">
        <w:rPr>
          <w:sz w:val="22"/>
          <w:szCs w:val="22"/>
        </w:rPr>
        <w:t xml:space="preserve">after </w:t>
      </w:r>
      <w:r w:rsidRPr="009F4D71">
        <w:rPr>
          <w:sz w:val="22"/>
          <w:szCs w:val="22"/>
        </w:rPr>
        <w:t>approval and adoption (for plan updates) or revision (for existing plans).</w:t>
      </w:r>
    </w:p>
    <w:p w14:paraId="6649214A" w14:textId="39133987" w:rsidR="00741085" w:rsidRPr="009F4D71" w:rsidRDefault="00741085" w:rsidP="00741085">
      <w:pPr>
        <w:pStyle w:val="BodyText"/>
        <w:spacing w:after="120" w:line="276" w:lineRule="auto"/>
        <w:rPr>
          <w:sz w:val="22"/>
          <w:szCs w:val="22"/>
        </w:rPr>
      </w:pPr>
      <w:r>
        <w:rPr>
          <w:sz w:val="22"/>
          <w:szCs w:val="22"/>
        </w:rPr>
        <w:t xml:space="preserve">For more information, please email </w:t>
      </w:r>
      <w:hyperlink r:id="rId11" w:history="1">
        <w:r w:rsidR="00314CE7" w:rsidRPr="000E7399">
          <w:rPr>
            <w:rStyle w:val="Hyperlink"/>
            <w:sz w:val="22"/>
            <w:szCs w:val="22"/>
          </w:rPr>
          <w:t>communityplanning@caloes.ca.gov</w:t>
        </w:r>
      </w:hyperlink>
      <w:r w:rsidR="00314CE7">
        <w:rPr>
          <w:sz w:val="22"/>
          <w:szCs w:val="22"/>
        </w:rPr>
        <w:t>.</w:t>
      </w:r>
    </w:p>
    <w:sectPr w:rsidR="00741085" w:rsidRPr="009F4D71" w:rsidSect="00AB74CD">
      <w:type w:val="continuous"/>
      <w:pgSz w:w="12240" w:h="15840"/>
      <w:pgMar w:top="720" w:right="720" w:bottom="720" w:left="720" w:header="576"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6ABA8E" w14:textId="77777777" w:rsidR="00FA751C" w:rsidRDefault="00FA751C" w:rsidP="00FE08A4">
      <w:pPr>
        <w:spacing w:after="0" w:line="240" w:lineRule="auto"/>
      </w:pPr>
      <w:r>
        <w:separator/>
      </w:r>
    </w:p>
  </w:endnote>
  <w:endnote w:type="continuationSeparator" w:id="0">
    <w:p w14:paraId="646F8143" w14:textId="77777777" w:rsidR="00FA751C" w:rsidRDefault="00FA751C" w:rsidP="00FE08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482F53" w14:textId="453BE06D" w:rsidR="005E57E7" w:rsidRPr="007E659A" w:rsidRDefault="005E57E7" w:rsidP="00CE041C">
    <w:pPr>
      <w:jc w:val="center"/>
      <w:rPr>
        <w:rFonts w:ascii="Century Gothic" w:hAnsi="Century Gothic"/>
      </w:rPr>
    </w:pPr>
    <w:r w:rsidRPr="007E659A">
      <w:rPr>
        <w:rFonts w:ascii="Century Gothic" w:hAnsi="Century Gothic"/>
      </w:rPr>
      <w:t>Counties are advised to conduct an independent review of the cited legislation and</w:t>
    </w:r>
    <w:r w:rsidR="00CE041C">
      <w:rPr>
        <w:rFonts w:ascii="Century Gothic" w:hAnsi="Century Gothic"/>
      </w:rPr>
      <w:br/>
    </w:r>
    <w:r w:rsidRPr="007E659A">
      <w:rPr>
        <w:rFonts w:ascii="Century Gothic" w:hAnsi="Century Gothic"/>
      </w:rPr>
      <w:t>consult their local legislative and legal resources.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89E3F1" w14:textId="77777777" w:rsidR="00FA751C" w:rsidRDefault="00FA751C" w:rsidP="00FE08A4">
      <w:pPr>
        <w:spacing w:after="0" w:line="240" w:lineRule="auto"/>
      </w:pPr>
      <w:r>
        <w:separator/>
      </w:r>
    </w:p>
  </w:footnote>
  <w:footnote w:type="continuationSeparator" w:id="0">
    <w:p w14:paraId="185EF28F" w14:textId="77777777" w:rsidR="00FA751C" w:rsidRDefault="00FA751C" w:rsidP="00FE08A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9A5C82"/>
    <w:multiLevelType w:val="hybridMultilevel"/>
    <w:tmpl w:val="6ED8E7AA"/>
    <w:lvl w:ilvl="0" w:tplc="60D8A68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16A0C48"/>
    <w:multiLevelType w:val="hybridMultilevel"/>
    <w:tmpl w:val="A70280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2375711"/>
    <w:multiLevelType w:val="hybridMultilevel"/>
    <w:tmpl w:val="043825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C696810"/>
    <w:multiLevelType w:val="hybridMultilevel"/>
    <w:tmpl w:val="088071EC"/>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54C59A8"/>
    <w:multiLevelType w:val="hybridMultilevel"/>
    <w:tmpl w:val="68120558"/>
    <w:lvl w:ilvl="0" w:tplc="01E046B2">
      <w:start w:val="1"/>
      <w:numFmt w:val="decimal"/>
      <w:lvlText w:val="%1."/>
      <w:lvlJc w:val="left"/>
      <w:pPr>
        <w:ind w:left="360" w:hanging="360"/>
      </w:pPr>
      <w:rPr>
        <w:rFonts w:hint="default"/>
        <w:b/>
        <w:i w:val="0"/>
      </w:rPr>
    </w:lvl>
    <w:lvl w:ilvl="1" w:tplc="6A026002">
      <w:start w:val="1"/>
      <w:numFmt w:val="lowerLetter"/>
      <w:lvlText w:val="%2."/>
      <w:lvlJc w:val="left"/>
      <w:pPr>
        <w:ind w:left="72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4ADE67C1"/>
    <w:multiLevelType w:val="hybridMultilevel"/>
    <w:tmpl w:val="C436DDFE"/>
    <w:lvl w:ilvl="0" w:tplc="60D8A6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BE72E93"/>
    <w:multiLevelType w:val="hybridMultilevel"/>
    <w:tmpl w:val="C7BC0B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C96692F"/>
    <w:multiLevelType w:val="hybridMultilevel"/>
    <w:tmpl w:val="E11806B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2624A9C"/>
    <w:multiLevelType w:val="hybridMultilevel"/>
    <w:tmpl w:val="F3A0D1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58EC14A9"/>
    <w:multiLevelType w:val="hybridMultilevel"/>
    <w:tmpl w:val="7DD6F96A"/>
    <w:lvl w:ilvl="0" w:tplc="60D8A6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11B0EA2"/>
    <w:multiLevelType w:val="hybridMultilevel"/>
    <w:tmpl w:val="31F4D5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71115FCB"/>
    <w:multiLevelType w:val="hybridMultilevel"/>
    <w:tmpl w:val="58947B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7AF564F"/>
    <w:multiLevelType w:val="hybridMultilevel"/>
    <w:tmpl w:val="A46C407C"/>
    <w:lvl w:ilvl="0" w:tplc="60D8A68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70995937">
    <w:abstractNumId w:val="1"/>
  </w:num>
  <w:num w:numId="2" w16cid:durableId="104428295">
    <w:abstractNumId w:val="11"/>
  </w:num>
  <w:num w:numId="3" w16cid:durableId="1264067242">
    <w:abstractNumId w:val="9"/>
  </w:num>
  <w:num w:numId="4" w16cid:durableId="1659267350">
    <w:abstractNumId w:val="0"/>
  </w:num>
  <w:num w:numId="5" w16cid:durableId="1246845053">
    <w:abstractNumId w:val="7"/>
  </w:num>
  <w:num w:numId="6" w16cid:durableId="1820150514">
    <w:abstractNumId w:val="2"/>
  </w:num>
  <w:num w:numId="7" w16cid:durableId="260184378">
    <w:abstractNumId w:val="5"/>
  </w:num>
  <w:num w:numId="8" w16cid:durableId="1364591742">
    <w:abstractNumId w:val="12"/>
  </w:num>
  <w:num w:numId="9" w16cid:durableId="1589925142">
    <w:abstractNumId w:val="3"/>
  </w:num>
  <w:num w:numId="10" w16cid:durableId="1193573404">
    <w:abstractNumId w:val="6"/>
  </w:num>
  <w:num w:numId="11" w16cid:durableId="1006249037">
    <w:abstractNumId w:val="4"/>
  </w:num>
  <w:num w:numId="12" w16cid:durableId="1942495836">
    <w:abstractNumId w:val="10"/>
  </w:num>
  <w:num w:numId="13" w16cid:durableId="30331654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3"/>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08A4"/>
    <w:rsid w:val="00011FA4"/>
    <w:rsid w:val="00015D27"/>
    <w:rsid w:val="0001647F"/>
    <w:rsid w:val="00020826"/>
    <w:rsid w:val="00042546"/>
    <w:rsid w:val="000440ED"/>
    <w:rsid w:val="00053A8D"/>
    <w:rsid w:val="0007181F"/>
    <w:rsid w:val="00076491"/>
    <w:rsid w:val="00093FF5"/>
    <w:rsid w:val="000B3BB8"/>
    <w:rsid w:val="000F439E"/>
    <w:rsid w:val="001026CD"/>
    <w:rsid w:val="001107FB"/>
    <w:rsid w:val="001140DB"/>
    <w:rsid w:val="00121C93"/>
    <w:rsid w:val="0013363B"/>
    <w:rsid w:val="00136DE9"/>
    <w:rsid w:val="001379F5"/>
    <w:rsid w:val="001526FA"/>
    <w:rsid w:val="001622F7"/>
    <w:rsid w:val="001731B4"/>
    <w:rsid w:val="00187DD6"/>
    <w:rsid w:val="001A4844"/>
    <w:rsid w:val="001B7233"/>
    <w:rsid w:val="001D00D3"/>
    <w:rsid w:val="001D258A"/>
    <w:rsid w:val="001D7B1F"/>
    <w:rsid w:val="001F13AD"/>
    <w:rsid w:val="001F6884"/>
    <w:rsid w:val="00204915"/>
    <w:rsid w:val="00221EC7"/>
    <w:rsid w:val="0022573A"/>
    <w:rsid w:val="00232AE2"/>
    <w:rsid w:val="00246804"/>
    <w:rsid w:val="00276181"/>
    <w:rsid w:val="00284C3D"/>
    <w:rsid w:val="00292B70"/>
    <w:rsid w:val="002A46E6"/>
    <w:rsid w:val="002A7A6D"/>
    <w:rsid w:val="002C3982"/>
    <w:rsid w:val="002D43F8"/>
    <w:rsid w:val="002F5A3B"/>
    <w:rsid w:val="0030709E"/>
    <w:rsid w:val="0031010E"/>
    <w:rsid w:val="00314CE7"/>
    <w:rsid w:val="003478F8"/>
    <w:rsid w:val="003505AE"/>
    <w:rsid w:val="0035650E"/>
    <w:rsid w:val="00365B2C"/>
    <w:rsid w:val="00367AD8"/>
    <w:rsid w:val="00375FD9"/>
    <w:rsid w:val="003B0499"/>
    <w:rsid w:val="003C614A"/>
    <w:rsid w:val="003C6B24"/>
    <w:rsid w:val="003E6B66"/>
    <w:rsid w:val="003E6DF8"/>
    <w:rsid w:val="003E7B5D"/>
    <w:rsid w:val="003F790F"/>
    <w:rsid w:val="00411762"/>
    <w:rsid w:val="004129A2"/>
    <w:rsid w:val="00422472"/>
    <w:rsid w:val="00425532"/>
    <w:rsid w:val="00456F9D"/>
    <w:rsid w:val="004609EC"/>
    <w:rsid w:val="004778AF"/>
    <w:rsid w:val="0049476E"/>
    <w:rsid w:val="004A1423"/>
    <w:rsid w:val="004A162D"/>
    <w:rsid w:val="004B2DC9"/>
    <w:rsid w:val="004C03DF"/>
    <w:rsid w:val="004D6DE7"/>
    <w:rsid w:val="004F02F3"/>
    <w:rsid w:val="00501C27"/>
    <w:rsid w:val="0050272A"/>
    <w:rsid w:val="005071F8"/>
    <w:rsid w:val="00520B8C"/>
    <w:rsid w:val="005315B2"/>
    <w:rsid w:val="0053317E"/>
    <w:rsid w:val="00567D21"/>
    <w:rsid w:val="005750CF"/>
    <w:rsid w:val="005769CF"/>
    <w:rsid w:val="00584C0B"/>
    <w:rsid w:val="0058648C"/>
    <w:rsid w:val="00587494"/>
    <w:rsid w:val="005915CB"/>
    <w:rsid w:val="00594EC2"/>
    <w:rsid w:val="005A2DBE"/>
    <w:rsid w:val="005A6621"/>
    <w:rsid w:val="005B123D"/>
    <w:rsid w:val="005C073C"/>
    <w:rsid w:val="005D7C80"/>
    <w:rsid w:val="005E57E7"/>
    <w:rsid w:val="005E6E24"/>
    <w:rsid w:val="0060455F"/>
    <w:rsid w:val="006056D2"/>
    <w:rsid w:val="006222E1"/>
    <w:rsid w:val="00660A80"/>
    <w:rsid w:val="00661C3E"/>
    <w:rsid w:val="00665065"/>
    <w:rsid w:val="006652AB"/>
    <w:rsid w:val="006735DF"/>
    <w:rsid w:val="00683F14"/>
    <w:rsid w:val="00686B06"/>
    <w:rsid w:val="006A5224"/>
    <w:rsid w:val="006B1164"/>
    <w:rsid w:val="006B36BB"/>
    <w:rsid w:val="006B5393"/>
    <w:rsid w:val="006C15C4"/>
    <w:rsid w:val="006C26F7"/>
    <w:rsid w:val="006C5D1C"/>
    <w:rsid w:val="006D27CA"/>
    <w:rsid w:val="006F5554"/>
    <w:rsid w:val="00701D00"/>
    <w:rsid w:val="00702799"/>
    <w:rsid w:val="00704502"/>
    <w:rsid w:val="00707749"/>
    <w:rsid w:val="00714A6A"/>
    <w:rsid w:val="00723989"/>
    <w:rsid w:val="00731377"/>
    <w:rsid w:val="0073415B"/>
    <w:rsid w:val="00735719"/>
    <w:rsid w:val="00736604"/>
    <w:rsid w:val="00741085"/>
    <w:rsid w:val="007455C8"/>
    <w:rsid w:val="00754470"/>
    <w:rsid w:val="007569AC"/>
    <w:rsid w:val="007571D9"/>
    <w:rsid w:val="007631F1"/>
    <w:rsid w:val="00766628"/>
    <w:rsid w:val="007673E9"/>
    <w:rsid w:val="00774D9B"/>
    <w:rsid w:val="007A61F2"/>
    <w:rsid w:val="007C49A0"/>
    <w:rsid w:val="007C4D29"/>
    <w:rsid w:val="007E524D"/>
    <w:rsid w:val="007E659A"/>
    <w:rsid w:val="007F5747"/>
    <w:rsid w:val="00812127"/>
    <w:rsid w:val="008230E1"/>
    <w:rsid w:val="008260FD"/>
    <w:rsid w:val="008513C8"/>
    <w:rsid w:val="008513FE"/>
    <w:rsid w:val="00852E82"/>
    <w:rsid w:val="008663FB"/>
    <w:rsid w:val="008758AC"/>
    <w:rsid w:val="0088561E"/>
    <w:rsid w:val="00887402"/>
    <w:rsid w:val="00890A8E"/>
    <w:rsid w:val="008915B9"/>
    <w:rsid w:val="008A3DB2"/>
    <w:rsid w:val="008B1603"/>
    <w:rsid w:val="008B6AEA"/>
    <w:rsid w:val="008B6C66"/>
    <w:rsid w:val="008B72CB"/>
    <w:rsid w:val="008F0B4A"/>
    <w:rsid w:val="008F1A6B"/>
    <w:rsid w:val="008F4CCF"/>
    <w:rsid w:val="0090276F"/>
    <w:rsid w:val="00907949"/>
    <w:rsid w:val="009216F2"/>
    <w:rsid w:val="009234DF"/>
    <w:rsid w:val="00946C84"/>
    <w:rsid w:val="009506A8"/>
    <w:rsid w:val="00961350"/>
    <w:rsid w:val="00975B6A"/>
    <w:rsid w:val="00981142"/>
    <w:rsid w:val="0098325B"/>
    <w:rsid w:val="00987990"/>
    <w:rsid w:val="009969EF"/>
    <w:rsid w:val="009A2AA3"/>
    <w:rsid w:val="009B2C51"/>
    <w:rsid w:val="009F4D71"/>
    <w:rsid w:val="00A01FF8"/>
    <w:rsid w:val="00A20E98"/>
    <w:rsid w:val="00A23EBD"/>
    <w:rsid w:val="00A5310B"/>
    <w:rsid w:val="00A54D79"/>
    <w:rsid w:val="00A73091"/>
    <w:rsid w:val="00A73C44"/>
    <w:rsid w:val="00A85741"/>
    <w:rsid w:val="00A901FF"/>
    <w:rsid w:val="00A905CB"/>
    <w:rsid w:val="00A91E8D"/>
    <w:rsid w:val="00AB74CD"/>
    <w:rsid w:val="00AC18B0"/>
    <w:rsid w:val="00AC4F91"/>
    <w:rsid w:val="00AD2E11"/>
    <w:rsid w:val="00B45AB1"/>
    <w:rsid w:val="00B56CC4"/>
    <w:rsid w:val="00B63F61"/>
    <w:rsid w:val="00B7050B"/>
    <w:rsid w:val="00B82CA5"/>
    <w:rsid w:val="00BA3F77"/>
    <w:rsid w:val="00BA5A6F"/>
    <w:rsid w:val="00BA6029"/>
    <w:rsid w:val="00BB7C51"/>
    <w:rsid w:val="00BC27CC"/>
    <w:rsid w:val="00BC29BB"/>
    <w:rsid w:val="00BC5978"/>
    <w:rsid w:val="00BE4608"/>
    <w:rsid w:val="00C12821"/>
    <w:rsid w:val="00C32C0F"/>
    <w:rsid w:val="00C361E4"/>
    <w:rsid w:val="00C45BDD"/>
    <w:rsid w:val="00C71F55"/>
    <w:rsid w:val="00C76A8C"/>
    <w:rsid w:val="00CA6EF4"/>
    <w:rsid w:val="00CB5341"/>
    <w:rsid w:val="00CD49B9"/>
    <w:rsid w:val="00CE041C"/>
    <w:rsid w:val="00D00752"/>
    <w:rsid w:val="00D07BD9"/>
    <w:rsid w:val="00D166D2"/>
    <w:rsid w:val="00D4362E"/>
    <w:rsid w:val="00D70596"/>
    <w:rsid w:val="00D7587F"/>
    <w:rsid w:val="00D85AF0"/>
    <w:rsid w:val="00D860BB"/>
    <w:rsid w:val="00DA0701"/>
    <w:rsid w:val="00DE1212"/>
    <w:rsid w:val="00DE65C6"/>
    <w:rsid w:val="00DF4938"/>
    <w:rsid w:val="00E123F6"/>
    <w:rsid w:val="00E13B3C"/>
    <w:rsid w:val="00E334D8"/>
    <w:rsid w:val="00E413B9"/>
    <w:rsid w:val="00E60E0E"/>
    <w:rsid w:val="00E62958"/>
    <w:rsid w:val="00E6434B"/>
    <w:rsid w:val="00E67371"/>
    <w:rsid w:val="00E72567"/>
    <w:rsid w:val="00E80BD9"/>
    <w:rsid w:val="00E9324E"/>
    <w:rsid w:val="00EA0F4E"/>
    <w:rsid w:val="00EA4E34"/>
    <w:rsid w:val="00EA5064"/>
    <w:rsid w:val="00EB0B55"/>
    <w:rsid w:val="00EC47ED"/>
    <w:rsid w:val="00ED5E13"/>
    <w:rsid w:val="00EE7E78"/>
    <w:rsid w:val="00EF2703"/>
    <w:rsid w:val="00F020FE"/>
    <w:rsid w:val="00F0492B"/>
    <w:rsid w:val="00F22EC1"/>
    <w:rsid w:val="00F26341"/>
    <w:rsid w:val="00F40B7F"/>
    <w:rsid w:val="00F52A39"/>
    <w:rsid w:val="00F57C88"/>
    <w:rsid w:val="00F739A7"/>
    <w:rsid w:val="00F7554D"/>
    <w:rsid w:val="00F75E1F"/>
    <w:rsid w:val="00F87652"/>
    <w:rsid w:val="00F87D00"/>
    <w:rsid w:val="00F9160F"/>
    <w:rsid w:val="00F92BE5"/>
    <w:rsid w:val="00FA751C"/>
    <w:rsid w:val="00FE017E"/>
    <w:rsid w:val="00FE08A4"/>
    <w:rsid w:val="00FE3048"/>
    <w:rsid w:val="00FE42C6"/>
    <w:rsid w:val="00FE72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5D5E2B"/>
  <w15:chartTrackingRefBased/>
  <w15:docId w15:val="{DF7AD737-9BD6-4989-A696-742E3FD02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D27CA"/>
    <w:pPr>
      <w:keepNext/>
      <w:keepLines/>
      <w:spacing w:before="240" w:after="0"/>
      <w:outlineLvl w:val="0"/>
    </w:pPr>
    <w:rPr>
      <w:rFonts w:ascii="Century Gothic" w:eastAsiaTheme="majorEastAsia" w:hAnsi="Century Gothic" w:cstheme="majorBidi"/>
      <w:b/>
      <w:color w:val="1F3864" w:themeColor="accent1" w:themeShade="80"/>
      <w:sz w:val="32"/>
      <w:szCs w:val="32"/>
    </w:rPr>
  </w:style>
  <w:style w:type="paragraph" w:styleId="Heading2">
    <w:name w:val="heading 2"/>
    <w:basedOn w:val="Normal"/>
    <w:next w:val="Normal"/>
    <w:link w:val="Heading2Char"/>
    <w:uiPriority w:val="9"/>
    <w:unhideWhenUsed/>
    <w:qFormat/>
    <w:rsid w:val="006D27CA"/>
    <w:pPr>
      <w:keepNext/>
      <w:keepLines/>
      <w:spacing w:before="40" w:after="0"/>
      <w:outlineLvl w:val="1"/>
    </w:pPr>
    <w:rPr>
      <w:rFonts w:ascii="Century Gothic" w:eastAsiaTheme="majorEastAsia" w:hAnsi="Century Gothic" w:cstheme="majorBidi"/>
      <w:b/>
      <w:i/>
      <w:color w:val="1F3864" w:themeColor="accent1" w:themeShade="80"/>
      <w:sz w:val="24"/>
      <w:szCs w:val="26"/>
    </w:rPr>
  </w:style>
  <w:style w:type="paragraph" w:styleId="Heading3">
    <w:name w:val="heading 3"/>
    <w:basedOn w:val="Normal"/>
    <w:next w:val="Normal"/>
    <w:link w:val="Heading3Char"/>
    <w:uiPriority w:val="9"/>
    <w:semiHidden/>
    <w:unhideWhenUsed/>
    <w:qFormat/>
    <w:rsid w:val="00F57C8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E08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FE08A4"/>
  </w:style>
  <w:style w:type="paragraph" w:styleId="Footer">
    <w:name w:val="footer"/>
    <w:basedOn w:val="Normal"/>
    <w:link w:val="FooterChar"/>
    <w:uiPriority w:val="99"/>
    <w:unhideWhenUsed/>
    <w:rsid w:val="00FE08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E08A4"/>
  </w:style>
  <w:style w:type="character" w:customStyle="1" w:styleId="Heading1Char">
    <w:name w:val="Heading 1 Char"/>
    <w:basedOn w:val="DefaultParagraphFont"/>
    <w:link w:val="Heading1"/>
    <w:uiPriority w:val="9"/>
    <w:rsid w:val="006D27CA"/>
    <w:rPr>
      <w:rFonts w:ascii="Century Gothic" w:eastAsiaTheme="majorEastAsia" w:hAnsi="Century Gothic" w:cstheme="majorBidi"/>
      <w:b/>
      <w:color w:val="1F3864" w:themeColor="accent1" w:themeShade="80"/>
      <w:sz w:val="32"/>
      <w:szCs w:val="32"/>
    </w:rPr>
  </w:style>
  <w:style w:type="table" w:styleId="TableGrid">
    <w:name w:val="Table Grid"/>
    <w:basedOn w:val="TableNormal"/>
    <w:uiPriority w:val="39"/>
    <w:rsid w:val="00FE08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6D27CA"/>
    <w:rPr>
      <w:rFonts w:ascii="Century Gothic" w:eastAsiaTheme="majorEastAsia" w:hAnsi="Century Gothic" w:cstheme="majorBidi"/>
      <w:b/>
      <w:i/>
      <w:color w:val="1F3864" w:themeColor="accent1" w:themeShade="80"/>
      <w:sz w:val="24"/>
      <w:szCs w:val="26"/>
    </w:rPr>
  </w:style>
  <w:style w:type="paragraph" w:styleId="ListParagraph">
    <w:name w:val="List Paragraph"/>
    <w:basedOn w:val="Normal"/>
    <w:uiPriority w:val="34"/>
    <w:qFormat/>
    <w:rsid w:val="00BE4608"/>
    <w:pPr>
      <w:ind w:left="720"/>
      <w:contextualSpacing/>
    </w:pPr>
  </w:style>
  <w:style w:type="character" w:styleId="Hyperlink">
    <w:name w:val="Hyperlink"/>
    <w:basedOn w:val="DefaultParagraphFont"/>
    <w:uiPriority w:val="99"/>
    <w:unhideWhenUsed/>
    <w:rsid w:val="001F13AD"/>
    <w:rPr>
      <w:color w:val="0563C1" w:themeColor="hyperlink"/>
      <w:u w:val="single"/>
    </w:rPr>
  </w:style>
  <w:style w:type="character" w:customStyle="1" w:styleId="UnresolvedMention1">
    <w:name w:val="Unresolved Mention1"/>
    <w:basedOn w:val="DefaultParagraphFont"/>
    <w:uiPriority w:val="99"/>
    <w:semiHidden/>
    <w:unhideWhenUsed/>
    <w:rsid w:val="001F13AD"/>
    <w:rPr>
      <w:color w:val="605E5C"/>
      <w:shd w:val="clear" w:color="auto" w:fill="E1DFDD"/>
    </w:rPr>
  </w:style>
  <w:style w:type="character" w:styleId="CommentReference">
    <w:name w:val="annotation reference"/>
    <w:basedOn w:val="DefaultParagraphFont"/>
    <w:uiPriority w:val="99"/>
    <w:semiHidden/>
    <w:unhideWhenUsed/>
    <w:rsid w:val="006B1164"/>
    <w:rPr>
      <w:sz w:val="16"/>
      <w:szCs w:val="16"/>
    </w:rPr>
  </w:style>
  <w:style w:type="paragraph" w:styleId="CommentText">
    <w:name w:val="annotation text"/>
    <w:basedOn w:val="Normal"/>
    <w:link w:val="CommentTextChar"/>
    <w:uiPriority w:val="99"/>
    <w:semiHidden/>
    <w:unhideWhenUsed/>
    <w:rsid w:val="006B1164"/>
    <w:pPr>
      <w:spacing w:line="240" w:lineRule="auto"/>
    </w:pPr>
    <w:rPr>
      <w:sz w:val="20"/>
      <w:szCs w:val="20"/>
    </w:rPr>
  </w:style>
  <w:style w:type="character" w:customStyle="1" w:styleId="CommentTextChar">
    <w:name w:val="Comment Text Char"/>
    <w:basedOn w:val="DefaultParagraphFont"/>
    <w:link w:val="CommentText"/>
    <w:uiPriority w:val="99"/>
    <w:semiHidden/>
    <w:rsid w:val="006B1164"/>
    <w:rPr>
      <w:sz w:val="20"/>
      <w:szCs w:val="20"/>
    </w:rPr>
  </w:style>
  <w:style w:type="paragraph" w:styleId="CommentSubject">
    <w:name w:val="annotation subject"/>
    <w:basedOn w:val="CommentText"/>
    <w:next w:val="CommentText"/>
    <w:link w:val="CommentSubjectChar"/>
    <w:uiPriority w:val="99"/>
    <w:semiHidden/>
    <w:unhideWhenUsed/>
    <w:rsid w:val="006B1164"/>
    <w:rPr>
      <w:b/>
      <w:bCs/>
    </w:rPr>
  </w:style>
  <w:style w:type="character" w:customStyle="1" w:styleId="CommentSubjectChar">
    <w:name w:val="Comment Subject Char"/>
    <w:basedOn w:val="CommentTextChar"/>
    <w:link w:val="CommentSubject"/>
    <w:uiPriority w:val="99"/>
    <w:semiHidden/>
    <w:rsid w:val="006B1164"/>
    <w:rPr>
      <w:b/>
      <w:bCs/>
      <w:sz w:val="20"/>
      <w:szCs w:val="20"/>
    </w:rPr>
  </w:style>
  <w:style w:type="paragraph" w:styleId="BalloonText">
    <w:name w:val="Balloon Text"/>
    <w:basedOn w:val="Normal"/>
    <w:link w:val="BalloonTextChar"/>
    <w:uiPriority w:val="99"/>
    <w:semiHidden/>
    <w:unhideWhenUsed/>
    <w:rsid w:val="006B116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1164"/>
    <w:rPr>
      <w:rFonts w:ascii="Segoe UI" w:hAnsi="Segoe UI" w:cs="Segoe UI"/>
      <w:sz w:val="18"/>
      <w:szCs w:val="18"/>
    </w:rPr>
  </w:style>
  <w:style w:type="character" w:customStyle="1" w:styleId="UnresolvedMention2">
    <w:name w:val="Unresolved Mention2"/>
    <w:basedOn w:val="DefaultParagraphFont"/>
    <w:uiPriority w:val="99"/>
    <w:semiHidden/>
    <w:unhideWhenUsed/>
    <w:rsid w:val="00584C0B"/>
    <w:rPr>
      <w:color w:val="605E5C"/>
      <w:shd w:val="clear" w:color="auto" w:fill="E1DFDD"/>
    </w:rPr>
  </w:style>
  <w:style w:type="character" w:customStyle="1" w:styleId="Heading3Char">
    <w:name w:val="Heading 3 Char"/>
    <w:basedOn w:val="DefaultParagraphFont"/>
    <w:link w:val="Heading3"/>
    <w:uiPriority w:val="9"/>
    <w:semiHidden/>
    <w:rsid w:val="00F57C88"/>
    <w:rPr>
      <w:rFonts w:asciiTheme="majorHAnsi" w:eastAsiaTheme="majorEastAsia" w:hAnsiTheme="majorHAnsi" w:cstheme="majorBidi"/>
      <w:color w:val="1F3763" w:themeColor="accent1" w:themeShade="7F"/>
      <w:sz w:val="24"/>
      <w:szCs w:val="24"/>
    </w:rPr>
  </w:style>
  <w:style w:type="paragraph" w:styleId="BodyText">
    <w:name w:val="Body Text"/>
    <w:basedOn w:val="Normal"/>
    <w:link w:val="BodyTextChar"/>
    <w:uiPriority w:val="99"/>
    <w:qFormat/>
    <w:rsid w:val="00AB74CD"/>
    <w:pPr>
      <w:autoSpaceDE w:val="0"/>
      <w:autoSpaceDN w:val="0"/>
      <w:adjustRightInd w:val="0"/>
      <w:spacing w:after="0" w:line="240" w:lineRule="auto"/>
    </w:pPr>
    <w:rPr>
      <w:rFonts w:ascii="Century Gothic" w:hAnsi="Century Gothic" w:cs="Arial"/>
      <w:sz w:val="24"/>
      <w:szCs w:val="24"/>
    </w:rPr>
  </w:style>
  <w:style w:type="character" w:customStyle="1" w:styleId="BodyTextChar">
    <w:name w:val="Body Text Char"/>
    <w:basedOn w:val="DefaultParagraphFont"/>
    <w:link w:val="BodyText"/>
    <w:uiPriority w:val="99"/>
    <w:rsid w:val="00AB74CD"/>
    <w:rPr>
      <w:rFonts w:ascii="Century Gothic" w:hAnsi="Century Gothic" w:cs="Arial"/>
      <w:sz w:val="24"/>
      <w:szCs w:val="24"/>
    </w:rPr>
  </w:style>
  <w:style w:type="character" w:customStyle="1" w:styleId="UnresolvedMention3">
    <w:name w:val="Unresolved Mention3"/>
    <w:basedOn w:val="DefaultParagraphFont"/>
    <w:uiPriority w:val="99"/>
    <w:semiHidden/>
    <w:unhideWhenUsed/>
    <w:rsid w:val="00314CE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ommunityplanning@caloes.ca.gov" TargetMode="Externa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F0F4B8-3A79-44BF-BE5D-21B1198DB3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2</Pages>
  <Words>684</Words>
  <Characters>3789</Characters>
  <Application>Microsoft Office Word</Application>
  <DocSecurity>0</DocSecurity>
  <Lines>94</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Kit, Kasmira@CalOES</dc:creator>
  <cp:keywords/>
  <dc:description/>
  <cp:lastModifiedBy>Brignone, Mark@CalOES</cp:lastModifiedBy>
  <cp:revision>10</cp:revision>
  <cp:lastPrinted>2022-08-09T15:44:00Z</cp:lastPrinted>
  <dcterms:created xsi:type="dcterms:W3CDTF">2023-02-06T22:11:00Z</dcterms:created>
  <dcterms:modified xsi:type="dcterms:W3CDTF">2024-03-06T19:44:00Z</dcterms:modified>
</cp:coreProperties>
</file>