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CD7D" w14:textId="77777777" w:rsidR="002F758A" w:rsidRDefault="002F758A" w:rsidP="00F26B62">
      <w:pPr>
        <w:pStyle w:val="BodyText"/>
      </w:pPr>
    </w:p>
    <w:p w14:paraId="4C24082E" w14:textId="77777777" w:rsidR="002F758A" w:rsidRDefault="002F758A" w:rsidP="00EA19E2">
      <w:pPr>
        <w:pStyle w:val="Title"/>
        <w:jc w:val="center"/>
        <w:rPr>
          <w:color w:val="000000" w:themeColor="text1"/>
        </w:rPr>
      </w:pPr>
      <w:r w:rsidRPr="00EA19E2">
        <w:rPr>
          <w:color w:val="000000" w:themeColor="text1"/>
        </w:rPr>
        <w:t>PUBLIC COMMENT DRAFT</w:t>
      </w:r>
    </w:p>
    <w:p w14:paraId="5A829B14" w14:textId="77777777" w:rsidR="00BA024B" w:rsidRPr="00BA024B" w:rsidRDefault="00BA024B" w:rsidP="00BA024B">
      <w:pPr>
        <w:pStyle w:val="BodyText"/>
      </w:pPr>
    </w:p>
    <w:p w14:paraId="1D5AA966" w14:textId="77777777" w:rsidR="002F758A" w:rsidRPr="00243D45" w:rsidRDefault="002F758A" w:rsidP="00EA19E2">
      <w:pPr>
        <w:pStyle w:val="Title"/>
        <w:jc w:val="center"/>
        <w:rPr>
          <w:color w:val="156082" w:themeColor="accent1"/>
          <w:sz w:val="72"/>
          <w:szCs w:val="72"/>
        </w:rPr>
      </w:pPr>
      <w:r w:rsidRPr="00243D45">
        <w:rPr>
          <w:color w:val="156082" w:themeColor="accent1"/>
          <w:sz w:val="72"/>
          <w:szCs w:val="72"/>
        </w:rPr>
        <w:t>2026 California Adaptation Planning Guide</w:t>
      </w:r>
    </w:p>
    <w:p w14:paraId="7215BECD" w14:textId="77777777" w:rsidR="00BA024B" w:rsidRPr="00BA024B" w:rsidRDefault="00BA024B" w:rsidP="00BA024B"/>
    <w:p w14:paraId="7A0205B1" w14:textId="119B180D" w:rsidR="00740A3E" w:rsidRPr="00064CD3" w:rsidRDefault="00740A3E" w:rsidP="00EA19E2">
      <w:pPr>
        <w:pStyle w:val="Title"/>
        <w:jc w:val="center"/>
        <w:rPr>
          <w:sz w:val="42"/>
          <w:szCs w:val="42"/>
        </w:rPr>
      </w:pPr>
      <w:r w:rsidRPr="00064CD3">
        <w:rPr>
          <w:sz w:val="42"/>
          <w:szCs w:val="42"/>
        </w:rPr>
        <w:t>July 27, 2026</w:t>
      </w:r>
    </w:p>
    <w:p w14:paraId="3A217BFB" w14:textId="77777777" w:rsidR="002F758A" w:rsidRDefault="002F758A" w:rsidP="002F758A">
      <w:pPr>
        <w:spacing w:line="240" w:lineRule="auto"/>
      </w:pPr>
    </w:p>
    <w:p w14:paraId="63752B0D" w14:textId="394D90A2" w:rsidR="00EF04CF" w:rsidRDefault="00813895" w:rsidP="002F758A">
      <w:pPr>
        <w:spacing w:line="240" w:lineRule="auto"/>
      </w:pPr>
      <w:r>
        <w:t xml:space="preserve">The </w:t>
      </w:r>
      <w:r w:rsidRPr="007F16DF">
        <w:t>Governor’s</w:t>
      </w:r>
      <w:r w:rsidRPr="007F16DF">
        <w:rPr>
          <w:spacing w:val="-2"/>
        </w:rPr>
        <w:t xml:space="preserve"> </w:t>
      </w:r>
      <w:r w:rsidRPr="007F16DF">
        <w:t>Office</w:t>
      </w:r>
      <w:r w:rsidRPr="007F16DF">
        <w:rPr>
          <w:spacing w:val="-3"/>
        </w:rPr>
        <w:t xml:space="preserve"> </w:t>
      </w:r>
      <w:r w:rsidRPr="007F16DF">
        <w:t>of</w:t>
      </w:r>
      <w:r w:rsidRPr="007F16DF">
        <w:rPr>
          <w:spacing w:val="-4"/>
        </w:rPr>
        <w:t xml:space="preserve"> Emergency Services</w:t>
      </w:r>
      <w:r w:rsidRPr="007F16DF">
        <w:rPr>
          <w:spacing w:val="-3"/>
        </w:rPr>
        <w:t xml:space="preserve"> </w:t>
      </w:r>
      <w:r>
        <w:rPr>
          <w:spacing w:val="-3"/>
        </w:rPr>
        <w:t>(</w:t>
      </w:r>
      <w:r w:rsidR="002F758A">
        <w:t>Cal OES</w:t>
      </w:r>
      <w:r>
        <w:t>)</w:t>
      </w:r>
      <w:r w:rsidR="002F758A">
        <w:t xml:space="preserve"> is pleased to announce that the California Adaptation Planning Guide</w:t>
      </w:r>
      <w:r w:rsidR="00ED2BF5">
        <w:t xml:space="preserve"> (APG)</w:t>
      </w:r>
      <w:r w:rsidR="002F758A">
        <w:t xml:space="preserve"> is being updated</w:t>
      </w:r>
      <w:r w:rsidR="38FE0597">
        <w:t xml:space="preserve"> in partnership with</w:t>
      </w:r>
      <w:r w:rsidR="270DA51C">
        <w:t xml:space="preserve"> </w:t>
      </w:r>
      <w:r w:rsidR="00F52A3E">
        <w:t xml:space="preserve">the </w:t>
      </w:r>
      <w:r w:rsidR="270DA51C">
        <w:t xml:space="preserve">California Natural Resources Agency </w:t>
      </w:r>
      <w:r w:rsidR="001865EB">
        <w:t xml:space="preserve">(CNRA) </w:t>
      </w:r>
      <w:r w:rsidR="270DA51C">
        <w:t>and Governor’s Office of Land Use and Climate Innovation</w:t>
      </w:r>
      <w:r w:rsidR="001865EB">
        <w:t xml:space="preserve"> (LCI)</w:t>
      </w:r>
      <w:r w:rsidR="002F758A">
        <w:t>. As part of our commitment to Senate Bill 246 (</w:t>
      </w:r>
      <w:hyperlink r:id="rId11">
        <w:r w:rsidR="002F758A" w:rsidRPr="20389150">
          <w:rPr>
            <w:rStyle w:val="Hyperlink"/>
          </w:rPr>
          <w:t>SB 246</w:t>
        </w:r>
      </w:hyperlink>
      <w:r w:rsidR="002F758A">
        <w:t xml:space="preserve">), this guidebook is being revised to better support communities across </w:t>
      </w:r>
      <w:r w:rsidR="00094B94">
        <w:t xml:space="preserve">the state. </w:t>
      </w:r>
      <w:r w:rsidR="0012434A">
        <w:t>By s</w:t>
      </w:r>
      <w:r w:rsidR="002F758A">
        <w:t xml:space="preserve">haring this </w:t>
      </w:r>
      <w:r w:rsidR="004B2A74">
        <w:t>updated guidance</w:t>
      </w:r>
      <w:r w:rsidR="0012434A">
        <w:t>,</w:t>
      </w:r>
      <w:r w:rsidR="004B2A74">
        <w:t xml:space="preserve"> </w:t>
      </w:r>
      <w:r w:rsidR="0012434A">
        <w:t xml:space="preserve">we aim to foster collaboration, leverage </w:t>
      </w:r>
      <w:r w:rsidR="002F758A">
        <w:t>collective expertise</w:t>
      </w:r>
      <w:r w:rsidR="0012434A">
        <w:t>,</w:t>
      </w:r>
      <w:r w:rsidR="002F758A">
        <w:t xml:space="preserve"> </w:t>
      </w:r>
      <w:r w:rsidR="00EF04CF">
        <w:t xml:space="preserve">and support effective local climate adaptation planning. </w:t>
      </w:r>
    </w:p>
    <w:p w14:paraId="3B99050D" w14:textId="614872B6" w:rsidR="002F758A" w:rsidRPr="00EB27B7" w:rsidRDefault="002F758A" w:rsidP="002F758A">
      <w:pPr>
        <w:spacing w:line="240" w:lineRule="auto"/>
      </w:pPr>
      <w:r w:rsidRPr="55DEB025">
        <w:rPr>
          <w:b/>
          <w:bCs/>
        </w:rPr>
        <w:t>Primary Objective of the guidebook:</w:t>
      </w:r>
      <w:r>
        <w:br/>
      </w:r>
      <w:r w:rsidR="00311055">
        <w:t xml:space="preserve">Provide local and </w:t>
      </w:r>
      <w:r w:rsidR="006760C6">
        <w:t>regional governments and agencies</w:t>
      </w:r>
      <w:r w:rsidR="00311055">
        <w:t xml:space="preserve"> with practical guidance, tools, and strategies to support climate adaptation planning, including coordination across jurisdictions, understanding climate impacts, conducting vulnerability assessments, engaging communities, improving public safety, and identifying actions to reduce climate-related risks.</w:t>
      </w:r>
    </w:p>
    <w:p w14:paraId="7C5FC24F" w14:textId="77777777" w:rsidR="001D7912" w:rsidRDefault="00711A44" w:rsidP="001D7912">
      <w:pPr>
        <w:rPr>
          <w:b/>
        </w:rPr>
      </w:pPr>
      <w:r w:rsidRPr="007F16DF">
        <w:t>Public</w:t>
      </w:r>
      <w:r w:rsidRPr="007F16DF">
        <w:rPr>
          <w:spacing w:val="-1"/>
        </w:rPr>
        <w:t xml:space="preserve"> </w:t>
      </w:r>
      <w:r w:rsidRPr="007F16DF">
        <w:t>comment</w:t>
      </w:r>
      <w:r w:rsidRPr="007F16DF">
        <w:rPr>
          <w:spacing w:val="-1"/>
        </w:rPr>
        <w:t xml:space="preserve"> </w:t>
      </w:r>
      <w:r w:rsidRPr="007F16DF">
        <w:t>period ends</w:t>
      </w:r>
      <w:r w:rsidRPr="007F16DF">
        <w:rPr>
          <w:spacing w:val="-1"/>
        </w:rPr>
        <w:t xml:space="preserve"> </w:t>
      </w:r>
      <w:r w:rsidRPr="007F16DF">
        <w:rPr>
          <w:b/>
          <w:bCs/>
          <w:spacing w:val="-1"/>
        </w:rPr>
        <w:t>September 9</w:t>
      </w:r>
      <w:r w:rsidR="00713F13">
        <w:rPr>
          <w:b/>
          <w:bCs/>
          <w:spacing w:val="-1"/>
        </w:rPr>
        <w:t>, 2026</w:t>
      </w:r>
      <w:r w:rsidRPr="007F16DF">
        <w:rPr>
          <w:b/>
          <w:bCs/>
          <w:spacing w:val="-1"/>
        </w:rPr>
        <w:t>.</w:t>
      </w:r>
    </w:p>
    <w:p w14:paraId="10E44A66" w14:textId="1F82ED56" w:rsidR="00711A44" w:rsidRPr="001D7912" w:rsidRDefault="00711A44" w:rsidP="001D7912">
      <w:pPr>
        <w:rPr>
          <w:b/>
        </w:rPr>
      </w:pPr>
      <w:r w:rsidRPr="007F16DF">
        <w:t>Options</w:t>
      </w:r>
      <w:r w:rsidRPr="007F16DF">
        <w:rPr>
          <w:spacing w:val="-2"/>
        </w:rPr>
        <w:t xml:space="preserve"> </w:t>
      </w:r>
      <w:r w:rsidR="001D7912">
        <w:rPr>
          <w:spacing w:val="-2"/>
        </w:rPr>
        <w:t xml:space="preserve">for submitting written comments include: </w:t>
      </w:r>
    </w:p>
    <w:p w14:paraId="2106E49A" w14:textId="203BC0D0" w:rsidR="00711A44" w:rsidRPr="007F16DF" w:rsidRDefault="00711A44" w:rsidP="00656F4B">
      <w:pPr>
        <w:spacing w:line="240" w:lineRule="auto"/>
        <w:ind w:left="360"/>
        <w:rPr>
          <w:spacing w:val="-2"/>
        </w:rPr>
      </w:pPr>
      <w:r>
        <w:rPr>
          <w:spacing w:val="-2"/>
        </w:rPr>
        <w:tab/>
      </w:r>
      <w:r w:rsidRPr="007F16DF">
        <w:rPr>
          <w:spacing w:val="-2"/>
        </w:rPr>
        <w:t xml:space="preserve">Public </w:t>
      </w:r>
      <w:r w:rsidR="00656F4B">
        <w:rPr>
          <w:spacing w:val="-2"/>
        </w:rPr>
        <w:t>Input</w:t>
      </w:r>
      <w:r w:rsidRPr="007F16DF">
        <w:rPr>
          <w:spacing w:val="-2"/>
        </w:rPr>
        <w:t xml:space="preserve"> form:</w:t>
      </w:r>
      <w:r w:rsidR="00014907">
        <w:rPr>
          <w:spacing w:val="-2"/>
        </w:rPr>
        <w:t xml:space="preserve"> </w:t>
      </w:r>
      <w:hyperlink r:id="rId12" w:history="1">
        <w:r w:rsidR="00FD737F">
          <w:rPr>
            <w:rStyle w:val="Hyperlink"/>
            <w:spacing w:val="-2"/>
          </w:rPr>
          <w:t>Form</w:t>
        </w:r>
      </w:hyperlink>
    </w:p>
    <w:p w14:paraId="207CAE9B" w14:textId="0DE3C369" w:rsidR="00711A44" w:rsidRPr="00642FF4" w:rsidRDefault="00711A44" w:rsidP="00656F4B">
      <w:pPr>
        <w:spacing w:line="240" w:lineRule="auto"/>
        <w:ind w:left="360"/>
      </w:pPr>
      <w:r>
        <w:rPr>
          <w:i/>
          <w:iCs/>
          <w:spacing w:val="-2"/>
        </w:rPr>
        <w:tab/>
      </w:r>
      <w:r w:rsidRPr="00642FF4">
        <w:rPr>
          <w:spacing w:val="-2"/>
        </w:rPr>
        <w:t xml:space="preserve">Email: </w:t>
      </w:r>
      <w:hyperlink r:id="rId13" w:history="1">
        <w:r w:rsidRPr="00642FF4">
          <w:rPr>
            <w:rStyle w:val="Hyperlink"/>
          </w:rPr>
          <w:t>apg@caloes.ca.gov</w:t>
        </w:r>
      </w:hyperlink>
    </w:p>
    <w:p w14:paraId="68286B2C" w14:textId="77777777" w:rsidR="00BA024B" w:rsidRDefault="00711A44" w:rsidP="00656F4B">
      <w:pPr>
        <w:spacing w:line="240" w:lineRule="auto"/>
        <w:ind w:left="720"/>
      </w:pPr>
      <w:r w:rsidRPr="00642FF4">
        <w:rPr>
          <w:iCs/>
        </w:rPr>
        <w:t>Mail:</w:t>
      </w:r>
      <w:r w:rsidRPr="007F16DF">
        <w:rPr>
          <w:i/>
          <w:spacing w:val="-2"/>
        </w:rPr>
        <w:t xml:space="preserve"> </w:t>
      </w:r>
      <w:r w:rsidR="0095440E" w:rsidRPr="002333E6">
        <w:t>Governor’s Office of Emergency Services</w:t>
      </w:r>
      <w:r w:rsidR="0095440E" w:rsidRPr="002333E6">
        <w:br/>
        <w:t>10370 Peter A. McCuen Blvd. (Building E)</w:t>
      </w:r>
      <w:r w:rsidR="0095440E" w:rsidRPr="002333E6">
        <w:br/>
        <w:t>Mather, CA 95655</w:t>
      </w:r>
    </w:p>
    <w:p w14:paraId="2DF70BA8" w14:textId="37F7BC5C" w:rsidR="002F758A" w:rsidRPr="00BA024B" w:rsidRDefault="002F758A" w:rsidP="00656F4B">
      <w:pPr>
        <w:spacing w:line="240" w:lineRule="auto"/>
        <w:ind w:left="720"/>
        <w:sectPr w:rsidR="002F758A" w:rsidRPr="00BA024B" w:rsidSect="007141D7">
          <w:headerReference w:type="default" r:id="rId14"/>
          <w:footerReference w:type="even" r:id="rId15"/>
          <w:footerReference w:type="first" r:id="rId16"/>
          <w:pgSz w:w="12240" w:h="15840"/>
          <w:pgMar w:top="1440" w:right="1440" w:bottom="1512" w:left="1440" w:header="0" w:footer="994" w:gutter="0"/>
          <w:cols w:space="720"/>
        </w:sectPr>
      </w:pPr>
      <w:r>
        <w:t xml:space="preserve">Questions or concerns about the content should be directed to </w:t>
      </w:r>
      <w:hyperlink r:id="rId17" w:history="1">
        <w:r w:rsidR="0075124C" w:rsidRPr="007F7708">
          <w:rPr>
            <w:rStyle w:val="Hyperlink"/>
          </w:rPr>
          <w:t>apg@caloes.ca.gov</w:t>
        </w:r>
      </w:hyperlink>
      <w:r w:rsidR="0075124C">
        <w:t>.</w:t>
      </w:r>
    </w:p>
    <w:sdt>
      <w:sdtPr>
        <w:rPr>
          <w:rFonts w:eastAsiaTheme="minorEastAsia"/>
        </w:rPr>
        <w:id w:val="-1780715184"/>
        <w:docPartObj>
          <w:docPartGallery w:val="Table of Contents"/>
          <w:docPartUnique/>
        </w:docPartObj>
      </w:sdtPr>
      <w:sdtEndPr>
        <w:rPr>
          <w:b/>
          <w:bCs/>
        </w:rPr>
      </w:sdtEndPr>
      <w:sdtContent>
        <w:p w14:paraId="15477FFB" w14:textId="27DEA2C9" w:rsidR="002D19FF" w:rsidRPr="00A978CA" w:rsidRDefault="00F85E4B" w:rsidP="00166866">
          <w:pPr>
            <w:rPr>
              <w:rStyle w:val="TitleChar"/>
              <w:color w:val="0F4761" w:themeColor="accent1" w:themeShade="BF"/>
              <w:sz w:val="40"/>
              <w:szCs w:val="44"/>
            </w:rPr>
          </w:pPr>
          <w:r w:rsidRPr="00A978CA">
            <w:rPr>
              <w:rStyle w:val="TitleChar"/>
              <w:color w:val="0F4761" w:themeColor="accent1" w:themeShade="BF"/>
              <w:sz w:val="40"/>
              <w:szCs w:val="44"/>
            </w:rPr>
            <w:t>TABLE OF CONTENTS</w:t>
          </w:r>
        </w:p>
        <w:p w14:paraId="53B82B6D" w14:textId="320A43FC" w:rsidR="00A978CA" w:rsidRDefault="00DB1CB4">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35802655" w:history="1">
            <w:r w:rsidR="00A978CA" w:rsidRPr="00992D34">
              <w:rPr>
                <w:rStyle w:val="Hyperlink"/>
                <w:noProof/>
              </w:rPr>
              <w:t>INTRODUCTION</w:t>
            </w:r>
            <w:r w:rsidR="00A978CA">
              <w:rPr>
                <w:noProof/>
                <w:webHidden/>
              </w:rPr>
              <w:tab/>
            </w:r>
            <w:r w:rsidR="00A978CA">
              <w:rPr>
                <w:noProof/>
                <w:webHidden/>
              </w:rPr>
              <w:fldChar w:fldCharType="begin"/>
            </w:r>
            <w:r w:rsidR="00A978CA">
              <w:rPr>
                <w:noProof/>
                <w:webHidden/>
              </w:rPr>
              <w:instrText xml:space="preserve"> PAGEREF _Toc235802655 \h </w:instrText>
            </w:r>
            <w:r w:rsidR="00A978CA">
              <w:rPr>
                <w:noProof/>
                <w:webHidden/>
              </w:rPr>
            </w:r>
            <w:r w:rsidR="00A978CA">
              <w:rPr>
                <w:noProof/>
                <w:webHidden/>
              </w:rPr>
              <w:fldChar w:fldCharType="separate"/>
            </w:r>
            <w:r w:rsidR="00A978CA">
              <w:rPr>
                <w:noProof/>
                <w:webHidden/>
              </w:rPr>
              <w:t>7</w:t>
            </w:r>
            <w:r w:rsidR="00A978CA">
              <w:rPr>
                <w:noProof/>
                <w:webHidden/>
              </w:rPr>
              <w:fldChar w:fldCharType="end"/>
            </w:r>
          </w:hyperlink>
        </w:p>
        <w:p w14:paraId="5B66CD29" w14:textId="58A03F2A" w:rsidR="00A978CA" w:rsidRDefault="00A978CA">
          <w:pPr>
            <w:pStyle w:val="TOC2"/>
            <w:rPr>
              <w:rFonts w:asciiTheme="minorHAnsi" w:eastAsiaTheme="minorEastAsia" w:hAnsiTheme="minorHAnsi" w:cstheme="minorBidi"/>
              <w:b w:val="0"/>
              <w:noProof/>
              <w:kern w:val="2"/>
              <w14:ligatures w14:val="standardContextual"/>
            </w:rPr>
          </w:pPr>
          <w:hyperlink w:anchor="_Toc235802656" w:history="1">
            <w:r w:rsidRPr="00992D34">
              <w:rPr>
                <w:rStyle w:val="Hyperlink"/>
                <w:noProof/>
              </w:rPr>
              <w:t>What</w:t>
            </w:r>
            <w:r w:rsidRPr="00992D34">
              <w:rPr>
                <w:rStyle w:val="Hyperlink"/>
                <w:noProof/>
                <w:spacing w:val="-2"/>
              </w:rPr>
              <w:t xml:space="preserve"> </w:t>
            </w:r>
            <w:r w:rsidRPr="00992D34">
              <w:rPr>
                <w:rStyle w:val="Hyperlink"/>
                <w:noProof/>
              </w:rPr>
              <w:t>is</w:t>
            </w:r>
            <w:r w:rsidRPr="00992D34">
              <w:rPr>
                <w:rStyle w:val="Hyperlink"/>
                <w:noProof/>
                <w:spacing w:val="-3"/>
              </w:rPr>
              <w:t xml:space="preserve"> </w:t>
            </w:r>
            <w:r w:rsidRPr="00992D34">
              <w:rPr>
                <w:rStyle w:val="Hyperlink"/>
                <w:noProof/>
              </w:rPr>
              <w:t>the</w:t>
            </w:r>
            <w:r w:rsidRPr="00992D34">
              <w:rPr>
                <w:rStyle w:val="Hyperlink"/>
                <w:noProof/>
                <w:spacing w:val="-2"/>
              </w:rPr>
              <w:t xml:space="preserve"> </w:t>
            </w:r>
            <w:r w:rsidRPr="00992D34">
              <w:rPr>
                <w:rStyle w:val="Hyperlink"/>
                <w:noProof/>
                <w:spacing w:val="-4"/>
              </w:rPr>
              <w:t>APG?</w:t>
            </w:r>
            <w:r>
              <w:rPr>
                <w:noProof/>
                <w:webHidden/>
              </w:rPr>
              <w:tab/>
            </w:r>
            <w:r>
              <w:rPr>
                <w:noProof/>
                <w:webHidden/>
              </w:rPr>
              <w:fldChar w:fldCharType="begin"/>
            </w:r>
            <w:r>
              <w:rPr>
                <w:noProof/>
                <w:webHidden/>
              </w:rPr>
              <w:instrText xml:space="preserve"> PAGEREF _Toc235802656 \h </w:instrText>
            </w:r>
            <w:r>
              <w:rPr>
                <w:noProof/>
                <w:webHidden/>
              </w:rPr>
            </w:r>
            <w:r>
              <w:rPr>
                <w:noProof/>
                <w:webHidden/>
              </w:rPr>
              <w:fldChar w:fldCharType="separate"/>
            </w:r>
            <w:r>
              <w:rPr>
                <w:noProof/>
                <w:webHidden/>
              </w:rPr>
              <w:t>7</w:t>
            </w:r>
            <w:r>
              <w:rPr>
                <w:noProof/>
                <w:webHidden/>
              </w:rPr>
              <w:fldChar w:fldCharType="end"/>
            </w:r>
          </w:hyperlink>
        </w:p>
        <w:p w14:paraId="11D99290" w14:textId="2F0B0AEB" w:rsidR="00A978CA" w:rsidRDefault="00A978CA">
          <w:pPr>
            <w:pStyle w:val="TOC2"/>
            <w:rPr>
              <w:rFonts w:asciiTheme="minorHAnsi" w:eastAsiaTheme="minorEastAsia" w:hAnsiTheme="minorHAnsi" w:cstheme="minorBidi"/>
              <w:b w:val="0"/>
              <w:noProof/>
              <w:kern w:val="2"/>
              <w14:ligatures w14:val="standardContextual"/>
            </w:rPr>
          </w:pPr>
          <w:hyperlink w:anchor="_Toc235802657" w:history="1">
            <w:r w:rsidRPr="00992D34">
              <w:rPr>
                <w:rStyle w:val="Hyperlink"/>
                <w:noProof/>
              </w:rPr>
              <w:t>What’s New in the 2026 Adaptation Planning Guide</w:t>
            </w:r>
            <w:r>
              <w:rPr>
                <w:noProof/>
                <w:webHidden/>
              </w:rPr>
              <w:tab/>
            </w:r>
            <w:r>
              <w:rPr>
                <w:noProof/>
                <w:webHidden/>
              </w:rPr>
              <w:fldChar w:fldCharType="begin"/>
            </w:r>
            <w:r>
              <w:rPr>
                <w:noProof/>
                <w:webHidden/>
              </w:rPr>
              <w:instrText xml:space="preserve"> PAGEREF _Toc235802657 \h </w:instrText>
            </w:r>
            <w:r>
              <w:rPr>
                <w:noProof/>
                <w:webHidden/>
              </w:rPr>
            </w:r>
            <w:r>
              <w:rPr>
                <w:noProof/>
                <w:webHidden/>
              </w:rPr>
              <w:fldChar w:fldCharType="separate"/>
            </w:r>
            <w:r>
              <w:rPr>
                <w:noProof/>
                <w:webHidden/>
              </w:rPr>
              <w:t>10</w:t>
            </w:r>
            <w:r>
              <w:rPr>
                <w:noProof/>
                <w:webHidden/>
              </w:rPr>
              <w:fldChar w:fldCharType="end"/>
            </w:r>
          </w:hyperlink>
        </w:p>
        <w:p w14:paraId="62D84AAB" w14:textId="273571C9" w:rsidR="00A978CA" w:rsidRDefault="00A978CA">
          <w:pPr>
            <w:pStyle w:val="TOC2"/>
            <w:rPr>
              <w:rFonts w:asciiTheme="minorHAnsi" w:eastAsiaTheme="minorEastAsia" w:hAnsiTheme="minorHAnsi" w:cstheme="minorBidi"/>
              <w:b w:val="0"/>
              <w:noProof/>
              <w:kern w:val="2"/>
              <w14:ligatures w14:val="standardContextual"/>
            </w:rPr>
          </w:pPr>
          <w:hyperlink w:anchor="_Toc235802658" w:history="1">
            <w:r w:rsidRPr="00992D34">
              <w:rPr>
                <w:rStyle w:val="Hyperlink"/>
                <w:noProof/>
                <w:spacing w:val="-2"/>
              </w:rPr>
              <w:t>Who</w:t>
            </w:r>
            <w:r w:rsidRPr="00992D34">
              <w:rPr>
                <w:rStyle w:val="Hyperlink"/>
                <w:noProof/>
              </w:rPr>
              <w:t xml:space="preserve"> Is This Guide For?</w:t>
            </w:r>
            <w:r>
              <w:rPr>
                <w:noProof/>
                <w:webHidden/>
              </w:rPr>
              <w:tab/>
            </w:r>
            <w:r>
              <w:rPr>
                <w:noProof/>
                <w:webHidden/>
              </w:rPr>
              <w:fldChar w:fldCharType="begin"/>
            </w:r>
            <w:r>
              <w:rPr>
                <w:noProof/>
                <w:webHidden/>
              </w:rPr>
              <w:instrText xml:space="preserve"> PAGEREF _Toc235802658 \h </w:instrText>
            </w:r>
            <w:r>
              <w:rPr>
                <w:noProof/>
                <w:webHidden/>
              </w:rPr>
            </w:r>
            <w:r>
              <w:rPr>
                <w:noProof/>
                <w:webHidden/>
              </w:rPr>
              <w:fldChar w:fldCharType="separate"/>
            </w:r>
            <w:r>
              <w:rPr>
                <w:noProof/>
                <w:webHidden/>
              </w:rPr>
              <w:t>10</w:t>
            </w:r>
            <w:r>
              <w:rPr>
                <w:noProof/>
                <w:webHidden/>
              </w:rPr>
              <w:fldChar w:fldCharType="end"/>
            </w:r>
          </w:hyperlink>
        </w:p>
        <w:p w14:paraId="1EB57058" w14:textId="65E5C723" w:rsidR="00A978CA" w:rsidRDefault="00A978CA">
          <w:pPr>
            <w:pStyle w:val="TOC2"/>
            <w:rPr>
              <w:rFonts w:asciiTheme="minorHAnsi" w:eastAsiaTheme="minorEastAsia" w:hAnsiTheme="minorHAnsi" w:cstheme="minorBidi"/>
              <w:b w:val="0"/>
              <w:noProof/>
              <w:kern w:val="2"/>
              <w14:ligatures w14:val="standardContextual"/>
            </w:rPr>
          </w:pPr>
          <w:hyperlink w:anchor="_Toc235802659" w:history="1">
            <w:r w:rsidRPr="00992D34">
              <w:rPr>
                <w:rStyle w:val="Hyperlink"/>
                <w:noProof/>
                <w:spacing w:val="-7"/>
              </w:rPr>
              <w:t>Who</w:t>
            </w:r>
            <w:r w:rsidRPr="00992D34">
              <w:rPr>
                <w:rStyle w:val="Hyperlink"/>
                <w:noProof/>
              </w:rPr>
              <w:t xml:space="preserve"> </w:t>
            </w:r>
            <w:r w:rsidRPr="00992D34">
              <w:rPr>
                <w:rStyle w:val="Hyperlink"/>
                <w:noProof/>
                <w:spacing w:val="-7"/>
              </w:rPr>
              <w:t>Developed</w:t>
            </w:r>
            <w:r w:rsidRPr="00992D34">
              <w:rPr>
                <w:rStyle w:val="Hyperlink"/>
                <w:noProof/>
              </w:rPr>
              <w:t xml:space="preserve"> </w:t>
            </w:r>
            <w:r w:rsidRPr="00992D34">
              <w:rPr>
                <w:rStyle w:val="Hyperlink"/>
                <w:noProof/>
                <w:spacing w:val="-6"/>
              </w:rPr>
              <w:t>the</w:t>
            </w:r>
            <w:r w:rsidRPr="00992D34">
              <w:rPr>
                <w:rStyle w:val="Hyperlink"/>
                <w:noProof/>
              </w:rPr>
              <w:t xml:space="preserve"> </w:t>
            </w:r>
            <w:r w:rsidRPr="00992D34">
              <w:rPr>
                <w:rStyle w:val="Hyperlink"/>
                <w:noProof/>
                <w:spacing w:val="-7"/>
              </w:rPr>
              <w:t>APG</w:t>
            </w:r>
            <w:r w:rsidRPr="00992D34">
              <w:rPr>
                <w:rStyle w:val="Hyperlink"/>
                <w:noProof/>
              </w:rPr>
              <w:t xml:space="preserve"> </w:t>
            </w:r>
            <w:r w:rsidRPr="00992D34">
              <w:rPr>
                <w:rStyle w:val="Hyperlink"/>
                <w:noProof/>
                <w:spacing w:val="-6"/>
              </w:rPr>
              <w:t>and</w:t>
            </w:r>
            <w:r w:rsidRPr="00992D34">
              <w:rPr>
                <w:rStyle w:val="Hyperlink"/>
                <w:noProof/>
                <w:spacing w:val="-4"/>
              </w:rPr>
              <w:t xml:space="preserve"> Why?</w:t>
            </w:r>
            <w:r>
              <w:rPr>
                <w:noProof/>
                <w:webHidden/>
              </w:rPr>
              <w:tab/>
            </w:r>
            <w:r>
              <w:rPr>
                <w:noProof/>
                <w:webHidden/>
              </w:rPr>
              <w:fldChar w:fldCharType="begin"/>
            </w:r>
            <w:r>
              <w:rPr>
                <w:noProof/>
                <w:webHidden/>
              </w:rPr>
              <w:instrText xml:space="preserve"> PAGEREF _Toc235802659 \h </w:instrText>
            </w:r>
            <w:r>
              <w:rPr>
                <w:noProof/>
                <w:webHidden/>
              </w:rPr>
            </w:r>
            <w:r>
              <w:rPr>
                <w:noProof/>
                <w:webHidden/>
              </w:rPr>
              <w:fldChar w:fldCharType="separate"/>
            </w:r>
            <w:r>
              <w:rPr>
                <w:noProof/>
                <w:webHidden/>
              </w:rPr>
              <w:t>11</w:t>
            </w:r>
            <w:r>
              <w:rPr>
                <w:noProof/>
                <w:webHidden/>
              </w:rPr>
              <w:fldChar w:fldCharType="end"/>
            </w:r>
          </w:hyperlink>
        </w:p>
        <w:p w14:paraId="31A39ADD" w14:textId="40F1D53B" w:rsidR="00A978CA" w:rsidRDefault="00A978CA">
          <w:pPr>
            <w:pStyle w:val="TOC2"/>
            <w:rPr>
              <w:rFonts w:asciiTheme="minorHAnsi" w:eastAsiaTheme="minorEastAsia" w:hAnsiTheme="minorHAnsi" w:cstheme="minorBidi"/>
              <w:b w:val="0"/>
              <w:noProof/>
              <w:kern w:val="2"/>
              <w14:ligatures w14:val="standardContextual"/>
            </w:rPr>
          </w:pPr>
          <w:hyperlink w:anchor="_Toc235802660" w:history="1">
            <w:r w:rsidRPr="00992D34">
              <w:rPr>
                <w:rStyle w:val="Hyperlink"/>
                <w:noProof/>
              </w:rPr>
              <w:t>How To Use This Guide</w:t>
            </w:r>
            <w:r>
              <w:rPr>
                <w:noProof/>
                <w:webHidden/>
              </w:rPr>
              <w:tab/>
            </w:r>
            <w:r>
              <w:rPr>
                <w:noProof/>
                <w:webHidden/>
              </w:rPr>
              <w:fldChar w:fldCharType="begin"/>
            </w:r>
            <w:r>
              <w:rPr>
                <w:noProof/>
                <w:webHidden/>
              </w:rPr>
              <w:instrText xml:space="preserve"> PAGEREF _Toc235802660 \h </w:instrText>
            </w:r>
            <w:r>
              <w:rPr>
                <w:noProof/>
                <w:webHidden/>
              </w:rPr>
            </w:r>
            <w:r>
              <w:rPr>
                <w:noProof/>
                <w:webHidden/>
              </w:rPr>
              <w:fldChar w:fldCharType="separate"/>
            </w:r>
            <w:r>
              <w:rPr>
                <w:noProof/>
                <w:webHidden/>
              </w:rPr>
              <w:t>12</w:t>
            </w:r>
            <w:r>
              <w:rPr>
                <w:noProof/>
                <w:webHidden/>
              </w:rPr>
              <w:fldChar w:fldCharType="end"/>
            </w:r>
          </w:hyperlink>
        </w:p>
        <w:p w14:paraId="6C78E148" w14:textId="1AB697C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61" w:history="1">
            <w:r w:rsidRPr="00992D34">
              <w:rPr>
                <w:rStyle w:val="Hyperlink"/>
                <w:noProof/>
              </w:rPr>
              <w:t>Legal Requirements This Guide Supports</w:t>
            </w:r>
            <w:r>
              <w:rPr>
                <w:noProof/>
                <w:webHidden/>
              </w:rPr>
              <w:tab/>
            </w:r>
            <w:r>
              <w:rPr>
                <w:noProof/>
                <w:webHidden/>
              </w:rPr>
              <w:fldChar w:fldCharType="begin"/>
            </w:r>
            <w:r>
              <w:rPr>
                <w:noProof/>
                <w:webHidden/>
              </w:rPr>
              <w:instrText xml:space="preserve"> PAGEREF _Toc235802661 \h </w:instrText>
            </w:r>
            <w:r>
              <w:rPr>
                <w:noProof/>
                <w:webHidden/>
              </w:rPr>
            </w:r>
            <w:r>
              <w:rPr>
                <w:noProof/>
                <w:webHidden/>
              </w:rPr>
              <w:fldChar w:fldCharType="separate"/>
            </w:r>
            <w:r>
              <w:rPr>
                <w:noProof/>
                <w:webHidden/>
              </w:rPr>
              <w:t>15</w:t>
            </w:r>
            <w:r>
              <w:rPr>
                <w:noProof/>
                <w:webHidden/>
              </w:rPr>
              <w:fldChar w:fldCharType="end"/>
            </w:r>
          </w:hyperlink>
        </w:p>
        <w:p w14:paraId="74676E8E" w14:textId="194606EA" w:rsidR="00A978CA" w:rsidRDefault="00A978CA">
          <w:pPr>
            <w:pStyle w:val="TOC2"/>
            <w:rPr>
              <w:rFonts w:asciiTheme="minorHAnsi" w:eastAsiaTheme="minorEastAsia" w:hAnsiTheme="minorHAnsi" w:cstheme="minorBidi"/>
              <w:b w:val="0"/>
              <w:noProof/>
              <w:kern w:val="2"/>
              <w14:ligatures w14:val="standardContextual"/>
            </w:rPr>
          </w:pPr>
          <w:hyperlink w:anchor="_Toc235802662" w:history="1">
            <w:r w:rsidRPr="00992D34">
              <w:rPr>
                <w:rStyle w:val="Hyperlink"/>
                <w:noProof/>
              </w:rPr>
              <w:t>Pathways to Action</w:t>
            </w:r>
            <w:r>
              <w:rPr>
                <w:noProof/>
                <w:webHidden/>
              </w:rPr>
              <w:tab/>
            </w:r>
            <w:r>
              <w:rPr>
                <w:noProof/>
                <w:webHidden/>
              </w:rPr>
              <w:fldChar w:fldCharType="begin"/>
            </w:r>
            <w:r>
              <w:rPr>
                <w:noProof/>
                <w:webHidden/>
              </w:rPr>
              <w:instrText xml:space="preserve"> PAGEREF _Toc235802662 \h </w:instrText>
            </w:r>
            <w:r>
              <w:rPr>
                <w:noProof/>
                <w:webHidden/>
              </w:rPr>
            </w:r>
            <w:r>
              <w:rPr>
                <w:noProof/>
                <w:webHidden/>
              </w:rPr>
              <w:fldChar w:fldCharType="separate"/>
            </w:r>
            <w:r>
              <w:rPr>
                <w:noProof/>
                <w:webHidden/>
              </w:rPr>
              <w:t>15</w:t>
            </w:r>
            <w:r>
              <w:rPr>
                <w:noProof/>
                <w:webHidden/>
              </w:rPr>
              <w:fldChar w:fldCharType="end"/>
            </w:r>
          </w:hyperlink>
        </w:p>
        <w:p w14:paraId="3F0930E7" w14:textId="193656FC" w:rsidR="00A978CA" w:rsidRDefault="00A978CA">
          <w:pPr>
            <w:pStyle w:val="TOC2"/>
            <w:rPr>
              <w:rFonts w:asciiTheme="minorHAnsi" w:eastAsiaTheme="minorEastAsia" w:hAnsiTheme="minorHAnsi" w:cstheme="minorBidi"/>
              <w:b w:val="0"/>
              <w:noProof/>
              <w:kern w:val="2"/>
              <w14:ligatures w14:val="standardContextual"/>
            </w:rPr>
          </w:pPr>
          <w:hyperlink w:anchor="_Toc235802663" w:history="1">
            <w:r w:rsidRPr="00992D34">
              <w:rPr>
                <w:rStyle w:val="Hyperlink"/>
                <w:noProof/>
              </w:rPr>
              <w:t>What</w:t>
            </w:r>
            <w:r w:rsidRPr="00992D34">
              <w:rPr>
                <w:rStyle w:val="Hyperlink"/>
                <w:noProof/>
                <w:spacing w:val="-15"/>
              </w:rPr>
              <w:t xml:space="preserve"> </w:t>
            </w:r>
            <w:r w:rsidRPr="00992D34">
              <w:rPr>
                <w:rStyle w:val="Hyperlink"/>
                <w:noProof/>
              </w:rPr>
              <w:t>Is</w:t>
            </w:r>
            <w:r w:rsidRPr="00992D34">
              <w:rPr>
                <w:rStyle w:val="Hyperlink"/>
                <w:noProof/>
                <w:spacing w:val="-12"/>
              </w:rPr>
              <w:t xml:space="preserve"> </w:t>
            </w:r>
            <w:r w:rsidRPr="00992D34">
              <w:rPr>
                <w:rStyle w:val="Hyperlink"/>
                <w:noProof/>
              </w:rPr>
              <w:t>Climate</w:t>
            </w:r>
            <w:r w:rsidRPr="00992D34">
              <w:rPr>
                <w:rStyle w:val="Hyperlink"/>
                <w:noProof/>
                <w:spacing w:val="-12"/>
              </w:rPr>
              <w:t xml:space="preserve"> </w:t>
            </w:r>
            <w:r w:rsidRPr="00992D34">
              <w:rPr>
                <w:rStyle w:val="Hyperlink"/>
                <w:noProof/>
              </w:rPr>
              <w:t>Adaptation</w:t>
            </w:r>
            <w:r w:rsidRPr="00992D34">
              <w:rPr>
                <w:rStyle w:val="Hyperlink"/>
                <w:noProof/>
                <w:spacing w:val="-12"/>
              </w:rPr>
              <w:t xml:space="preserve"> </w:t>
            </w:r>
            <w:r w:rsidRPr="00992D34">
              <w:rPr>
                <w:rStyle w:val="Hyperlink"/>
                <w:noProof/>
                <w:spacing w:val="-2"/>
              </w:rPr>
              <w:t>Planning?</w:t>
            </w:r>
            <w:r>
              <w:rPr>
                <w:noProof/>
                <w:webHidden/>
              </w:rPr>
              <w:tab/>
            </w:r>
            <w:r>
              <w:rPr>
                <w:noProof/>
                <w:webHidden/>
              </w:rPr>
              <w:fldChar w:fldCharType="begin"/>
            </w:r>
            <w:r>
              <w:rPr>
                <w:noProof/>
                <w:webHidden/>
              </w:rPr>
              <w:instrText xml:space="preserve"> PAGEREF _Toc235802663 \h </w:instrText>
            </w:r>
            <w:r>
              <w:rPr>
                <w:noProof/>
                <w:webHidden/>
              </w:rPr>
            </w:r>
            <w:r>
              <w:rPr>
                <w:noProof/>
                <w:webHidden/>
              </w:rPr>
              <w:fldChar w:fldCharType="separate"/>
            </w:r>
            <w:r>
              <w:rPr>
                <w:noProof/>
                <w:webHidden/>
              </w:rPr>
              <w:t>20</w:t>
            </w:r>
            <w:r>
              <w:rPr>
                <w:noProof/>
                <w:webHidden/>
              </w:rPr>
              <w:fldChar w:fldCharType="end"/>
            </w:r>
          </w:hyperlink>
        </w:p>
        <w:p w14:paraId="5EA5D65F" w14:textId="10B83060"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64" w:history="1">
            <w:r w:rsidRPr="00992D34">
              <w:rPr>
                <w:rStyle w:val="Hyperlink"/>
                <w:iCs/>
                <w:noProof/>
              </w:rPr>
              <w:t>Climate Change Mitigation and Adaptation</w:t>
            </w:r>
            <w:r>
              <w:rPr>
                <w:noProof/>
                <w:webHidden/>
              </w:rPr>
              <w:tab/>
            </w:r>
            <w:r>
              <w:rPr>
                <w:noProof/>
                <w:webHidden/>
              </w:rPr>
              <w:fldChar w:fldCharType="begin"/>
            </w:r>
            <w:r>
              <w:rPr>
                <w:noProof/>
                <w:webHidden/>
              </w:rPr>
              <w:instrText xml:space="preserve"> PAGEREF _Toc235802664 \h </w:instrText>
            </w:r>
            <w:r>
              <w:rPr>
                <w:noProof/>
                <w:webHidden/>
              </w:rPr>
            </w:r>
            <w:r>
              <w:rPr>
                <w:noProof/>
                <w:webHidden/>
              </w:rPr>
              <w:fldChar w:fldCharType="separate"/>
            </w:r>
            <w:r>
              <w:rPr>
                <w:noProof/>
                <w:webHidden/>
              </w:rPr>
              <w:t>22</w:t>
            </w:r>
            <w:r>
              <w:rPr>
                <w:noProof/>
                <w:webHidden/>
              </w:rPr>
              <w:fldChar w:fldCharType="end"/>
            </w:r>
          </w:hyperlink>
        </w:p>
        <w:p w14:paraId="1B1DED28" w14:textId="675C842E" w:rsidR="00A978CA" w:rsidRDefault="00A978CA">
          <w:pPr>
            <w:pStyle w:val="TOC2"/>
            <w:rPr>
              <w:rFonts w:asciiTheme="minorHAnsi" w:eastAsiaTheme="minorEastAsia" w:hAnsiTheme="minorHAnsi" w:cstheme="minorBidi"/>
              <w:b w:val="0"/>
              <w:noProof/>
              <w:kern w:val="2"/>
              <w14:ligatures w14:val="standardContextual"/>
            </w:rPr>
          </w:pPr>
          <w:hyperlink w:anchor="_Toc235802665" w:history="1">
            <w:r w:rsidRPr="00992D34">
              <w:rPr>
                <w:rStyle w:val="Hyperlink"/>
                <w:noProof/>
              </w:rPr>
              <w:t>How</w:t>
            </w:r>
            <w:r w:rsidRPr="00992D34">
              <w:rPr>
                <w:rStyle w:val="Hyperlink"/>
                <w:noProof/>
                <w:spacing w:val="-16"/>
              </w:rPr>
              <w:t xml:space="preserve"> </w:t>
            </w:r>
            <w:r w:rsidRPr="00992D34">
              <w:rPr>
                <w:rStyle w:val="Hyperlink"/>
                <w:noProof/>
              </w:rPr>
              <w:t>is Equity Integrated into Climate Adaptation</w:t>
            </w:r>
            <w:r>
              <w:rPr>
                <w:noProof/>
                <w:webHidden/>
              </w:rPr>
              <w:tab/>
            </w:r>
            <w:r>
              <w:rPr>
                <w:noProof/>
                <w:webHidden/>
              </w:rPr>
              <w:fldChar w:fldCharType="begin"/>
            </w:r>
            <w:r>
              <w:rPr>
                <w:noProof/>
                <w:webHidden/>
              </w:rPr>
              <w:instrText xml:space="preserve"> PAGEREF _Toc235802665 \h </w:instrText>
            </w:r>
            <w:r>
              <w:rPr>
                <w:noProof/>
                <w:webHidden/>
              </w:rPr>
            </w:r>
            <w:r>
              <w:rPr>
                <w:noProof/>
                <w:webHidden/>
              </w:rPr>
              <w:fldChar w:fldCharType="separate"/>
            </w:r>
            <w:r>
              <w:rPr>
                <w:noProof/>
                <w:webHidden/>
              </w:rPr>
              <w:t>24</w:t>
            </w:r>
            <w:r>
              <w:rPr>
                <w:noProof/>
                <w:webHidden/>
              </w:rPr>
              <w:fldChar w:fldCharType="end"/>
            </w:r>
          </w:hyperlink>
        </w:p>
        <w:p w14:paraId="661FC78F" w14:textId="55C6C146" w:rsidR="00A978CA" w:rsidRDefault="00A978CA">
          <w:pPr>
            <w:pStyle w:val="TOC2"/>
            <w:rPr>
              <w:rFonts w:asciiTheme="minorHAnsi" w:eastAsiaTheme="minorEastAsia" w:hAnsiTheme="minorHAnsi" w:cstheme="minorBidi"/>
              <w:b w:val="0"/>
              <w:noProof/>
              <w:kern w:val="2"/>
              <w14:ligatures w14:val="standardContextual"/>
            </w:rPr>
          </w:pPr>
          <w:hyperlink w:anchor="_Toc235802666" w:history="1">
            <w:r w:rsidRPr="00992D34">
              <w:rPr>
                <w:rStyle w:val="Hyperlink"/>
                <w:noProof/>
              </w:rPr>
              <w:t>What is Plan Alignment?</w:t>
            </w:r>
            <w:r>
              <w:rPr>
                <w:noProof/>
                <w:webHidden/>
              </w:rPr>
              <w:tab/>
            </w:r>
            <w:r>
              <w:rPr>
                <w:noProof/>
                <w:webHidden/>
              </w:rPr>
              <w:fldChar w:fldCharType="begin"/>
            </w:r>
            <w:r>
              <w:rPr>
                <w:noProof/>
                <w:webHidden/>
              </w:rPr>
              <w:instrText xml:space="preserve"> PAGEREF _Toc235802666 \h </w:instrText>
            </w:r>
            <w:r>
              <w:rPr>
                <w:noProof/>
                <w:webHidden/>
              </w:rPr>
            </w:r>
            <w:r>
              <w:rPr>
                <w:noProof/>
                <w:webHidden/>
              </w:rPr>
              <w:fldChar w:fldCharType="separate"/>
            </w:r>
            <w:r>
              <w:rPr>
                <w:noProof/>
                <w:webHidden/>
              </w:rPr>
              <w:t>27</w:t>
            </w:r>
            <w:r>
              <w:rPr>
                <w:noProof/>
                <w:webHidden/>
              </w:rPr>
              <w:fldChar w:fldCharType="end"/>
            </w:r>
          </w:hyperlink>
        </w:p>
        <w:p w14:paraId="6C37A358" w14:textId="00B54DD5"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67" w:history="1">
            <w:r w:rsidRPr="00992D34">
              <w:rPr>
                <w:rStyle w:val="Hyperlink"/>
                <w:noProof/>
              </w:rPr>
              <w:t>Additional Resources</w:t>
            </w:r>
            <w:r>
              <w:rPr>
                <w:noProof/>
                <w:webHidden/>
              </w:rPr>
              <w:tab/>
            </w:r>
            <w:r>
              <w:rPr>
                <w:noProof/>
                <w:webHidden/>
              </w:rPr>
              <w:fldChar w:fldCharType="begin"/>
            </w:r>
            <w:r>
              <w:rPr>
                <w:noProof/>
                <w:webHidden/>
              </w:rPr>
              <w:instrText xml:space="preserve"> PAGEREF _Toc235802667 \h </w:instrText>
            </w:r>
            <w:r>
              <w:rPr>
                <w:noProof/>
                <w:webHidden/>
              </w:rPr>
            </w:r>
            <w:r>
              <w:rPr>
                <w:noProof/>
                <w:webHidden/>
              </w:rPr>
              <w:fldChar w:fldCharType="separate"/>
            </w:r>
            <w:r>
              <w:rPr>
                <w:noProof/>
                <w:webHidden/>
              </w:rPr>
              <w:t>29</w:t>
            </w:r>
            <w:r>
              <w:rPr>
                <w:noProof/>
                <w:webHidden/>
              </w:rPr>
              <w:fldChar w:fldCharType="end"/>
            </w:r>
          </w:hyperlink>
        </w:p>
        <w:p w14:paraId="2D82647A" w14:textId="76D84968" w:rsidR="00A978CA" w:rsidRDefault="00A978CA">
          <w:pPr>
            <w:pStyle w:val="TOC2"/>
            <w:rPr>
              <w:rFonts w:asciiTheme="minorHAnsi" w:eastAsiaTheme="minorEastAsia" w:hAnsiTheme="minorHAnsi" w:cstheme="minorBidi"/>
              <w:b w:val="0"/>
              <w:noProof/>
              <w:kern w:val="2"/>
              <w14:ligatures w14:val="standardContextual"/>
            </w:rPr>
          </w:pPr>
          <w:hyperlink w:anchor="_Toc235802668" w:history="1">
            <w:r w:rsidRPr="00992D34">
              <w:rPr>
                <w:rStyle w:val="Hyperlink"/>
                <w:noProof/>
              </w:rPr>
              <w:t>How is California Vulnerable to Climate Change?</w:t>
            </w:r>
            <w:r>
              <w:rPr>
                <w:noProof/>
                <w:webHidden/>
              </w:rPr>
              <w:tab/>
            </w:r>
            <w:r>
              <w:rPr>
                <w:noProof/>
                <w:webHidden/>
              </w:rPr>
              <w:fldChar w:fldCharType="begin"/>
            </w:r>
            <w:r>
              <w:rPr>
                <w:noProof/>
                <w:webHidden/>
              </w:rPr>
              <w:instrText xml:space="preserve"> PAGEREF _Toc235802668 \h </w:instrText>
            </w:r>
            <w:r>
              <w:rPr>
                <w:noProof/>
                <w:webHidden/>
              </w:rPr>
            </w:r>
            <w:r>
              <w:rPr>
                <w:noProof/>
                <w:webHidden/>
              </w:rPr>
              <w:fldChar w:fldCharType="separate"/>
            </w:r>
            <w:r>
              <w:rPr>
                <w:noProof/>
                <w:webHidden/>
              </w:rPr>
              <w:t>30</w:t>
            </w:r>
            <w:r>
              <w:rPr>
                <w:noProof/>
                <w:webHidden/>
              </w:rPr>
              <w:fldChar w:fldCharType="end"/>
            </w:r>
          </w:hyperlink>
        </w:p>
        <w:p w14:paraId="7E555962" w14:textId="275D87D0"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669" w:history="1">
            <w:r w:rsidRPr="00992D34">
              <w:rPr>
                <w:rStyle w:val="Hyperlink"/>
                <w:noProof/>
              </w:rPr>
              <w:t>PHASE 1: DEFINE, ASSESS, AND INITIATE</w:t>
            </w:r>
            <w:r>
              <w:rPr>
                <w:noProof/>
                <w:webHidden/>
              </w:rPr>
              <w:tab/>
            </w:r>
            <w:r>
              <w:rPr>
                <w:noProof/>
                <w:webHidden/>
              </w:rPr>
              <w:fldChar w:fldCharType="begin"/>
            </w:r>
            <w:r>
              <w:rPr>
                <w:noProof/>
                <w:webHidden/>
              </w:rPr>
              <w:instrText xml:space="preserve"> PAGEREF _Toc235802669 \h </w:instrText>
            </w:r>
            <w:r>
              <w:rPr>
                <w:noProof/>
                <w:webHidden/>
              </w:rPr>
            </w:r>
            <w:r>
              <w:rPr>
                <w:noProof/>
                <w:webHidden/>
              </w:rPr>
              <w:fldChar w:fldCharType="separate"/>
            </w:r>
            <w:r>
              <w:rPr>
                <w:noProof/>
                <w:webHidden/>
              </w:rPr>
              <w:t>31</w:t>
            </w:r>
            <w:r>
              <w:rPr>
                <w:noProof/>
                <w:webHidden/>
              </w:rPr>
              <w:fldChar w:fldCharType="end"/>
            </w:r>
          </w:hyperlink>
        </w:p>
        <w:p w14:paraId="2B53063B" w14:textId="2EA4CB9A" w:rsidR="00A978CA" w:rsidRDefault="00A978CA">
          <w:pPr>
            <w:pStyle w:val="TOC2"/>
            <w:rPr>
              <w:rFonts w:asciiTheme="minorHAnsi" w:eastAsiaTheme="minorEastAsia" w:hAnsiTheme="minorHAnsi" w:cstheme="minorBidi"/>
              <w:b w:val="0"/>
              <w:noProof/>
              <w:kern w:val="2"/>
              <w14:ligatures w14:val="standardContextual"/>
            </w:rPr>
          </w:pPr>
          <w:hyperlink w:anchor="_Toc235802670" w:history="1">
            <w:r w:rsidRPr="00992D34">
              <w:rPr>
                <w:rStyle w:val="Hyperlink"/>
                <w:noProof/>
              </w:rPr>
              <w:t>Step</w:t>
            </w:r>
            <w:r w:rsidRPr="00992D34">
              <w:rPr>
                <w:rStyle w:val="Hyperlink"/>
                <w:noProof/>
                <w:spacing w:val="-21"/>
              </w:rPr>
              <w:t xml:space="preserve"> </w:t>
            </w:r>
            <w:r w:rsidRPr="00992D34">
              <w:rPr>
                <w:rStyle w:val="Hyperlink"/>
                <w:noProof/>
              </w:rPr>
              <w:t>1.1:</w:t>
            </w:r>
            <w:r w:rsidRPr="00992D34">
              <w:rPr>
                <w:rStyle w:val="Hyperlink"/>
                <w:noProof/>
                <w:spacing w:val="-21"/>
              </w:rPr>
              <w:t xml:space="preserve"> </w:t>
            </w:r>
            <w:r w:rsidRPr="00992D34">
              <w:rPr>
                <w:rStyle w:val="Hyperlink"/>
                <w:noProof/>
              </w:rPr>
              <w:t>Identify the Purpose and Scope of the Adaptation Plan</w:t>
            </w:r>
            <w:r>
              <w:rPr>
                <w:noProof/>
                <w:webHidden/>
              </w:rPr>
              <w:tab/>
            </w:r>
            <w:r>
              <w:rPr>
                <w:noProof/>
                <w:webHidden/>
              </w:rPr>
              <w:fldChar w:fldCharType="begin"/>
            </w:r>
            <w:r>
              <w:rPr>
                <w:noProof/>
                <w:webHidden/>
              </w:rPr>
              <w:instrText xml:space="preserve"> PAGEREF _Toc235802670 \h </w:instrText>
            </w:r>
            <w:r>
              <w:rPr>
                <w:noProof/>
                <w:webHidden/>
              </w:rPr>
            </w:r>
            <w:r>
              <w:rPr>
                <w:noProof/>
                <w:webHidden/>
              </w:rPr>
              <w:fldChar w:fldCharType="separate"/>
            </w:r>
            <w:r>
              <w:rPr>
                <w:noProof/>
                <w:webHidden/>
              </w:rPr>
              <w:t>32</w:t>
            </w:r>
            <w:r>
              <w:rPr>
                <w:noProof/>
                <w:webHidden/>
              </w:rPr>
              <w:fldChar w:fldCharType="end"/>
            </w:r>
          </w:hyperlink>
        </w:p>
        <w:p w14:paraId="2B22C234" w14:textId="0AB6CC0C"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1" w:history="1">
            <w:r w:rsidRPr="00992D34">
              <w:rPr>
                <w:rStyle w:val="Hyperlink"/>
                <w:noProof/>
              </w:rPr>
              <w:t>Step 1.1A:</w:t>
            </w:r>
            <w:r w:rsidRPr="00992D34">
              <w:rPr>
                <w:rStyle w:val="Hyperlink"/>
                <w:noProof/>
                <w:spacing w:val="-7"/>
              </w:rPr>
              <w:t xml:space="preserve"> </w:t>
            </w:r>
            <w:r w:rsidRPr="00992D34">
              <w:rPr>
                <w:rStyle w:val="Hyperlink"/>
                <w:noProof/>
              </w:rPr>
              <w:t xml:space="preserve">What </w:t>
            </w:r>
            <w:r w:rsidRPr="00992D34">
              <w:rPr>
                <w:rStyle w:val="Hyperlink"/>
                <w:noProof/>
                <w:spacing w:val="-7"/>
              </w:rPr>
              <w:t>Plan</w:t>
            </w:r>
            <w:r w:rsidRPr="00992D34">
              <w:rPr>
                <w:rStyle w:val="Hyperlink"/>
                <w:noProof/>
              </w:rPr>
              <w:t xml:space="preserve"> </w:t>
            </w:r>
            <w:r w:rsidRPr="00992D34">
              <w:rPr>
                <w:rStyle w:val="Hyperlink"/>
                <w:noProof/>
                <w:spacing w:val="-7"/>
              </w:rPr>
              <w:t>or Project Will</w:t>
            </w:r>
            <w:r w:rsidRPr="00992D34">
              <w:rPr>
                <w:rStyle w:val="Hyperlink"/>
                <w:noProof/>
              </w:rPr>
              <w:t xml:space="preserve"> This Process Produce</w:t>
            </w:r>
            <w:r>
              <w:rPr>
                <w:noProof/>
                <w:webHidden/>
              </w:rPr>
              <w:tab/>
            </w:r>
            <w:r>
              <w:rPr>
                <w:noProof/>
                <w:webHidden/>
              </w:rPr>
              <w:fldChar w:fldCharType="begin"/>
            </w:r>
            <w:r>
              <w:rPr>
                <w:noProof/>
                <w:webHidden/>
              </w:rPr>
              <w:instrText xml:space="preserve"> PAGEREF _Toc235802671 \h </w:instrText>
            </w:r>
            <w:r>
              <w:rPr>
                <w:noProof/>
                <w:webHidden/>
              </w:rPr>
            </w:r>
            <w:r>
              <w:rPr>
                <w:noProof/>
                <w:webHidden/>
              </w:rPr>
              <w:fldChar w:fldCharType="separate"/>
            </w:r>
            <w:r>
              <w:rPr>
                <w:noProof/>
                <w:webHidden/>
              </w:rPr>
              <w:t>32</w:t>
            </w:r>
            <w:r>
              <w:rPr>
                <w:noProof/>
                <w:webHidden/>
              </w:rPr>
              <w:fldChar w:fldCharType="end"/>
            </w:r>
          </w:hyperlink>
        </w:p>
        <w:p w14:paraId="6F810447" w14:textId="2B054B89"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2" w:history="1">
            <w:r w:rsidRPr="00992D34">
              <w:rPr>
                <w:rStyle w:val="Hyperlink"/>
                <w:noProof/>
              </w:rPr>
              <w:t>Step 1.1B: What Does Adaptation and Resilience Mean to the Community?</w:t>
            </w:r>
            <w:r>
              <w:rPr>
                <w:noProof/>
                <w:webHidden/>
              </w:rPr>
              <w:tab/>
            </w:r>
            <w:r>
              <w:rPr>
                <w:noProof/>
                <w:webHidden/>
              </w:rPr>
              <w:fldChar w:fldCharType="begin"/>
            </w:r>
            <w:r>
              <w:rPr>
                <w:noProof/>
                <w:webHidden/>
              </w:rPr>
              <w:instrText xml:space="preserve"> PAGEREF _Toc235802672 \h </w:instrText>
            </w:r>
            <w:r>
              <w:rPr>
                <w:noProof/>
                <w:webHidden/>
              </w:rPr>
            </w:r>
            <w:r>
              <w:rPr>
                <w:noProof/>
                <w:webHidden/>
              </w:rPr>
              <w:fldChar w:fldCharType="separate"/>
            </w:r>
            <w:r>
              <w:rPr>
                <w:noProof/>
                <w:webHidden/>
              </w:rPr>
              <w:t>35</w:t>
            </w:r>
            <w:r>
              <w:rPr>
                <w:noProof/>
                <w:webHidden/>
              </w:rPr>
              <w:fldChar w:fldCharType="end"/>
            </w:r>
          </w:hyperlink>
        </w:p>
        <w:p w14:paraId="438E0B42" w14:textId="0C8C60CE"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3" w:history="1">
            <w:r w:rsidRPr="00992D34">
              <w:rPr>
                <w:rStyle w:val="Hyperlink"/>
                <w:noProof/>
              </w:rPr>
              <w:t>Step 1.1C: Define the Planning Area</w:t>
            </w:r>
            <w:r>
              <w:rPr>
                <w:noProof/>
                <w:webHidden/>
              </w:rPr>
              <w:tab/>
            </w:r>
            <w:r>
              <w:rPr>
                <w:noProof/>
                <w:webHidden/>
              </w:rPr>
              <w:fldChar w:fldCharType="begin"/>
            </w:r>
            <w:r>
              <w:rPr>
                <w:noProof/>
                <w:webHidden/>
              </w:rPr>
              <w:instrText xml:space="preserve"> PAGEREF _Toc235802673 \h </w:instrText>
            </w:r>
            <w:r>
              <w:rPr>
                <w:noProof/>
                <w:webHidden/>
              </w:rPr>
            </w:r>
            <w:r>
              <w:rPr>
                <w:noProof/>
                <w:webHidden/>
              </w:rPr>
              <w:fldChar w:fldCharType="separate"/>
            </w:r>
            <w:r>
              <w:rPr>
                <w:noProof/>
                <w:webHidden/>
              </w:rPr>
              <w:t>38</w:t>
            </w:r>
            <w:r>
              <w:rPr>
                <w:noProof/>
                <w:webHidden/>
              </w:rPr>
              <w:fldChar w:fldCharType="end"/>
            </w:r>
          </w:hyperlink>
        </w:p>
        <w:p w14:paraId="3B52B95F" w14:textId="0D7576E6" w:rsidR="00A978CA" w:rsidRDefault="00A978CA">
          <w:pPr>
            <w:pStyle w:val="TOC2"/>
            <w:rPr>
              <w:rFonts w:asciiTheme="minorHAnsi" w:eastAsiaTheme="minorEastAsia" w:hAnsiTheme="minorHAnsi" w:cstheme="minorBidi"/>
              <w:b w:val="0"/>
              <w:noProof/>
              <w:kern w:val="2"/>
              <w14:ligatures w14:val="standardContextual"/>
            </w:rPr>
          </w:pPr>
          <w:hyperlink w:anchor="_Toc235802674" w:history="1">
            <w:r w:rsidRPr="00992D34">
              <w:rPr>
                <w:rStyle w:val="Hyperlink"/>
                <w:noProof/>
              </w:rPr>
              <w:t>Step 1.2: Assemble the Planning Team and Resources</w:t>
            </w:r>
            <w:r>
              <w:rPr>
                <w:noProof/>
                <w:webHidden/>
              </w:rPr>
              <w:tab/>
            </w:r>
            <w:r>
              <w:rPr>
                <w:noProof/>
                <w:webHidden/>
              </w:rPr>
              <w:fldChar w:fldCharType="begin"/>
            </w:r>
            <w:r>
              <w:rPr>
                <w:noProof/>
                <w:webHidden/>
              </w:rPr>
              <w:instrText xml:space="preserve"> PAGEREF _Toc235802674 \h </w:instrText>
            </w:r>
            <w:r>
              <w:rPr>
                <w:noProof/>
                <w:webHidden/>
              </w:rPr>
            </w:r>
            <w:r>
              <w:rPr>
                <w:noProof/>
                <w:webHidden/>
              </w:rPr>
              <w:fldChar w:fldCharType="separate"/>
            </w:r>
            <w:r>
              <w:rPr>
                <w:noProof/>
                <w:webHidden/>
              </w:rPr>
              <w:t>40</w:t>
            </w:r>
            <w:r>
              <w:rPr>
                <w:noProof/>
                <w:webHidden/>
              </w:rPr>
              <w:fldChar w:fldCharType="end"/>
            </w:r>
          </w:hyperlink>
        </w:p>
        <w:p w14:paraId="6F9E358B" w14:textId="505BB476"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5" w:history="1">
            <w:r w:rsidRPr="00992D34">
              <w:rPr>
                <w:rStyle w:val="Hyperlink"/>
                <w:noProof/>
              </w:rPr>
              <w:t>Step 1.2A: Assessing Capacity</w:t>
            </w:r>
            <w:r>
              <w:rPr>
                <w:noProof/>
                <w:webHidden/>
              </w:rPr>
              <w:tab/>
            </w:r>
            <w:r>
              <w:rPr>
                <w:noProof/>
                <w:webHidden/>
              </w:rPr>
              <w:fldChar w:fldCharType="begin"/>
            </w:r>
            <w:r>
              <w:rPr>
                <w:noProof/>
                <w:webHidden/>
              </w:rPr>
              <w:instrText xml:space="preserve"> PAGEREF _Toc235802675 \h </w:instrText>
            </w:r>
            <w:r>
              <w:rPr>
                <w:noProof/>
                <w:webHidden/>
              </w:rPr>
            </w:r>
            <w:r>
              <w:rPr>
                <w:noProof/>
                <w:webHidden/>
              </w:rPr>
              <w:fldChar w:fldCharType="separate"/>
            </w:r>
            <w:r>
              <w:rPr>
                <w:noProof/>
                <w:webHidden/>
              </w:rPr>
              <w:t>40</w:t>
            </w:r>
            <w:r>
              <w:rPr>
                <w:noProof/>
                <w:webHidden/>
              </w:rPr>
              <w:fldChar w:fldCharType="end"/>
            </w:r>
          </w:hyperlink>
        </w:p>
        <w:p w14:paraId="23791301" w14:textId="15BB28C6"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6" w:history="1">
            <w:r w:rsidRPr="00992D34">
              <w:rPr>
                <w:rStyle w:val="Hyperlink"/>
                <w:noProof/>
              </w:rPr>
              <w:t>Step 1.2B: Establishing a Budget to Fund the Adaptation Planning Process</w:t>
            </w:r>
            <w:r>
              <w:rPr>
                <w:noProof/>
                <w:webHidden/>
              </w:rPr>
              <w:tab/>
            </w:r>
            <w:r>
              <w:rPr>
                <w:noProof/>
                <w:webHidden/>
              </w:rPr>
              <w:fldChar w:fldCharType="begin"/>
            </w:r>
            <w:r>
              <w:rPr>
                <w:noProof/>
                <w:webHidden/>
              </w:rPr>
              <w:instrText xml:space="preserve"> PAGEREF _Toc235802676 \h </w:instrText>
            </w:r>
            <w:r>
              <w:rPr>
                <w:noProof/>
                <w:webHidden/>
              </w:rPr>
            </w:r>
            <w:r>
              <w:rPr>
                <w:noProof/>
                <w:webHidden/>
              </w:rPr>
              <w:fldChar w:fldCharType="separate"/>
            </w:r>
            <w:r>
              <w:rPr>
                <w:noProof/>
                <w:webHidden/>
              </w:rPr>
              <w:t>40</w:t>
            </w:r>
            <w:r>
              <w:rPr>
                <w:noProof/>
                <w:webHidden/>
              </w:rPr>
              <w:fldChar w:fldCharType="end"/>
            </w:r>
          </w:hyperlink>
        </w:p>
        <w:p w14:paraId="76DACA6D" w14:textId="58C78A6F"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7" w:history="1">
            <w:r w:rsidRPr="00992D34">
              <w:rPr>
                <w:rStyle w:val="Hyperlink"/>
                <w:noProof/>
              </w:rPr>
              <w:t>Step 1.2C: Assembling the Planning Team</w:t>
            </w:r>
            <w:r>
              <w:rPr>
                <w:noProof/>
                <w:webHidden/>
              </w:rPr>
              <w:tab/>
            </w:r>
            <w:r>
              <w:rPr>
                <w:noProof/>
                <w:webHidden/>
              </w:rPr>
              <w:fldChar w:fldCharType="begin"/>
            </w:r>
            <w:r>
              <w:rPr>
                <w:noProof/>
                <w:webHidden/>
              </w:rPr>
              <w:instrText xml:space="preserve"> PAGEREF _Toc235802677 \h </w:instrText>
            </w:r>
            <w:r>
              <w:rPr>
                <w:noProof/>
                <w:webHidden/>
              </w:rPr>
            </w:r>
            <w:r>
              <w:rPr>
                <w:noProof/>
                <w:webHidden/>
              </w:rPr>
              <w:fldChar w:fldCharType="separate"/>
            </w:r>
            <w:r>
              <w:rPr>
                <w:noProof/>
                <w:webHidden/>
              </w:rPr>
              <w:t>41</w:t>
            </w:r>
            <w:r>
              <w:rPr>
                <w:noProof/>
                <w:webHidden/>
              </w:rPr>
              <w:fldChar w:fldCharType="end"/>
            </w:r>
          </w:hyperlink>
        </w:p>
        <w:p w14:paraId="4294B939" w14:textId="52A16D34" w:rsidR="00A978CA" w:rsidRDefault="00A978CA">
          <w:pPr>
            <w:pStyle w:val="TOC2"/>
            <w:rPr>
              <w:rFonts w:asciiTheme="minorHAnsi" w:eastAsiaTheme="minorEastAsia" w:hAnsiTheme="minorHAnsi" w:cstheme="minorBidi"/>
              <w:b w:val="0"/>
              <w:noProof/>
              <w:kern w:val="2"/>
              <w14:ligatures w14:val="standardContextual"/>
            </w:rPr>
          </w:pPr>
          <w:hyperlink w:anchor="_Toc235802678" w:history="1">
            <w:r w:rsidRPr="00992D34">
              <w:rPr>
                <w:rStyle w:val="Hyperlink"/>
                <w:noProof/>
              </w:rPr>
              <w:t>Step</w:t>
            </w:r>
            <w:r w:rsidRPr="00992D34">
              <w:rPr>
                <w:rStyle w:val="Hyperlink"/>
                <w:noProof/>
                <w:spacing w:val="-16"/>
              </w:rPr>
              <w:t xml:space="preserve"> </w:t>
            </w:r>
            <w:r w:rsidRPr="00992D34">
              <w:rPr>
                <w:rStyle w:val="Hyperlink"/>
                <w:noProof/>
              </w:rPr>
              <w:t>1.3:</w:t>
            </w:r>
            <w:r w:rsidRPr="00992D34">
              <w:rPr>
                <w:rStyle w:val="Hyperlink"/>
                <w:noProof/>
                <w:spacing w:val="-16"/>
              </w:rPr>
              <w:t xml:space="preserve"> </w:t>
            </w:r>
            <w:r w:rsidRPr="00992D34">
              <w:rPr>
                <w:rStyle w:val="Hyperlink"/>
                <w:noProof/>
              </w:rPr>
              <w:t>Prepare</w:t>
            </w:r>
            <w:r w:rsidRPr="00992D34">
              <w:rPr>
                <w:rStyle w:val="Hyperlink"/>
                <w:noProof/>
                <w:spacing w:val="-16"/>
              </w:rPr>
              <w:t xml:space="preserve"> </w:t>
            </w:r>
            <w:r w:rsidRPr="00992D34">
              <w:rPr>
                <w:rStyle w:val="Hyperlink"/>
                <w:noProof/>
              </w:rPr>
              <w:t>an</w:t>
            </w:r>
            <w:r w:rsidRPr="00992D34">
              <w:rPr>
                <w:rStyle w:val="Hyperlink"/>
                <w:noProof/>
                <w:spacing w:val="-16"/>
              </w:rPr>
              <w:t xml:space="preserve"> </w:t>
            </w:r>
            <w:r w:rsidRPr="00992D34">
              <w:rPr>
                <w:rStyle w:val="Hyperlink"/>
                <w:noProof/>
              </w:rPr>
              <w:t>Equitable</w:t>
            </w:r>
            <w:r w:rsidRPr="00992D34">
              <w:rPr>
                <w:rStyle w:val="Hyperlink"/>
                <w:noProof/>
                <w:spacing w:val="-16"/>
              </w:rPr>
              <w:t xml:space="preserve"> </w:t>
            </w:r>
            <w:r w:rsidRPr="00992D34">
              <w:rPr>
                <w:rStyle w:val="Hyperlink"/>
                <w:noProof/>
              </w:rPr>
              <w:t>Outreach</w:t>
            </w:r>
            <w:r w:rsidRPr="00992D34">
              <w:rPr>
                <w:rStyle w:val="Hyperlink"/>
                <w:noProof/>
                <w:spacing w:val="-16"/>
              </w:rPr>
              <w:t xml:space="preserve"> </w:t>
            </w:r>
            <w:r w:rsidRPr="00992D34">
              <w:rPr>
                <w:rStyle w:val="Hyperlink"/>
                <w:noProof/>
              </w:rPr>
              <w:t>and</w:t>
            </w:r>
            <w:r w:rsidRPr="00992D34">
              <w:rPr>
                <w:rStyle w:val="Hyperlink"/>
                <w:noProof/>
                <w:spacing w:val="-16"/>
              </w:rPr>
              <w:t xml:space="preserve"> </w:t>
            </w:r>
            <w:r w:rsidRPr="00992D34">
              <w:rPr>
                <w:rStyle w:val="Hyperlink"/>
                <w:noProof/>
              </w:rPr>
              <w:t xml:space="preserve">Engagement </w:t>
            </w:r>
            <w:r w:rsidRPr="00992D34">
              <w:rPr>
                <w:rStyle w:val="Hyperlink"/>
                <w:noProof/>
                <w:spacing w:val="-2"/>
              </w:rPr>
              <w:t>Approach</w:t>
            </w:r>
            <w:r>
              <w:rPr>
                <w:noProof/>
                <w:webHidden/>
              </w:rPr>
              <w:tab/>
            </w:r>
            <w:r>
              <w:rPr>
                <w:noProof/>
                <w:webHidden/>
              </w:rPr>
              <w:fldChar w:fldCharType="begin"/>
            </w:r>
            <w:r>
              <w:rPr>
                <w:noProof/>
                <w:webHidden/>
              </w:rPr>
              <w:instrText xml:space="preserve"> PAGEREF _Toc235802678 \h </w:instrText>
            </w:r>
            <w:r>
              <w:rPr>
                <w:noProof/>
                <w:webHidden/>
              </w:rPr>
            </w:r>
            <w:r>
              <w:rPr>
                <w:noProof/>
                <w:webHidden/>
              </w:rPr>
              <w:fldChar w:fldCharType="separate"/>
            </w:r>
            <w:r>
              <w:rPr>
                <w:noProof/>
                <w:webHidden/>
              </w:rPr>
              <w:t>45</w:t>
            </w:r>
            <w:r>
              <w:rPr>
                <w:noProof/>
                <w:webHidden/>
              </w:rPr>
              <w:fldChar w:fldCharType="end"/>
            </w:r>
          </w:hyperlink>
        </w:p>
        <w:p w14:paraId="5E92A2D6" w14:textId="62E7843A"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79" w:history="1">
            <w:r w:rsidRPr="00992D34">
              <w:rPr>
                <w:rStyle w:val="Hyperlink"/>
                <w:noProof/>
              </w:rPr>
              <w:t>Step 1.3A: Identify Partners</w:t>
            </w:r>
            <w:r>
              <w:rPr>
                <w:noProof/>
                <w:webHidden/>
              </w:rPr>
              <w:tab/>
            </w:r>
            <w:r>
              <w:rPr>
                <w:noProof/>
                <w:webHidden/>
              </w:rPr>
              <w:fldChar w:fldCharType="begin"/>
            </w:r>
            <w:r>
              <w:rPr>
                <w:noProof/>
                <w:webHidden/>
              </w:rPr>
              <w:instrText xml:space="preserve"> PAGEREF _Toc235802679 \h </w:instrText>
            </w:r>
            <w:r>
              <w:rPr>
                <w:noProof/>
                <w:webHidden/>
              </w:rPr>
            </w:r>
            <w:r>
              <w:rPr>
                <w:noProof/>
                <w:webHidden/>
              </w:rPr>
              <w:fldChar w:fldCharType="separate"/>
            </w:r>
            <w:r>
              <w:rPr>
                <w:noProof/>
                <w:webHidden/>
              </w:rPr>
              <w:t>47</w:t>
            </w:r>
            <w:r>
              <w:rPr>
                <w:noProof/>
                <w:webHidden/>
              </w:rPr>
              <w:fldChar w:fldCharType="end"/>
            </w:r>
          </w:hyperlink>
        </w:p>
        <w:p w14:paraId="3A7DD17F" w14:textId="34B3C293"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0" w:history="1">
            <w:r w:rsidRPr="00992D34">
              <w:rPr>
                <w:rStyle w:val="Hyperlink"/>
                <w:noProof/>
              </w:rPr>
              <w:t>Step 1.3B: Developing a Community Outreach and Engagement Plan</w:t>
            </w:r>
            <w:r>
              <w:rPr>
                <w:noProof/>
                <w:webHidden/>
              </w:rPr>
              <w:tab/>
            </w:r>
            <w:r>
              <w:rPr>
                <w:noProof/>
                <w:webHidden/>
              </w:rPr>
              <w:fldChar w:fldCharType="begin"/>
            </w:r>
            <w:r>
              <w:rPr>
                <w:noProof/>
                <w:webHidden/>
              </w:rPr>
              <w:instrText xml:space="preserve"> PAGEREF _Toc235802680 \h </w:instrText>
            </w:r>
            <w:r>
              <w:rPr>
                <w:noProof/>
                <w:webHidden/>
              </w:rPr>
            </w:r>
            <w:r>
              <w:rPr>
                <w:noProof/>
                <w:webHidden/>
              </w:rPr>
              <w:fldChar w:fldCharType="separate"/>
            </w:r>
            <w:r>
              <w:rPr>
                <w:noProof/>
                <w:webHidden/>
              </w:rPr>
              <w:t>50</w:t>
            </w:r>
            <w:r>
              <w:rPr>
                <w:noProof/>
                <w:webHidden/>
              </w:rPr>
              <w:fldChar w:fldCharType="end"/>
            </w:r>
          </w:hyperlink>
        </w:p>
        <w:p w14:paraId="07DAC23E" w14:textId="7AB01DBE"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1" w:history="1">
            <w:r w:rsidRPr="00992D34">
              <w:rPr>
                <w:rStyle w:val="Hyperlink"/>
                <w:noProof/>
              </w:rPr>
              <w:t>Step 1.3C: Developing Engagement and Outreach Activities</w:t>
            </w:r>
            <w:r>
              <w:rPr>
                <w:noProof/>
                <w:webHidden/>
              </w:rPr>
              <w:tab/>
            </w:r>
            <w:r>
              <w:rPr>
                <w:noProof/>
                <w:webHidden/>
              </w:rPr>
              <w:fldChar w:fldCharType="begin"/>
            </w:r>
            <w:r>
              <w:rPr>
                <w:noProof/>
                <w:webHidden/>
              </w:rPr>
              <w:instrText xml:space="preserve"> PAGEREF _Toc235802681 \h </w:instrText>
            </w:r>
            <w:r>
              <w:rPr>
                <w:noProof/>
                <w:webHidden/>
              </w:rPr>
            </w:r>
            <w:r>
              <w:rPr>
                <w:noProof/>
                <w:webHidden/>
              </w:rPr>
              <w:fldChar w:fldCharType="separate"/>
            </w:r>
            <w:r>
              <w:rPr>
                <w:noProof/>
                <w:webHidden/>
              </w:rPr>
              <w:t>50</w:t>
            </w:r>
            <w:r>
              <w:rPr>
                <w:noProof/>
                <w:webHidden/>
              </w:rPr>
              <w:fldChar w:fldCharType="end"/>
            </w:r>
          </w:hyperlink>
        </w:p>
        <w:p w14:paraId="6E5A747A" w14:textId="1CC3C8B8" w:rsidR="00A978CA" w:rsidRDefault="00A978CA">
          <w:pPr>
            <w:pStyle w:val="TOC2"/>
            <w:rPr>
              <w:rFonts w:asciiTheme="minorHAnsi" w:eastAsiaTheme="minorEastAsia" w:hAnsiTheme="minorHAnsi" w:cstheme="minorBidi"/>
              <w:b w:val="0"/>
              <w:noProof/>
              <w:kern w:val="2"/>
              <w14:ligatures w14:val="standardContextual"/>
            </w:rPr>
          </w:pPr>
          <w:hyperlink w:anchor="_Toc235802682" w:history="1">
            <w:r w:rsidRPr="00992D34">
              <w:rPr>
                <w:rStyle w:val="Hyperlink"/>
                <w:noProof/>
              </w:rPr>
              <w:t>Phase</w:t>
            </w:r>
            <w:r w:rsidRPr="00992D34">
              <w:rPr>
                <w:rStyle w:val="Hyperlink"/>
                <w:noProof/>
                <w:spacing w:val="-3"/>
              </w:rPr>
              <w:t xml:space="preserve"> </w:t>
            </w:r>
            <w:r w:rsidRPr="00992D34">
              <w:rPr>
                <w:rStyle w:val="Hyperlink"/>
                <w:noProof/>
              </w:rPr>
              <w:t>1</w:t>
            </w:r>
            <w:r w:rsidRPr="00992D34">
              <w:rPr>
                <w:rStyle w:val="Hyperlink"/>
                <w:noProof/>
                <w:spacing w:val="-2"/>
              </w:rPr>
              <w:t xml:space="preserve"> </w:t>
            </w:r>
            <w:r w:rsidRPr="00992D34">
              <w:rPr>
                <w:rStyle w:val="Hyperlink"/>
                <w:noProof/>
              </w:rPr>
              <w:t>Wrap-</w:t>
            </w:r>
            <w:r w:rsidRPr="00992D34">
              <w:rPr>
                <w:rStyle w:val="Hyperlink"/>
                <w:noProof/>
                <w:spacing w:val="-5"/>
              </w:rPr>
              <w:t>Up</w:t>
            </w:r>
            <w:r>
              <w:rPr>
                <w:noProof/>
                <w:webHidden/>
              </w:rPr>
              <w:tab/>
            </w:r>
            <w:r>
              <w:rPr>
                <w:noProof/>
                <w:webHidden/>
              </w:rPr>
              <w:fldChar w:fldCharType="begin"/>
            </w:r>
            <w:r>
              <w:rPr>
                <w:noProof/>
                <w:webHidden/>
              </w:rPr>
              <w:instrText xml:space="preserve"> PAGEREF _Toc235802682 \h </w:instrText>
            </w:r>
            <w:r>
              <w:rPr>
                <w:noProof/>
                <w:webHidden/>
              </w:rPr>
            </w:r>
            <w:r>
              <w:rPr>
                <w:noProof/>
                <w:webHidden/>
              </w:rPr>
              <w:fldChar w:fldCharType="separate"/>
            </w:r>
            <w:r>
              <w:rPr>
                <w:noProof/>
                <w:webHidden/>
              </w:rPr>
              <w:t>57</w:t>
            </w:r>
            <w:r>
              <w:rPr>
                <w:noProof/>
                <w:webHidden/>
              </w:rPr>
              <w:fldChar w:fldCharType="end"/>
            </w:r>
          </w:hyperlink>
        </w:p>
        <w:p w14:paraId="1F334FC1" w14:textId="4BCC2DF8"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683" w:history="1">
            <w:r w:rsidRPr="00992D34">
              <w:rPr>
                <w:rStyle w:val="Hyperlink"/>
                <w:noProof/>
              </w:rPr>
              <w:t>PHASE 2: ASSESS VULNERABILITY</w:t>
            </w:r>
            <w:r>
              <w:rPr>
                <w:noProof/>
                <w:webHidden/>
              </w:rPr>
              <w:tab/>
            </w:r>
            <w:r>
              <w:rPr>
                <w:noProof/>
                <w:webHidden/>
              </w:rPr>
              <w:fldChar w:fldCharType="begin"/>
            </w:r>
            <w:r>
              <w:rPr>
                <w:noProof/>
                <w:webHidden/>
              </w:rPr>
              <w:instrText xml:space="preserve"> PAGEREF _Toc235802683 \h </w:instrText>
            </w:r>
            <w:r>
              <w:rPr>
                <w:noProof/>
                <w:webHidden/>
              </w:rPr>
            </w:r>
            <w:r>
              <w:rPr>
                <w:noProof/>
                <w:webHidden/>
              </w:rPr>
              <w:fldChar w:fldCharType="separate"/>
            </w:r>
            <w:r>
              <w:rPr>
                <w:noProof/>
                <w:webHidden/>
              </w:rPr>
              <w:t>58</w:t>
            </w:r>
            <w:r>
              <w:rPr>
                <w:noProof/>
                <w:webHidden/>
              </w:rPr>
              <w:fldChar w:fldCharType="end"/>
            </w:r>
          </w:hyperlink>
        </w:p>
        <w:p w14:paraId="0E875417" w14:textId="3CD768AD" w:rsidR="00A978CA" w:rsidRDefault="00A978CA">
          <w:pPr>
            <w:pStyle w:val="TOC2"/>
            <w:rPr>
              <w:rFonts w:asciiTheme="minorHAnsi" w:eastAsiaTheme="minorEastAsia" w:hAnsiTheme="minorHAnsi" w:cstheme="minorBidi"/>
              <w:b w:val="0"/>
              <w:noProof/>
              <w:kern w:val="2"/>
              <w14:ligatures w14:val="standardContextual"/>
            </w:rPr>
          </w:pPr>
          <w:hyperlink w:anchor="_Toc235802684" w:history="1">
            <w:r w:rsidRPr="00992D34">
              <w:rPr>
                <w:rStyle w:val="Hyperlink"/>
                <w:noProof/>
              </w:rPr>
              <w:t>Key Concepts in Phase 2</w:t>
            </w:r>
            <w:r>
              <w:rPr>
                <w:noProof/>
                <w:webHidden/>
              </w:rPr>
              <w:tab/>
            </w:r>
            <w:r>
              <w:rPr>
                <w:noProof/>
                <w:webHidden/>
              </w:rPr>
              <w:fldChar w:fldCharType="begin"/>
            </w:r>
            <w:r>
              <w:rPr>
                <w:noProof/>
                <w:webHidden/>
              </w:rPr>
              <w:instrText xml:space="preserve"> PAGEREF _Toc235802684 \h </w:instrText>
            </w:r>
            <w:r>
              <w:rPr>
                <w:noProof/>
                <w:webHidden/>
              </w:rPr>
            </w:r>
            <w:r>
              <w:rPr>
                <w:noProof/>
                <w:webHidden/>
              </w:rPr>
              <w:fldChar w:fldCharType="separate"/>
            </w:r>
            <w:r>
              <w:rPr>
                <w:noProof/>
                <w:webHidden/>
              </w:rPr>
              <w:t>59</w:t>
            </w:r>
            <w:r>
              <w:rPr>
                <w:noProof/>
                <w:webHidden/>
              </w:rPr>
              <w:fldChar w:fldCharType="end"/>
            </w:r>
          </w:hyperlink>
        </w:p>
        <w:p w14:paraId="78B1B9F0" w14:textId="1F6FBD44" w:rsidR="00A978CA" w:rsidRDefault="00A978CA">
          <w:pPr>
            <w:pStyle w:val="TOC2"/>
            <w:rPr>
              <w:rFonts w:asciiTheme="minorHAnsi" w:eastAsiaTheme="minorEastAsia" w:hAnsiTheme="minorHAnsi" w:cstheme="minorBidi"/>
              <w:b w:val="0"/>
              <w:noProof/>
              <w:kern w:val="2"/>
              <w14:ligatures w14:val="standardContextual"/>
            </w:rPr>
          </w:pPr>
          <w:hyperlink w:anchor="_Toc235802685" w:history="1">
            <w:r w:rsidRPr="00992D34">
              <w:rPr>
                <w:rStyle w:val="Hyperlink"/>
                <w:noProof/>
              </w:rPr>
              <w:t>Step 2.1: Hazards and Exposure</w:t>
            </w:r>
            <w:r>
              <w:rPr>
                <w:noProof/>
                <w:webHidden/>
              </w:rPr>
              <w:tab/>
            </w:r>
            <w:r>
              <w:rPr>
                <w:noProof/>
                <w:webHidden/>
              </w:rPr>
              <w:fldChar w:fldCharType="begin"/>
            </w:r>
            <w:r>
              <w:rPr>
                <w:noProof/>
                <w:webHidden/>
              </w:rPr>
              <w:instrText xml:space="preserve"> PAGEREF _Toc235802685 \h </w:instrText>
            </w:r>
            <w:r>
              <w:rPr>
                <w:noProof/>
                <w:webHidden/>
              </w:rPr>
            </w:r>
            <w:r>
              <w:rPr>
                <w:noProof/>
                <w:webHidden/>
              </w:rPr>
              <w:fldChar w:fldCharType="separate"/>
            </w:r>
            <w:r>
              <w:rPr>
                <w:noProof/>
                <w:webHidden/>
              </w:rPr>
              <w:t>60</w:t>
            </w:r>
            <w:r>
              <w:rPr>
                <w:noProof/>
                <w:webHidden/>
              </w:rPr>
              <w:fldChar w:fldCharType="end"/>
            </w:r>
          </w:hyperlink>
        </w:p>
        <w:p w14:paraId="5537263F" w14:textId="0AC59543"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6" w:history="1">
            <w:r w:rsidRPr="00992D34">
              <w:rPr>
                <w:rStyle w:val="Hyperlink"/>
                <w:noProof/>
              </w:rPr>
              <w:t>Step 2.1A: Review Existing Documents</w:t>
            </w:r>
            <w:r>
              <w:rPr>
                <w:noProof/>
                <w:webHidden/>
              </w:rPr>
              <w:tab/>
            </w:r>
            <w:r>
              <w:rPr>
                <w:noProof/>
                <w:webHidden/>
              </w:rPr>
              <w:fldChar w:fldCharType="begin"/>
            </w:r>
            <w:r>
              <w:rPr>
                <w:noProof/>
                <w:webHidden/>
              </w:rPr>
              <w:instrText xml:space="preserve"> PAGEREF _Toc235802686 \h </w:instrText>
            </w:r>
            <w:r>
              <w:rPr>
                <w:noProof/>
                <w:webHidden/>
              </w:rPr>
            </w:r>
            <w:r>
              <w:rPr>
                <w:noProof/>
                <w:webHidden/>
              </w:rPr>
              <w:fldChar w:fldCharType="separate"/>
            </w:r>
            <w:r>
              <w:rPr>
                <w:noProof/>
                <w:webHidden/>
              </w:rPr>
              <w:t>61</w:t>
            </w:r>
            <w:r>
              <w:rPr>
                <w:noProof/>
                <w:webHidden/>
              </w:rPr>
              <w:fldChar w:fldCharType="end"/>
            </w:r>
          </w:hyperlink>
        </w:p>
        <w:p w14:paraId="3FC314AE" w14:textId="53493675"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7" w:history="1">
            <w:r w:rsidRPr="00992D34">
              <w:rPr>
                <w:rStyle w:val="Hyperlink"/>
                <w:noProof/>
              </w:rPr>
              <w:t>Step 2.1B: Determine Historical Hazards</w:t>
            </w:r>
            <w:r>
              <w:rPr>
                <w:noProof/>
                <w:webHidden/>
              </w:rPr>
              <w:tab/>
            </w:r>
            <w:r>
              <w:rPr>
                <w:noProof/>
                <w:webHidden/>
              </w:rPr>
              <w:fldChar w:fldCharType="begin"/>
            </w:r>
            <w:r>
              <w:rPr>
                <w:noProof/>
                <w:webHidden/>
              </w:rPr>
              <w:instrText xml:space="preserve"> PAGEREF _Toc235802687 \h </w:instrText>
            </w:r>
            <w:r>
              <w:rPr>
                <w:noProof/>
                <w:webHidden/>
              </w:rPr>
            </w:r>
            <w:r>
              <w:rPr>
                <w:noProof/>
                <w:webHidden/>
              </w:rPr>
              <w:fldChar w:fldCharType="separate"/>
            </w:r>
            <w:r>
              <w:rPr>
                <w:noProof/>
                <w:webHidden/>
              </w:rPr>
              <w:t>64</w:t>
            </w:r>
            <w:r>
              <w:rPr>
                <w:noProof/>
                <w:webHidden/>
              </w:rPr>
              <w:fldChar w:fldCharType="end"/>
            </w:r>
          </w:hyperlink>
        </w:p>
        <w:p w14:paraId="39FD303A" w14:textId="338D3BB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8" w:history="1">
            <w:r w:rsidRPr="00992D34">
              <w:rPr>
                <w:rStyle w:val="Hyperlink"/>
                <w:noProof/>
              </w:rPr>
              <w:t>Step 2.1C: Identify Exposure to Climate Hazards</w:t>
            </w:r>
            <w:r>
              <w:rPr>
                <w:noProof/>
                <w:webHidden/>
              </w:rPr>
              <w:tab/>
            </w:r>
            <w:r>
              <w:rPr>
                <w:noProof/>
                <w:webHidden/>
              </w:rPr>
              <w:fldChar w:fldCharType="begin"/>
            </w:r>
            <w:r>
              <w:rPr>
                <w:noProof/>
                <w:webHidden/>
              </w:rPr>
              <w:instrText xml:space="preserve"> PAGEREF _Toc235802688 \h </w:instrText>
            </w:r>
            <w:r>
              <w:rPr>
                <w:noProof/>
                <w:webHidden/>
              </w:rPr>
            </w:r>
            <w:r>
              <w:rPr>
                <w:noProof/>
                <w:webHidden/>
              </w:rPr>
              <w:fldChar w:fldCharType="separate"/>
            </w:r>
            <w:r>
              <w:rPr>
                <w:noProof/>
                <w:webHidden/>
              </w:rPr>
              <w:t>68</w:t>
            </w:r>
            <w:r>
              <w:rPr>
                <w:noProof/>
                <w:webHidden/>
              </w:rPr>
              <w:fldChar w:fldCharType="end"/>
            </w:r>
          </w:hyperlink>
        </w:p>
        <w:p w14:paraId="412FF2D1" w14:textId="145766A6"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89" w:history="1">
            <w:r w:rsidRPr="00992D34">
              <w:rPr>
                <w:rStyle w:val="Hyperlink"/>
                <w:noProof/>
              </w:rPr>
              <w:t>Step 2.1D: Describe How Climate Hazards Are Expected to Change</w:t>
            </w:r>
            <w:r>
              <w:rPr>
                <w:noProof/>
                <w:webHidden/>
              </w:rPr>
              <w:tab/>
            </w:r>
            <w:r>
              <w:rPr>
                <w:noProof/>
                <w:webHidden/>
              </w:rPr>
              <w:fldChar w:fldCharType="begin"/>
            </w:r>
            <w:r>
              <w:rPr>
                <w:noProof/>
                <w:webHidden/>
              </w:rPr>
              <w:instrText xml:space="preserve"> PAGEREF _Toc235802689 \h </w:instrText>
            </w:r>
            <w:r>
              <w:rPr>
                <w:noProof/>
                <w:webHidden/>
              </w:rPr>
            </w:r>
            <w:r>
              <w:rPr>
                <w:noProof/>
                <w:webHidden/>
              </w:rPr>
              <w:fldChar w:fldCharType="separate"/>
            </w:r>
            <w:r>
              <w:rPr>
                <w:noProof/>
                <w:webHidden/>
              </w:rPr>
              <w:t>71</w:t>
            </w:r>
            <w:r>
              <w:rPr>
                <w:noProof/>
                <w:webHidden/>
              </w:rPr>
              <w:fldChar w:fldCharType="end"/>
            </w:r>
          </w:hyperlink>
        </w:p>
        <w:p w14:paraId="67831C48" w14:textId="26EBEC2C"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0" w:history="1">
            <w:r w:rsidRPr="00992D34">
              <w:rPr>
                <w:rStyle w:val="Hyperlink"/>
                <w:noProof/>
              </w:rPr>
              <w:t>Step 2.1E: Determine Secondary and Cascading Hazards</w:t>
            </w:r>
            <w:r>
              <w:rPr>
                <w:noProof/>
                <w:webHidden/>
              </w:rPr>
              <w:tab/>
            </w:r>
            <w:r>
              <w:rPr>
                <w:noProof/>
                <w:webHidden/>
              </w:rPr>
              <w:fldChar w:fldCharType="begin"/>
            </w:r>
            <w:r>
              <w:rPr>
                <w:noProof/>
                <w:webHidden/>
              </w:rPr>
              <w:instrText xml:space="preserve"> PAGEREF _Toc235802690 \h </w:instrText>
            </w:r>
            <w:r>
              <w:rPr>
                <w:noProof/>
                <w:webHidden/>
              </w:rPr>
            </w:r>
            <w:r>
              <w:rPr>
                <w:noProof/>
                <w:webHidden/>
              </w:rPr>
              <w:fldChar w:fldCharType="separate"/>
            </w:r>
            <w:r>
              <w:rPr>
                <w:noProof/>
                <w:webHidden/>
              </w:rPr>
              <w:t>77</w:t>
            </w:r>
            <w:r>
              <w:rPr>
                <w:noProof/>
                <w:webHidden/>
              </w:rPr>
              <w:fldChar w:fldCharType="end"/>
            </w:r>
          </w:hyperlink>
        </w:p>
        <w:p w14:paraId="2BE0E6A0" w14:textId="21336F17"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1" w:history="1">
            <w:r w:rsidRPr="00992D34">
              <w:rPr>
                <w:rStyle w:val="Hyperlink"/>
                <w:noProof/>
              </w:rPr>
              <w:t>Step 2.1 Wrap-Up</w:t>
            </w:r>
            <w:r>
              <w:rPr>
                <w:noProof/>
                <w:webHidden/>
              </w:rPr>
              <w:tab/>
            </w:r>
            <w:r>
              <w:rPr>
                <w:noProof/>
                <w:webHidden/>
              </w:rPr>
              <w:fldChar w:fldCharType="begin"/>
            </w:r>
            <w:r>
              <w:rPr>
                <w:noProof/>
                <w:webHidden/>
              </w:rPr>
              <w:instrText xml:space="preserve"> PAGEREF _Toc235802691 \h </w:instrText>
            </w:r>
            <w:r>
              <w:rPr>
                <w:noProof/>
                <w:webHidden/>
              </w:rPr>
            </w:r>
            <w:r>
              <w:rPr>
                <w:noProof/>
                <w:webHidden/>
              </w:rPr>
              <w:fldChar w:fldCharType="separate"/>
            </w:r>
            <w:r>
              <w:rPr>
                <w:noProof/>
                <w:webHidden/>
              </w:rPr>
              <w:t>81</w:t>
            </w:r>
            <w:r>
              <w:rPr>
                <w:noProof/>
                <w:webHidden/>
              </w:rPr>
              <w:fldChar w:fldCharType="end"/>
            </w:r>
          </w:hyperlink>
        </w:p>
        <w:p w14:paraId="6DFC5440" w14:textId="32E87D84" w:rsidR="00A978CA" w:rsidRDefault="00A978CA">
          <w:pPr>
            <w:pStyle w:val="TOC2"/>
            <w:rPr>
              <w:rFonts w:asciiTheme="minorHAnsi" w:eastAsiaTheme="minorEastAsia" w:hAnsiTheme="minorHAnsi" w:cstheme="minorBidi"/>
              <w:b w:val="0"/>
              <w:noProof/>
              <w:kern w:val="2"/>
              <w14:ligatures w14:val="standardContextual"/>
            </w:rPr>
          </w:pPr>
          <w:hyperlink w:anchor="_Toc235802692" w:history="1">
            <w:r w:rsidRPr="00992D34">
              <w:rPr>
                <w:rStyle w:val="Hyperlink"/>
                <w:noProof/>
              </w:rPr>
              <w:t>Step 2.2: Vulnerability and Potential Impacts</w:t>
            </w:r>
            <w:r>
              <w:rPr>
                <w:noProof/>
                <w:webHidden/>
              </w:rPr>
              <w:tab/>
            </w:r>
            <w:r>
              <w:rPr>
                <w:noProof/>
                <w:webHidden/>
              </w:rPr>
              <w:fldChar w:fldCharType="begin"/>
            </w:r>
            <w:r>
              <w:rPr>
                <w:noProof/>
                <w:webHidden/>
              </w:rPr>
              <w:instrText xml:space="preserve"> PAGEREF _Toc235802692 \h </w:instrText>
            </w:r>
            <w:r>
              <w:rPr>
                <w:noProof/>
                <w:webHidden/>
              </w:rPr>
            </w:r>
            <w:r>
              <w:rPr>
                <w:noProof/>
                <w:webHidden/>
              </w:rPr>
              <w:fldChar w:fldCharType="separate"/>
            </w:r>
            <w:r>
              <w:rPr>
                <w:noProof/>
                <w:webHidden/>
              </w:rPr>
              <w:t>81</w:t>
            </w:r>
            <w:r>
              <w:rPr>
                <w:noProof/>
                <w:webHidden/>
              </w:rPr>
              <w:fldChar w:fldCharType="end"/>
            </w:r>
          </w:hyperlink>
        </w:p>
        <w:p w14:paraId="04390A13" w14:textId="2A8304AA"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3" w:history="1">
            <w:r w:rsidRPr="00992D34">
              <w:rPr>
                <w:rStyle w:val="Hyperlink"/>
                <w:noProof/>
              </w:rPr>
              <w:t>Step 2.2A: Evaluate Social Vulnerability</w:t>
            </w:r>
            <w:r>
              <w:rPr>
                <w:noProof/>
                <w:webHidden/>
              </w:rPr>
              <w:tab/>
            </w:r>
            <w:r>
              <w:rPr>
                <w:noProof/>
                <w:webHidden/>
              </w:rPr>
              <w:fldChar w:fldCharType="begin"/>
            </w:r>
            <w:r>
              <w:rPr>
                <w:noProof/>
                <w:webHidden/>
              </w:rPr>
              <w:instrText xml:space="preserve"> PAGEREF _Toc235802693 \h </w:instrText>
            </w:r>
            <w:r>
              <w:rPr>
                <w:noProof/>
                <w:webHidden/>
              </w:rPr>
            </w:r>
            <w:r>
              <w:rPr>
                <w:noProof/>
                <w:webHidden/>
              </w:rPr>
              <w:fldChar w:fldCharType="separate"/>
            </w:r>
            <w:r>
              <w:rPr>
                <w:noProof/>
                <w:webHidden/>
              </w:rPr>
              <w:t>82</w:t>
            </w:r>
            <w:r>
              <w:rPr>
                <w:noProof/>
                <w:webHidden/>
              </w:rPr>
              <w:fldChar w:fldCharType="end"/>
            </w:r>
          </w:hyperlink>
        </w:p>
        <w:p w14:paraId="1B4420E5" w14:textId="3EC6CF2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4" w:history="1">
            <w:r w:rsidRPr="00992D34">
              <w:rPr>
                <w:rStyle w:val="Hyperlink"/>
                <w:noProof/>
              </w:rPr>
              <w:t>Step 2.2B: Evaluate Built Assets</w:t>
            </w:r>
            <w:r>
              <w:rPr>
                <w:noProof/>
                <w:webHidden/>
              </w:rPr>
              <w:tab/>
            </w:r>
            <w:r>
              <w:rPr>
                <w:noProof/>
                <w:webHidden/>
              </w:rPr>
              <w:fldChar w:fldCharType="begin"/>
            </w:r>
            <w:r>
              <w:rPr>
                <w:noProof/>
                <w:webHidden/>
              </w:rPr>
              <w:instrText xml:space="preserve"> PAGEREF _Toc235802694 \h </w:instrText>
            </w:r>
            <w:r>
              <w:rPr>
                <w:noProof/>
                <w:webHidden/>
              </w:rPr>
            </w:r>
            <w:r>
              <w:rPr>
                <w:noProof/>
                <w:webHidden/>
              </w:rPr>
              <w:fldChar w:fldCharType="separate"/>
            </w:r>
            <w:r>
              <w:rPr>
                <w:noProof/>
                <w:webHidden/>
              </w:rPr>
              <w:t>87</w:t>
            </w:r>
            <w:r>
              <w:rPr>
                <w:noProof/>
                <w:webHidden/>
              </w:rPr>
              <w:fldChar w:fldCharType="end"/>
            </w:r>
          </w:hyperlink>
        </w:p>
        <w:p w14:paraId="1FAEA831" w14:textId="5095C1E2"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5" w:history="1">
            <w:r w:rsidRPr="00992D34">
              <w:rPr>
                <w:rStyle w:val="Hyperlink"/>
                <w:noProof/>
              </w:rPr>
              <w:t>Step 2.2C: Natural, Historic, and Cultural Resource Assets</w:t>
            </w:r>
            <w:r>
              <w:rPr>
                <w:noProof/>
                <w:webHidden/>
              </w:rPr>
              <w:tab/>
            </w:r>
            <w:r>
              <w:rPr>
                <w:noProof/>
                <w:webHidden/>
              </w:rPr>
              <w:fldChar w:fldCharType="begin"/>
            </w:r>
            <w:r>
              <w:rPr>
                <w:noProof/>
                <w:webHidden/>
              </w:rPr>
              <w:instrText xml:space="preserve"> PAGEREF _Toc235802695 \h </w:instrText>
            </w:r>
            <w:r>
              <w:rPr>
                <w:noProof/>
                <w:webHidden/>
              </w:rPr>
            </w:r>
            <w:r>
              <w:rPr>
                <w:noProof/>
                <w:webHidden/>
              </w:rPr>
              <w:fldChar w:fldCharType="separate"/>
            </w:r>
            <w:r>
              <w:rPr>
                <w:noProof/>
                <w:webHidden/>
              </w:rPr>
              <w:t>91</w:t>
            </w:r>
            <w:r>
              <w:rPr>
                <w:noProof/>
                <w:webHidden/>
              </w:rPr>
              <w:fldChar w:fldCharType="end"/>
            </w:r>
          </w:hyperlink>
        </w:p>
        <w:p w14:paraId="0A771FB8" w14:textId="3F1CEAF2"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6" w:history="1">
            <w:r w:rsidRPr="00992D34">
              <w:rPr>
                <w:rStyle w:val="Hyperlink"/>
                <w:noProof/>
              </w:rPr>
              <w:t>Step 2.2D: Outreach and Engagement</w:t>
            </w:r>
            <w:r>
              <w:rPr>
                <w:noProof/>
                <w:webHidden/>
              </w:rPr>
              <w:tab/>
            </w:r>
            <w:r>
              <w:rPr>
                <w:noProof/>
                <w:webHidden/>
              </w:rPr>
              <w:fldChar w:fldCharType="begin"/>
            </w:r>
            <w:r>
              <w:rPr>
                <w:noProof/>
                <w:webHidden/>
              </w:rPr>
              <w:instrText xml:space="preserve"> PAGEREF _Toc235802696 \h </w:instrText>
            </w:r>
            <w:r>
              <w:rPr>
                <w:noProof/>
                <w:webHidden/>
              </w:rPr>
            </w:r>
            <w:r>
              <w:rPr>
                <w:noProof/>
                <w:webHidden/>
              </w:rPr>
              <w:fldChar w:fldCharType="separate"/>
            </w:r>
            <w:r>
              <w:rPr>
                <w:noProof/>
                <w:webHidden/>
              </w:rPr>
              <w:t>95</w:t>
            </w:r>
            <w:r>
              <w:rPr>
                <w:noProof/>
                <w:webHidden/>
              </w:rPr>
              <w:fldChar w:fldCharType="end"/>
            </w:r>
          </w:hyperlink>
        </w:p>
        <w:p w14:paraId="17088700" w14:textId="436BB949" w:rsidR="00A978CA" w:rsidRDefault="00A978CA">
          <w:pPr>
            <w:pStyle w:val="TOC2"/>
            <w:rPr>
              <w:rFonts w:asciiTheme="minorHAnsi" w:eastAsiaTheme="minorEastAsia" w:hAnsiTheme="minorHAnsi" w:cstheme="minorBidi"/>
              <w:b w:val="0"/>
              <w:noProof/>
              <w:kern w:val="2"/>
              <w14:ligatures w14:val="standardContextual"/>
            </w:rPr>
          </w:pPr>
          <w:hyperlink w:anchor="_Toc235802697" w:history="1">
            <w:r w:rsidRPr="00992D34">
              <w:rPr>
                <w:rStyle w:val="Hyperlink"/>
                <w:noProof/>
              </w:rPr>
              <w:t>Step 2.3: Adaptive Capacity</w:t>
            </w:r>
            <w:r>
              <w:rPr>
                <w:noProof/>
                <w:webHidden/>
              </w:rPr>
              <w:tab/>
            </w:r>
            <w:r>
              <w:rPr>
                <w:noProof/>
                <w:webHidden/>
              </w:rPr>
              <w:fldChar w:fldCharType="begin"/>
            </w:r>
            <w:r>
              <w:rPr>
                <w:noProof/>
                <w:webHidden/>
              </w:rPr>
              <w:instrText xml:space="preserve"> PAGEREF _Toc235802697 \h </w:instrText>
            </w:r>
            <w:r>
              <w:rPr>
                <w:noProof/>
                <w:webHidden/>
              </w:rPr>
            </w:r>
            <w:r>
              <w:rPr>
                <w:noProof/>
                <w:webHidden/>
              </w:rPr>
              <w:fldChar w:fldCharType="separate"/>
            </w:r>
            <w:r>
              <w:rPr>
                <w:noProof/>
                <w:webHidden/>
              </w:rPr>
              <w:t>98</w:t>
            </w:r>
            <w:r>
              <w:rPr>
                <w:noProof/>
                <w:webHidden/>
              </w:rPr>
              <w:fldChar w:fldCharType="end"/>
            </w:r>
          </w:hyperlink>
        </w:p>
        <w:p w14:paraId="3D2FC478" w14:textId="777FCE2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8" w:history="1">
            <w:r w:rsidRPr="00992D34">
              <w:rPr>
                <w:rStyle w:val="Hyperlink"/>
                <w:noProof/>
              </w:rPr>
              <w:t>Step 2.3A: Reviewing Documents for Adaptive Capacity Insights</w:t>
            </w:r>
            <w:r>
              <w:rPr>
                <w:noProof/>
                <w:webHidden/>
              </w:rPr>
              <w:tab/>
            </w:r>
            <w:r>
              <w:rPr>
                <w:noProof/>
                <w:webHidden/>
              </w:rPr>
              <w:fldChar w:fldCharType="begin"/>
            </w:r>
            <w:r>
              <w:rPr>
                <w:noProof/>
                <w:webHidden/>
              </w:rPr>
              <w:instrText xml:space="preserve"> PAGEREF _Toc235802698 \h </w:instrText>
            </w:r>
            <w:r>
              <w:rPr>
                <w:noProof/>
                <w:webHidden/>
              </w:rPr>
            </w:r>
            <w:r>
              <w:rPr>
                <w:noProof/>
                <w:webHidden/>
              </w:rPr>
              <w:fldChar w:fldCharType="separate"/>
            </w:r>
            <w:r>
              <w:rPr>
                <w:noProof/>
                <w:webHidden/>
              </w:rPr>
              <w:t>100</w:t>
            </w:r>
            <w:r>
              <w:rPr>
                <w:noProof/>
                <w:webHidden/>
              </w:rPr>
              <w:fldChar w:fldCharType="end"/>
            </w:r>
          </w:hyperlink>
        </w:p>
        <w:p w14:paraId="6C9115A5" w14:textId="76FA3F53"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699" w:history="1">
            <w:r w:rsidRPr="00992D34">
              <w:rPr>
                <w:rStyle w:val="Hyperlink"/>
                <w:noProof/>
              </w:rPr>
              <w:t>Step 2.3B: Evaluating Adaptive Capacity Strategies</w:t>
            </w:r>
            <w:r>
              <w:rPr>
                <w:noProof/>
                <w:webHidden/>
              </w:rPr>
              <w:tab/>
            </w:r>
            <w:r>
              <w:rPr>
                <w:noProof/>
                <w:webHidden/>
              </w:rPr>
              <w:fldChar w:fldCharType="begin"/>
            </w:r>
            <w:r>
              <w:rPr>
                <w:noProof/>
                <w:webHidden/>
              </w:rPr>
              <w:instrText xml:space="preserve"> PAGEREF _Toc235802699 \h </w:instrText>
            </w:r>
            <w:r>
              <w:rPr>
                <w:noProof/>
                <w:webHidden/>
              </w:rPr>
            </w:r>
            <w:r>
              <w:rPr>
                <w:noProof/>
                <w:webHidden/>
              </w:rPr>
              <w:fldChar w:fldCharType="separate"/>
            </w:r>
            <w:r>
              <w:rPr>
                <w:noProof/>
                <w:webHidden/>
              </w:rPr>
              <w:t>101</w:t>
            </w:r>
            <w:r>
              <w:rPr>
                <w:noProof/>
                <w:webHidden/>
              </w:rPr>
              <w:fldChar w:fldCharType="end"/>
            </w:r>
          </w:hyperlink>
        </w:p>
        <w:p w14:paraId="14F843EB" w14:textId="671BCE9D"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00" w:history="1">
            <w:r w:rsidRPr="00992D34">
              <w:rPr>
                <w:rStyle w:val="Hyperlink"/>
                <w:noProof/>
              </w:rPr>
              <w:t>Step 2.3C: Outreach and Engagement</w:t>
            </w:r>
            <w:r>
              <w:rPr>
                <w:noProof/>
                <w:webHidden/>
              </w:rPr>
              <w:tab/>
            </w:r>
            <w:r>
              <w:rPr>
                <w:noProof/>
                <w:webHidden/>
              </w:rPr>
              <w:fldChar w:fldCharType="begin"/>
            </w:r>
            <w:r>
              <w:rPr>
                <w:noProof/>
                <w:webHidden/>
              </w:rPr>
              <w:instrText xml:space="preserve"> PAGEREF _Toc235802700 \h </w:instrText>
            </w:r>
            <w:r>
              <w:rPr>
                <w:noProof/>
                <w:webHidden/>
              </w:rPr>
            </w:r>
            <w:r>
              <w:rPr>
                <w:noProof/>
                <w:webHidden/>
              </w:rPr>
              <w:fldChar w:fldCharType="separate"/>
            </w:r>
            <w:r>
              <w:rPr>
                <w:noProof/>
                <w:webHidden/>
              </w:rPr>
              <w:t>103</w:t>
            </w:r>
            <w:r>
              <w:rPr>
                <w:noProof/>
                <w:webHidden/>
              </w:rPr>
              <w:fldChar w:fldCharType="end"/>
            </w:r>
          </w:hyperlink>
        </w:p>
        <w:p w14:paraId="13525448" w14:textId="0CCC32D3" w:rsidR="00A978CA" w:rsidRDefault="00A978CA">
          <w:pPr>
            <w:pStyle w:val="TOC2"/>
            <w:rPr>
              <w:rFonts w:asciiTheme="minorHAnsi" w:eastAsiaTheme="minorEastAsia" w:hAnsiTheme="minorHAnsi" w:cstheme="minorBidi"/>
              <w:b w:val="0"/>
              <w:noProof/>
              <w:kern w:val="2"/>
              <w14:ligatures w14:val="standardContextual"/>
            </w:rPr>
          </w:pPr>
          <w:hyperlink w:anchor="_Toc235802701" w:history="1">
            <w:r w:rsidRPr="00992D34">
              <w:rPr>
                <w:rStyle w:val="Hyperlink"/>
                <w:noProof/>
              </w:rPr>
              <w:t>Step 2.4: Prioritize Climate Vulnerability</w:t>
            </w:r>
            <w:r>
              <w:rPr>
                <w:noProof/>
                <w:webHidden/>
              </w:rPr>
              <w:tab/>
            </w:r>
            <w:r>
              <w:rPr>
                <w:noProof/>
                <w:webHidden/>
              </w:rPr>
              <w:fldChar w:fldCharType="begin"/>
            </w:r>
            <w:r>
              <w:rPr>
                <w:noProof/>
                <w:webHidden/>
              </w:rPr>
              <w:instrText xml:space="preserve"> PAGEREF _Toc235802701 \h </w:instrText>
            </w:r>
            <w:r>
              <w:rPr>
                <w:noProof/>
                <w:webHidden/>
              </w:rPr>
            </w:r>
            <w:r>
              <w:rPr>
                <w:noProof/>
                <w:webHidden/>
              </w:rPr>
              <w:fldChar w:fldCharType="separate"/>
            </w:r>
            <w:r>
              <w:rPr>
                <w:noProof/>
                <w:webHidden/>
              </w:rPr>
              <w:t>104</w:t>
            </w:r>
            <w:r>
              <w:rPr>
                <w:noProof/>
                <w:webHidden/>
              </w:rPr>
              <w:fldChar w:fldCharType="end"/>
            </w:r>
          </w:hyperlink>
        </w:p>
        <w:p w14:paraId="587813B0" w14:textId="2A91C448"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02" w:history="1">
            <w:r w:rsidRPr="00992D34">
              <w:rPr>
                <w:rStyle w:val="Hyperlink"/>
                <w:noProof/>
              </w:rPr>
              <w:t>Step 2.4A: Summarize Vulnerability</w:t>
            </w:r>
            <w:r>
              <w:rPr>
                <w:noProof/>
                <w:webHidden/>
              </w:rPr>
              <w:tab/>
            </w:r>
            <w:r>
              <w:rPr>
                <w:noProof/>
                <w:webHidden/>
              </w:rPr>
              <w:fldChar w:fldCharType="begin"/>
            </w:r>
            <w:r>
              <w:rPr>
                <w:noProof/>
                <w:webHidden/>
              </w:rPr>
              <w:instrText xml:space="preserve"> PAGEREF _Toc235802702 \h </w:instrText>
            </w:r>
            <w:r>
              <w:rPr>
                <w:noProof/>
                <w:webHidden/>
              </w:rPr>
            </w:r>
            <w:r>
              <w:rPr>
                <w:noProof/>
                <w:webHidden/>
              </w:rPr>
              <w:fldChar w:fldCharType="separate"/>
            </w:r>
            <w:r>
              <w:rPr>
                <w:noProof/>
                <w:webHidden/>
              </w:rPr>
              <w:t>104</w:t>
            </w:r>
            <w:r>
              <w:rPr>
                <w:noProof/>
                <w:webHidden/>
              </w:rPr>
              <w:fldChar w:fldCharType="end"/>
            </w:r>
          </w:hyperlink>
        </w:p>
        <w:p w14:paraId="1198365C" w14:textId="38760217"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03" w:history="1">
            <w:r w:rsidRPr="00992D34">
              <w:rPr>
                <w:rStyle w:val="Hyperlink"/>
                <w:noProof/>
              </w:rPr>
              <w:t>Step 2.4B: Prioritization</w:t>
            </w:r>
            <w:r>
              <w:rPr>
                <w:noProof/>
                <w:webHidden/>
              </w:rPr>
              <w:tab/>
            </w:r>
            <w:r>
              <w:rPr>
                <w:noProof/>
                <w:webHidden/>
              </w:rPr>
              <w:fldChar w:fldCharType="begin"/>
            </w:r>
            <w:r>
              <w:rPr>
                <w:noProof/>
                <w:webHidden/>
              </w:rPr>
              <w:instrText xml:space="preserve"> PAGEREF _Toc235802703 \h </w:instrText>
            </w:r>
            <w:r>
              <w:rPr>
                <w:noProof/>
                <w:webHidden/>
              </w:rPr>
            </w:r>
            <w:r>
              <w:rPr>
                <w:noProof/>
                <w:webHidden/>
              </w:rPr>
              <w:fldChar w:fldCharType="separate"/>
            </w:r>
            <w:r>
              <w:rPr>
                <w:noProof/>
                <w:webHidden/>
              </w:rPr>
              <w:t>106</w:t>
            </w:r>
            <w:r>
              <w:rPr>
                <w:noProof/>
                <w:webHidden/>
              </w:rPr>
              <w:fldChar w:fldCharType="end"/>
            </w:r>
          </w:hyperlink>
        </w:p>
        <w:p w14:paraId="176A1EB9" w14:textId="4ADA1B52" w:rsidR="00A978CA" w:rsidRDefault="00A978CA">
          <w:pPr>
            <w:pStyle w:val="TOC2"/>
            <w:rPr>
              <w:rFonts w:asciiTheme="minorHAnsi" w:eastAsiaTheme="minorEastAsia" w:hAnsiTheme="minorHAnsi" w:cstheme="minorBidi"/>
              <w:b w:val="0"/>
              <w:noProof/>
              <w:kern w:val="2"/>
              <w14:ligatures w14:val="standardContextual"/>
            </w:rPr>
          </w:pPr>
          <w:hyperlink w:anchor="_Toc235802704" w:history="1">
            <w:r w:rsidRPr="00992D34">
              <w:rPr>
                <w:rStyle w:val="Hyperlink"/>
                <w:noProof/>
              </w:rPr>
              <w:t>Phase 2 Wrap-Up</w:t>
            </w:r>
            <w:r>
              <w:rPr>
                <w:noProof/>
                <w:webHidden/>
              </w:rPr>
              <w:tab/>
            </w:r>
            <w:r>
              <w:rPr>
                <w:noProof/>
                <w:webHidden/>
              </w:rPr>
              <w:fldChar w:fldCharType="begin"/>
            </w:r>
            <w:r>
              <w:rPr>
                <w:noProof/>
                <w:webHidden/>
              </w:rPr>
              <w:instrText xml:space="preserve"> PAGEREF _Toc235802704 \h </w:instrText>
            </w:r>
            <w:r>
              <w:rPr>
                <w:noProof/>
                <w:webHidden/>
              </w:rPr>
            </w:r>
            <w:r>
              <w:rPr>
                <w:noProof/>
                <w:webHidden/>
              </w:rPr>
              <w:fldChar w:fldCharType="separate"/>
            </w:r>
            <w:r>
              <w:rPr>
                <w:noProof/>
                <w:webHidden/>
              </w:rPr>
              <w:t>113</w:t>
            </w:r>
            <w:r>
              <w:rPr>
                <w:noProof/>
                <w:webHidden/>
              </w:rPr>
              <w:fldChar w:fldCharType="end"/>
            </w:r>
          </w:hyperlink>
        </w:p>
        <w:p w14:paraId="5D2954A1" w14:textId="2169FC59"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05" w:history="1">
            <w:r w:rsidRPr="00992D34">
              <w:rPr>
                <w:rStyle w:val="Hyperlink"/>
                <w:noProof/>
              </w:rPr>
              <w:t>PHASE 3: ADAPTATION FRAMEWORK AND STRATEGIES</w:t>
            </w:r>
            <w:r>
              <w:rPr>
                <w:noProof/>
                <w:webHidden/>
              </w:rPr>
              <w:tab/>
            </w:r>
            <w:r>
              <w:rPr>
                <w:noProof/>
                <w:webHidden/>
              </w:rPr>
              <w:fldChar w:fldCharType="begin"/>
            </w:r>
            <w:r>
              <w:rPr>
                <w:noProof/>
                <w:webHidden/>
              </w:rPr>
              <w:instrText xml:space="preserve"> PAGEREF _Toc235802705 \h </w:instrText>
            </w:r>
            <w:r>
              <w:rPr>
                <w:noProof/>
                <w:webHidden/>
              </w:rPr>
            </w:r>
            <w:r>
              <w:rPr>
                <w:noProof/>
                <w:webHidden/>
              </w:rPr>
              <w:fldChar w:fldCharType="separate"/>
            </w:r>
            <w:r>
              <w:rPr>
                <w:noProof/>
                <w:webHidden/>
              </w:rPr>
              <w:t>114</w:t>
            </w:r>
            <w:r>
              <w:rPr>
                <w:noProof/>
                <w:webHidden/>
              </w:rPr>
              <w:fldChar w:fldCharType="end"/>
            </w:r>
          </w:hyperlink>
        </w:p>
        <w:p w14:paraId="15A091E3" w14:textId="5375D2A0" w:rsidR="00A978CA" w:rsidRDefault="00A978CA">
          <w:pPr>
            <w:pStyle w:val="TOC2"/>
            <w:rPr>
              <w:rFonts w:asciiTheme="minorHAnsi" w:eastAsiaTheme="minorEastAsia" w:hAnsiTheme="minorHAnsi" w:cstheme="minorBidi"/>
              <w:b w:val="0"/>
              <w:noProof/>
              <w:kern w:val="2"/>
              <w14:ligatures w14:val="standardContextual"/>
            </w:rPr>
          </w:pPr>
          <w:hyperlink w:anchor="_Toc235802706" w:history="1">
            <w:r w:rsidRPr="00992D34">
              <w:rPr>
                <w:rStyle w:val="Hyperlink"/>
                <w:noProof/>
              </w:rPr>
              <w:t>Step</w:t>
            </w:r>
            <w:r w:rsidRPr="00992D34">
              <w:rPr>
                <w:rStyle w:val="Hyperlink"/>
                <w:noProof/>
                <w:spacing w:val="-23"/>
              </w:rPr>
              <w:t xml:space="preserve"> </w:t>
            </w:r>
            <w:r w:rsidRPr="00992D34">
              <w:rPr>
                <w:rStyle w:val="Hyperlink"/>
                <w:noProof/>
              </w:rPr>
              <w:t>3.1:</w:t>
            </w:r>
            <w:r w:rsidRPr="00992D34">
              <w:rPr>
                <w:rStyle w:val="Hyperlink"/>
                <w:noProof/>
                <w:spacing w:val="-23"/>
              </w:rPr>
              <w:t xml:space="preserve"> </w:t>
            </w:r>
            <w:r w:rsidRPr="00992D34">
              <w:rPr>
                <w:rStyle w:val="Hyperlink"/>
                <w:noProof/>
              </w:rPr>
              <w:t>Summarize</w:t>
            </w:r>
            <w:r w:rsidRPr="00992D34">
              <w:rPr>
                <w:rStyle w:val="Hyperlink"/>
                <w:noProof/>
                <w:spacing w:val="-23"/>
              </w:rPr>
              <w:t xml:space="preserve"> </w:t>
            </w:r>
            <w:r w:rsidRPr="00992D34">
              <w:rPr>
                <w:rStyle w:val="Hyperlink"/>
                <w:noProof/>
                <w:spacing w:val="-2"/>
              </w:rPr>
              <w:t>Vulnerability</w:t>
            </w:r>
            <w:r>
              <w:rPr>
                <w:noProof/>
                <w:webHidden/>
              </w:rPr>
              <w:tab/>
            </w:r>
            <w:r>
              <w:rPr>
                <w:noProof/>
                <w:webHidden/>
              </w:rPr>
              <w:fldChar w:fldCharType="begin"/>
            </w:r>
            <w:r>
              <w:rPr>
                <w:noProof/>
                <w:webHidden/>
              </w:rPr>
              <w:instrText xml:space="preserve"> PAGEREF _Toc235802706 \h </w:instrText>
            </w:r>
            <w:r>
              <w:rPr>
                <w:noProof/>
                <w:webHidden/>
              </w:rPr>
            </w:r>
            <w:r>
              <w:rPr>
                <w:noProof/>
                <w:webHidden/>
              </w:rPr>
              <w:fldChar w:fldCharType="separate"/>
            </w:r>
            <w:r>
              <w:rPr>
                <w:noProof/>
                <w:webHidden/>
              </w:rPr>
              <w:t>117</w:t>
            </w:r>
            <w:r>
              <w:rPr>
                <w:noProof/>
                <w:webHidden/>
              </w:rPr>
              <w:fldChar w:fldCharType="end"/>
            </w:r>
          </w:hyperlink>
        </w:p>
        <w:p w14:paraId="4C096C6F" w14:textId="20C0DAC9" w:rsidR="00A978CA" w:rsidRDefault="00A978CA">
          <w:pPr>
            <w:pStyle w:val="TOC2"/>
            <w:rPr>
              <w:rFonts w:asciiTheme="minorHAnsi" w:eastAsiaTheme="minorEastAsia" w:hAnsiTheme="minorHAnsi" w:cstheme="minorBidi"/>
              <w:b w:val="0"/>
              <w:noProof/>
              <w:kern w:val="2"/>
              <w14:ligatures w14:val="standardContextual"/>
            </w:rPr>
          </w:pPr>
          <w:hyperlink w:anchor="_Toc235802707" w:history="1">
            <w:r w:rsidRPr="00992D34">
              <w:rPr>
                <w:rStyle w:val="Hyperlink"/>
                <w:noProof/>
              </w:rPr>
              <w:t>Step</w:t>
            </w:r>
            <w:r w:rsidRPr="00992D34">
              <w:rPr>
                <w:rStyle w:val="Hyperlink"/>
                <w:noProof/>
                <w:spacing w:val="-5"/>
              </w:rPr>
              <w:t xml:space="preserve"> </w:t>
            </w:r>
            <w:r w:rsidRPr="00992D34">
              <w:rPr>
                <w:rStyle w:val="Hyperlink"/>
                <w:noProof/>
              </w:rPr>
              <w:t>3.2:</w:t>
            </w:r>
            <w:r w:rsidRPr="00992D34">
              <w:rPr>
                <w:rStyle w:val="Hyperlink"/>
                <w:noProof/>
                <w:spacing w:val="-4"/>
              </w:rPr>
              <w:t xml:space="preserve"> Review </w:t>
            </w:r>
            <w:r w:rsidRPr="00992D34">
              <w:rPr>
                <w:rStyle w:val="Hyperlink"/>
                <w:noProof/>
              </w:rPr>
              <w:t>Vision</w:t>
            </w:r>
            <w:r w:rsidRPr="00992D34">
              <w:rPr>
                <w:rStyle w:val="Hyperlink"/>
                <w:noProof/>
                <w:spacing w:val="-5"/>
              </w:rPr>
              <w:t xml:space="preserve"> </w:t>
            </w:r>
            <w:r w:rsidRPr="00992D34">
              <w:rPr>
                <w:rStyle w:val="Hyperlink"/>
                <w:noProof/>
              </w:rPr>
              <w:t>and</w:t>
            </w:r>
            <w:r w:rsidRPr="00992D34">
              <w:rPr>
                <w:rStyle w:val="Hyperlink"/>
                <w:noProof/>
                <w:spacing w:val="-4"/>
              </w:rPr>
              <w:t xml:space="preserve"> </w:t>
            </w:r>
            <w:r w:rsidRPr="00992D34">
              <w:rPr>
                <w:rStyle w:val="Hyperlink"/>
                <w:noProof/>
                <w:spacing w:val="-2"/>
              </w:rPr>
              <w:t>Goals</w:t>
            </w:r>
            <w:r>
              <w:rPr>
                <w:noProof/>
                <w:webHidden/>
              </w:rPr>
              <w:tab/>
            </w:r>
            <w:r>
              <w:rPr>
                <w:noProof/>
                <w:webHidden/>
              </w:rPr>
              <w:fldChar w:fldCharType="begin"/>
            </w:r>
            <w:r>
              <w:rPr>
                <w:noProof/>
                <w:webHidden/>
              </w:rPr>
              <w:instrText xml:space="preserve"> PAGEREF _Toc235802707 \h </w:instrText>
            </w:r>
            <w:r>
              <w:rPr>
                <w:noProof/>
                <w:webHidden/>
              </w:rPr>
            </w:r>
            <w:r>
              <w:rPr>
                <w:noProof/>
                <w:webHidden/>
              </w:rPr>
              <w:fldChar w:fldCharType="separate"/>
            </w:r>
            <w:r>
              <w:rPr>
                <w:noProof/>
                <w:webHidden/>
              </w:rPr>
              <w:t>119</w:t>
            </w:r>
            <w:r>
              <w:rPr>
                <w:noProof/>
                <w:webHidden/>
              </w:rPr>
              <w:fldChar w:fldCharType="end"/>
            </w:r>
          </w:hyperlink>
        </w:p>
        <w:p w14:paraId="2091B64B" w14:textId="131A8F1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08" w:history="1">
            <w:r w:rsidRPr="00992D34">
              <w:rPr>
                <w:rStyle w:val="Hyperlink"/>
                <w:noProof/>
              </w:rPr>
              <w:t xml:space="preserve">Step </w:t>
            </w:r>
            <w:r w:rsidRPr="00992D34">
              <w:rPr>
                <w:rStyle w:val="Hyperlink"/>
                <w:noProof/>
                <w:spacing w:val="-2"/>
              </w:rPr>
              <w:t>3.2A: Review Vision</w:t>
            </w:r>
            <w:r>
              <w:rPr>
                <w:noProof/>
                <w:webHidden/>
              </w:rPr>
              <w:tab/>
            </w:r>
            <w:r>
              <w:rPr>
                <w:noProof/>
                <w:webHidden/>
              </w:rPr>
              <w:fldChar w:fldCharType="begin"/>
            </w:r>
            <w:r>
              <w:rPr>
                <w:noProof/>
                <w:webHidden/>
              </w:rPr>
              <w:instrText xml:space="preserve"> PAGEREF _Toc235802708 \h </w:instrText>
            </w:r>
            <w:r>
              <w:rPr>
                <w:noProof/>
                <w:webHidden/>
              </w:rPr>
            </w:r>
            <w:r>
              <w:rPr>
                <w:noProof/>
                <w:webHidden/>
              </w:rPr>
              <w:fldChar w:fldCharType="separate"/>
            </w:r>
            <w:r>
              <w:rPr>
                <w:noProof/>
                <w:webHidden/>
              </w:rPr>
              <w:t>119</w:t>
            </w:r>
            <w:r>
              <w:rPr>
                <w:noProof/>
                <w:webHidden/>
              </w:rPr>
              <w:fldChar w:fldCharType="end"/>
            </w:r>
          </w:hyperlink>
        </w:p>
        <w:p w14:paraId="110B182A" w14:textId="3950680E"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09" w:history="1">
            <w:r w:rsidRPr="00992D34">
              <w:rPr>
                <w:rStyle w:val="Hyperlink"/>
                <w:noProof/>
              </w:rPr>
              <w:t>Step 3.2B: Draft</w:t>
            </w:r>
            <w:r w:rsidRPr="00992D34">
              <w:rPr>
                <w:rStyle w:val="Hyperlink"/>
                <w:noProof/>
                <w:spacing w:val="8"/>
              </w:rPr>
              <w:t xml:space="preserve"> </w:t>
            </w:r>
            <w:r w:rsidRPr="00992D34">
              <w:rPr>
                <w:rStyle w:val="Hyperlink"/>
                <w:noProof/>
                <w:spacing w:val="-2"/>
              </w:rPr>
              <w:t>Goals</w:t>
            </w:r>
            <w:r>
              <w:rPr>
                <w:noProof/>
                <w:webHidden/>
              </w:rPr>
              <w:tab/>
            </w:r>
            <w:r>
              <w:rPr>
                <w:noProof/>
                <w:webHidden/>
              </w:rPr>
              <w:fldChar w:fldCharType="begin"/>
            </w:r>
            <w:r>
              <w:rPr>
                <w:noProof/>
                <w:webHidden/>
              </w:rPr>
              <w:instrText xml:space="preserve"> PAGEREF _Toc235802709 \h </w:instrText>
            </w:r>
            <w:r>
              <w:rPr>
                <w:noProof/>
                <w:webHidden/>
              </w:rPr>
            </w:r>
            <w:r>
              <w:rPr>
                <w:noProof/>
                <w:webHidden/>
              </w:rPr>
              <w:fldChar w:fldCharType="separate"/>
            </w:r>
            <w:r>
              <w:rPr>
                <w:noProof/>
                <w:webHidden/>
              </w:rPr>
              <w:t>119</w:t>
            </w:r>
            <w:r>
              <w:rPr>
                <w:noProof/>
                <w:webHidden/>
              </w:rPr>
              <w:fldChar w:fldCharType="end"/>
            </w:r>
          </w:hyperlink>
        </w:p>
        <w:p w14:paraId="71AAD095" w14:textId="19E48542" w:rsidR="00A978CA" w:rsidRDefault="00A978CA">
          <w:pPr>
            <w:pStyle w:val="TOC2"/>
            <w:rPr>
              <w:rFonts w:asciiTheme="minorHAnsi" w:eastAsiaTheme="minorEastAsia" w:hAnsiTheme="minorHAnsi" w:cstheme="minorBidi"/>
              <w:b w:val="0"/>
              <w:noProof/>
              <w:kern w:val="2"/>
              <w14:ligatures w14:val="standardContextual"/>
            </w:rPr>
          </w:pPr>
          <w:hyperlink w:anchor="_Toc235802710" w:history="1">
            <w:r w:rsidRPr="00992D34">
              <w:rPr>
                <w:rStyle w:val="Hyperlink"/>
                <w:noProof/>
              </w:rPr>
              <w:t>Step</w:t>
            </w:r>
            <w:r w:rsidRPr="00992D34">
              <w:rPr>
                <w:rStyle w:val="Hyperlink"/>
                <w:noProof/>
                <w:spacing w:val="-20"/>
              </w:rPr>
              <w:t xml:space="preserve"> </w:t>
            </w:r>
            <w:r w:rsidRPr="00992D34">
              <w:rPr>
                <w:rStyle w:val="Hyperlink"/>
                <w:noProof/>
              </w:rPr>
              <w:t>3.3:</w:t>
            </w:r>
            <w:r w:rsidRPr="00992D34">
              <w:rPr>
                <w:rStyle w:val="Hyperlink"/>
                <w:noProof/>
                <w:spacing w:val="-18"/>
              </w:rPr>
              <w:t xml:space="preserve"> </w:t>
            </w:r>
            <w:r w:rsidRPr="00992D34">
              <w:rPr>
                <w:rStyle w:val="Hyperlink"/>
                <w:noProof/>
              </w:rPr>
              <w:t>Prepare</w:t>
            </w:r>
            <w:r w:rsidRPr="00992D34">
              <w:rPr>
                <w:rStyle w:val="Hyperlink"/>
                <w:noProof/>
                <w:spacing w:val="-18"/>
              </w:rPr>
              <w:t xml:space="preserve"> </w:t>
            </w:r>
            <w:r w:rsidRPr="00992D34">
              <w:rPr>
                <w:rStyle w:val="Hyperlink"/>
                <w:noProof/>
              </w:rPr>
              <w:t>Adaptation</w:t>
            </w:r>
            <w:r w:rsidRPr="00992D34">
              <w:rPr>
                <w:rStyle w:val="Hyperlink"/>
                <w:noProof/>
                <w:spacing w:val="-17"/>
              </w:rPr>
              <w:t xml:space="preserve"> </w:t>
            </w:r>
            <w:r w:rsidRPr="00992D34">
              <w:rPr>
                <w:rStyle w:val="Hyperlink"/>
                <w:noProof/>
                <w:spacing w:val="-2"/>
              </w:rPr>
              <w:t>Strategies</w:t>
            </w:r>
            <w:r>
              <w:rPr>
                <w:noProof/>
                <w:webHidden/>
              </w:rPr>
              <w:tab/>
            </w:r>
            <w:r>
              <w:rPr>
                <w:noProof/>
                <w:webHidden/>
              </w:rPr>
              <w:fldChar w:fldCharType="begin"/>
            </w:r>
            <w:r>
              <w:rPr>
                <w:noProof/>
                <w:webHidden/>
              </w:rPr>
              <w:instrText xml:space="preserve"> PAGEREF _Toc235802710 \h </w:instrText>
            </w:r>
            <w:r>
              <w:rPr>
                <w:noProof/>
                <w:webHidden/>
              </w:rPr>
            </w:r>
            <w:r>
              <w:rPr>
                <w:noProof/>
                <w:webHidden/>
              </w:rPr>
              <w:fldChar w:fldCharType="separate"/>
            </w:r>
            <w:r>
              <w:rPr>
                <w:noProof/>
                <w:webHidden/>
              </w:rPr>
              <w:t>122</w:t>
            </w:r>
            <w:r>
              <w:rPr>
                <w:noProof/>
                <w:webHidden/>
              </w:rPr>
              <w:fldChar w:fldCharType="end"/>
            </w:r>
          </w:hyperlink>
        </w:p>
        <w:p w14:paraId="4110CF5A" w14:textId="151D9C00"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1" w:history="1">
            <w:r w:rsidRPr="00992D34">
              <w:rPr>
                <w:rStyle w:val="Hyperlink"/>
                <w:noProof/>
              </w:rPr>
              <w:t>Step 3.3A: Identify Opportunities to Strengthen Existing Strategies</w:t>
            </w:r>
            <w:r>
              <w:rPr>
                <w:noProof/>
                <w:webHidden/>
              </w:rPr>
              <w:tab/>
            </w:r>
            <w:r>
              <w:rPr>
                <w:noProof/>
                <w:webHidden/>
              </w:rPr>
              <w:fldChar w:fldCharType="begin"/>
            </w:r>
            <w:r>
              <w:rPr>
                <w:noProof/>
                <w:webHidden/>
              </w:rPr>
              <w:instrText xml:space="preserve"> PAGEREF _Toc235802711 \h </w:instrText>
            </w:r>
            <w:r>
              <w:rPr>
                <w:noProof/>
                <w:webHidden/>
              </w:rPr>
            </w:r>
            <w:r>
              <w:rPr>
                <w:noProof/>
                <w:webHidden/>
              </w:rPr>
              <w:fldChar w:fldCharType="separate"/>
            </w:r>
            <w:r>
              <w:rPr>
                <w:noProof/>
                <w:webHidden/>
              </w:rPr>
              <w:t>122</w:t>
            </w:r>
            <w:r>
              <w:rPr>
                <w:noProof/>
                <w:webHidden/>
              </w:rPr>
              <w:fldChar w:fldCharType="end"/>
            </w:r>
          </w:hyperlink>
        </w:p>
        <w:p w14:paraId="3CEF86D6" w14:textId="28F577BF"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2" w:history="1">
            <w:r w:rsidRPr="00992D34">
              <w:rPr>
                <w:rStyle w:val="Hyperlink"/>
                <w:noProof/>
              </w:rPr>
              <w:t>Step 3.3B: Draft Adaptation Strategies</w:t>
            </w:r>
            <w:r>
              <w:rPr>
                <w:noProof/>
                <w:webHidden/>
              </w:rPr>
              <w:tab/>
            </w:r>
            <w:r>
              <w:rPr>
                <w:noProof/>
                <w:webHidden/>
              </w:rPr>
              <w:fldChar w:fldCharType="begin"/>
            </w:r>
            <w:r>
              <w:rPr>
                <w:noProof/>
                <w:webHidden/>
              </w:rPr>
              <w:instrText xml:space="preserve"> PAGEREF _Toc235802712 \h </w:instrText>
            </w:r>
            <w:r>
              <w:rPr>
                <w:noProof/>
                <w:webHidden/>
              </w:rPr>
            </w:r>
            <w:r>
              <w:rPr>
                <w:noProof/>
                <w:webHidden/>
              </w:rPr>
              <w:fldChar w:fldCharType="separate"/>
            </w:r>
            <w:r>
              <w:rPr>
                <w:noProof/>
                <w:webHidden/>
              </w:rPr>
              <w:t>123</w:t>
            </w:r>
            <w:r>
              <w:rPr>
                <w:noProof/>
                <w:webHidden/>
              </w:rPr>
              <w:fldChar w:fldCharType="end"/>
            </w:r>
          </w:hyperlink>
        </w:p>
        <w:p w14:paraId="4C14A319" w14:textId="4BFCA36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3" w:history="1">
            <w:r w:rsidRPr="00992D34">
              <w:rPr>
                <w:rStyle w:val="Hyperlink"/>
                <w:noProof/>
              </w:rPr>
              <w:t xml:space="preserve">Step 3.3C: Equity Considerations in </w:t>
            </w:r>
            <w:r w:rsidRPr="00992D34">
              <w:rPr>
                <w:rStyle w:val="Hyperlink"/>
                <w:noProof/>
                <w:spacing w:val="-2"/>
              </w:rPr>
              <w:t>Strategy</w:t>
            </w:r>
            <w:r>
              <w:rPr>
                <w:noProof/>
                <w:webHidden/>
              </w:rPr>
              <w:tab/>
            </w:r>
            <w:r>
              <w:rPr>
                <w:noProof/>
                <w:webHidden/>
              </w:rPr>
              <w:fldChar w:fldCharType="begin"/>
            </w:r>
            <w:r>
              <w:rPr>
                <w:noProof/>
                <w:webHidden/>
              </w:rPr>
              <w:instrText xml:space="preserve"> PAGEREF _Toc235802713 \h </w:instrText>
            </w:r>
            <w:r>
              <w:rPr>
                <w:noProof/>
                <w:webHidden/>
              </w:rPr>
            </w:r>
            <w:r>
              <w:rPr>
                <w:noProof/>
                <w:webHidden/>
              </w:rPr>
              <w:fldChar w:fldCharType="separate"/>
            </w:r>
            <w:r>
              <w:rPr>
                <w:noProof/>
                <w:webHidden/>
              </w:rPr>
              <w:t>131</w:t>
            </w:r>
            <w:r>
              <w:rPr>
                <w:noProof/>
                <w:webHidden/>
              </w:rPr>
              <w:fldChar w:fldCharType="end"/>
            </w:r>
          </w:hyperlink>
        </w:p>
        <w:p w14:paraId="4EC1CA60" w14:textId="5087360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4" w:history="1">
            <w:r w:rsidRPr="00992D34">
              <w:rPr>
                <w:rStyle w:val="Hyperlink"/>
                <w:noProof/>
              </w:rPr>
              <w:t>Step 3.3D: Outreach and Engagement</w:t>
            </w:r>
            <w:r>
              <w:rPr>
                <w:noProof/>
                <w:webHidden/>
              </w:rPr>
              <w:tab/>
            </w:r>
            <w:r>
              <w:rPr>
                <w:noProof/>
                <w:webHidden/>
              </w:rPr>
              <w:fldChar w:fldCharType="begin"/>
            </w:r>
            <w:r>
              <w:rPr>
                <w:noProof/>
                <w:webHidden/>
              </w:rPr>
              <w:instrText xml:space="preserve"> PAGEREF _Toc235802714 \h </w:instrText>
            </w:r>
            <w:r>
              <w:rPr>
                <w:noProof/>
                <w:webHidden/>
              </w:rPr>
            </w:r>
            <w:r>
              <w:rPr>
                <w:noProof/>
                <w:webHidden/>
              </w:rPr>
              <w:fldChar w:fldCharType="separate"/>
            </w:r>
            <w:r>
              <w:rPr>
                <w:noProof/>
                <w:webHidden/>
              </w:rPr>
              <w:t>135</w:t>
            </w:r>
            <w:r>
              <w:rPr>
                <w:noProof/>
                <w:webHidden/>
              </w:rPr>
              <w:fldChar w:fldCharType="end"/>
            </w:r>
          </w:hyperlink>
        </w:p>
        <w:p w14:paraId="7B7DABF9" w14:textId="353F3245" w:rsidR="00A978CA" w:rsidRDefault="00A978CA">
          <w:pPr>
            <w:pStyle w:val="TOC2"/>
            <w:rPr>
              <w:rFonts w:asciiTheme="minorHAnsi" w:eastAsiaTheme="minorEastAsia" w:hAnsiTheme="minorHAnsi" w:cstheme="minorBidi"/>
              <w:b w:val="0"/>
              <w:noProof/>
              <w:kern w:val="2"/>
              <w14:ligatures w14:val="standardContextual"/>
            </w:rPr>
          </w:pPr>
          <w:hyperlink w:anchor="_Toc235802715" w:history="1">
            <w:r w:rsidRPr="00992D34">
              <w:rPr>
                <w:rStyle w:val="Hyperlink"/>
                <w:noProof/>
              </w:rPr>
              <w:t>Step</w:t>
            </w:r>
            <w:r w:rsidRPr="00992D34">
              <w:rPr>
                <w:rStyle w:val="Hyperlink"/>
                <w:noProof/>
                <w:spacing w:val="-14"/>
              </w:rPr>
              <w:t xml:space="preserve"> </w:t>
            </w:r>
            <w:r w:rsidRPr="00992D34">
              <w:rPr>
                <w:rStyle w:val="Hyperlink"/>
                <w:noProof/>
              </w:rPr>
              <w:t>3.4:</w:t>
            </w:r>
            <w:r w:rsidRPr="00992D34">
              <w:rPr>
                <w:rStyle w:val="Hyperlink"/>
                <w:noProof/>
                <w:spacing w:val="-11"/>
              </w:rPr>
              <w:t xml:space="preserve"> </w:t>
            </w:r>
            <w:r w:rsidRPr="00992D34">
              <w:rPr>
                <w:rStyle w:val="Hyperlink"/>
                <w:noProof/>
              </w:rPr>
              <w:t>Prioritize</w:t>
            </w:r>
            <w:r w:rsidRPr="00992D34">
              <w:rPr>
                <w:rStyle w:val="Hyperlink"/>
                <w:noProof/>
                <w:spacing w:val="-11"/>
              </w:rPr>
              <w:t xml:space="preserve"> </w:t>
            </w:r>
            <w:r w:rsidRPr="00992D34">
              <w:rPr>
                <w:rStyle w:val="Hyperlink"/>
                <w:noProof/>
              </w:rPr>
              <w:t>Adaptation</w:t>
            </w:r>
            <w:r w:rsidRPr="00992D34">
              <w:rPr>
                <w:rStyle w:val="Hyperlink"/>
                <w:noProof/>
                <w:spacing w:val="-11"/>
              </w:rPr>
              <w:t xml:space="preserve"> </w:t>
            </w:r>
            <w:r w:rsidRPr="00992D34">
              <w:rPr>
                <w:rStyle w:val="Hyperlink"/>
                <w:noProof/>
                <w:spacing w:val="-2"/>
              </w:rPr>
              <w:t>Strategies</w:t>
            </w:r>
            <w:r>
              <w:rPr>
                <w:noProof/>
                <w:webHidden/>
              </w:rPr>
              <w:tab/>
            </w:r>
            <w:r>
              <w:rPr>
                <w:noProof/>
                <w:webHidden/>
              </w:rPr>
              <w:fldChar w:fldCharType="begin"/>
            </w:r>
            <w:r>
              <w:rPr>
                <w:noProof/>
                <w:webHidden/>
              </w:rPr>
              <w:instrText xml:space="preserve"> PAGEREF _Toc235802715 \h </w:instrText>
            </w:r>
            <w:r>
              <w:rPr>
                <w:noProof/>
                <w:webHidden/>
              </w:rPr>
            </w:r>
            <w:r>
              <w:rPr>
                <w:noProof/>
                <w:webHidden/>
              </w:rPr>
              <w:fldChar w:fldCharType="separate"/>
            </w:r>
            <w:r>
              <w:rPr>
                <w:noProof/>
                <w:webHidden/>
              </w:rPr>
              <w:t>136</w:t>
            </w:r>
            <w:r>
              <w:rPr>
                <w:noProof/>
                <w:webHidden/>
              </w:rPr>
              <w:fldChar w:fldCharType="end"/>
            </w:r>
          </w:hyperlink>
        </w:p>
        <w:p w14:paraId="1F3B6D44" w14:textId="251F6C2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6" w:history="1">
            <w:r w:rsidRPr="00992D34">
              <w:rPr>
                <w:rStyle w:val="Hyperlink"/>
                <w:noProof/>
              </w:rPr>
              <w:t>Step 3.4A: Cost/Benefit</w:t>
            </w:r>
            <w:r w:rsidRPr="00992D34">
              <w:rPr>
                <w:rStyle w:val="Hyperlink"/>
                <w:noProof/>
                <w:spacing w:val="-9"/>
              </w:rPr>
              <w:t xml:space="preserve"> </w:t>
            </w:r>
            <w:r w:rsidRPr="00992D34">
              <w:rPr>
                <w:rStyle w:val="Hyperlink"/>
                <w:noProof/>
              </w:rPr>
              <w:t>Assessment</w:t>
            </w:r>
            <w:r w:rsidRPr="00992D34">
              <w:rPr>
                <w:rStyle w:val="Hyperlink"/>
                <w:noProof/>
                <w:spacing w:val="-8"/>
              </w:rPr>
              <w:t xml:space="preserve"> </w:t>
            </w:r>
            <w:r w:rsidRPr="00992D34">
              <w:rPr>
                <w:rStyle w:val="Hyperlink"/>
                <w:noProof/>
              </w:rPr>
              <w:t>for</w:t>
            </w:r>
            <w:r w:rsidRPr="00992D34">
              <w:rPr>
                <w:rStyle w:val="Hyperlink"/>
                <w:noProof/>
                <w:spacing w:val="-8"/>
              </w:rPr>
              <w:t xml:space="preserve"> </w:t>
            </w:r>
            <w:r w:rsidRPr="00992D34">
              <w:rPr>
                <w:rStyle w:val="Hyperlink"/>
                <w:noProof/>
              </w:rPr>
              <w:t>Adaptation</w:t>
            </w:r>
            <w:r w:rsidRPr="00992D34">
              <w:rPr>
                <w:rStyle w:val="Hyperlink"/>
                <w:noProof/>
                <w:spacing w:val="-8"/>
              </w:rPr>
              <w:t xml:space="preserve"> </w:t>
            </w:r>
            <w:r w:rsidRPr="00992D34">
              <w:rPr>
                <w:rStyle w:val="Hyperlink"/>
                <w:noProof/>
                <w:spacing w:val="-2"/>
              </w:rPr>
              <w:t>Strategies</w:t>
            </w:r>
            <w:r>
              <w:rPr>
                <w:noProof/>
                <w:webHidden/>
              </w:rPr>
              <w:tab/>
            </w:r>
            <w:r>
              <w:rPr>
                <w:noProof/>
                <w:webHidden/>
              </w:rPr>
              <w:fldChar w:fldCharType="begin"/>
            </w:r>
            <w:r>
              <w:rPr>
                <w:noProof/>
                <w:webHidden/>
              </w:rPr>
              <w:instrText xml:space="preserve"> PAGEREF _Toc235802716 \h </w:instrText>
            </w:r>
            <w:r>
              <w:rPr>
                <w:noProof/>
                <w:webHidden/>
              </w:rPr>
            </w:r>
            <w:r>
              <w:rPr>
                <w:noProof/>
                <w:webHidden/>
              </w:rPr>
              <w:fldChar w:fldCharType="separate"/>
            </w:r>
            <w:r>
              <w:rPr>
                <w:noProof/>
                <w:webHidden/>
              </w:rPr>
              <w:t>138</w:t>
            </w:r>
            <w:r>
              <w:rPr>
                <w:noProof/>
                <w:webHidden/>
              </w:rPr>
              <w:fldChar w:fldCharType="end"/>
            </w:r>
          </w:hyperlink>
        </w:p>
        <w:p w14:paraId="45DB7C48" w14:textId="354C895C"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17" w:history="1">
            <w:r w:rsidRPr="00992D34">
              <w:rPr>
                <w:rStyle w:val="Hyperlink"/>
                <w:noProof/>
              </w:rPr>
              <w:t>Step 3.4B: Outreach</w:t>
            </w:r>
            <w:r w:rsidRPr="00992D34">
              <w:rPr>
                <w:rStyle w:val="Hyperlink"/>
                <w:noProof/>
                <w:spacing w:val="-13"/>
              </w:rPr>
              <w:t xml:space="preserve"> </w:t>
            </w:r>
            <w:r w:rsidRPr="00992D34">
              <w:rPr>
                <w:rStyle w:val="Hyperlink"/>
                <w:noProof/>
              </w:rPr>
              <w:t>to</w:t>
            </w:r>
            <w:r w:rsidRPr="00992D34">
              <w:rPr>
                <w:rStyle w:val="Hyperlink"/>
                <w:noProof/>
                <w:spacing w:val="-10"/>
              </w:rPr>
              <w:t xml:space="preserve"> </w:t>
            </w:r>
            <w:r w:rsidRPr="00992D34">
              <w:rPr>
                <w:rStyle w:val="Hyperlink"/>
                <w:noProof/>
              </w:rPr>
              <w:t>Develop</w:t>
            </w:r>
            <w:r w:rsidRPr="00992D34">
              <w:rPr>
                <w:rStyle w:val="Hyperlink"/>
                <w:noProof/>
                <w:spacing w:val="-11"/>
              </w:rPr>
              <w:t xml:space="preserve"> </w:t>
            </w:r>
            <w:r w:rsidRPr="00992D34">
              <w:rPr>
                <w:rStyle w:val="Hyperlink"/>
                <w:noProof/>
              </w:rPr>
              <w:t>Adaptation</w:t>
            </w:r>
            <w:r w:rsidRPr="00992D34">
              <w:rPr>
                <w:rStyle w:val="Hyperlink"/>
                <w:noProof/>
                <w:spacing w:val="-10"/>
              </w:rPr>
              <w:t xml:space="preserve"> </w:t>
            </w:r>
            <w:r w:rsidRPr="00992D34">
              <w:rPr>
                <w:rStyle w:val="Hyperlink"/>
                <w:noProof/>
                <w:spacing w:val="-2"/>
              </w:rPr>
              <w:t>Strategies</w:t>
            </w:r>
            <w:r>
              <w:rPr>
                <w:noProof/>
                <w:webHidden/>
              </w:rPr>
              <w:tab/>
            </w:r>
            <w:r>
              <w:rPr>
                <w:noProof/>
                <w:webHidden/>
              </w:rPr>
              <w:fldChar w:fldCharType="begin"/>
            </w:r>
            <w:r>
              <w:rPr>
                <w:noProof/>
                <w:webHidden/>
              </w:rPr>
              <w:instrText xml:space="preserve"> PAGEREF _Toc235802717 \h </w:instrText>
            </w:r>
            <w:r>
              <w:rPr>
                <w:noProof/>
                <w:webHidden/>
              </w:rPr>
            </w:r>
            <w:r>
              <w:rPr>
                <w:noProof/>
                <w:webHidden/>
              </w:rPr>
              <w:fldChar w:fldCharType="separate"/>
            </w:r>
            <w:r>
              <w:rPr>
                <w:noProof/>
                <w:webHidden/>
              </w:rPr>
              <w:t>139</w:t>
            </w:r>
            <w:r>
              <w:rPr>
                <w:noProof/>
                <w:webHidden/>
              </w:rPr>
              <w:fldChar w:fldCharType="end"/>
            </w:r>
          </w:hyperlink>
        </w:p>
        <w:p w14:paraId="103BA0F0" w14:textId="75614FFB" w:rsidR="00A978CA" w:rsidRDefault="00A978CA">
          <w:pPr>
            <w:pStyle w:val="TOC2"/>
            <w:rPr>
              <w:rFonts w:asciiTheme="minorHAnsi" w:eastAsiaTheme="minorEastAsia" w:hAnsiTheme="minorHAnsi" w:cstheme="minorBidi"/>
              <w:b w:val="0"/>
              <w:noProof/>
              <w:kern w:val="2"/>
              <w14:ligatures w14:val="standardContextual"/>
            </w:rPr>
          </w:pPr>
          <w:hyperlink w:anchor="_Toc235802718" w:history="1">
            <w:r w:rsidRPr="00992D34">
              <w:rPr>
                <w:rStyle w:val="Hyperlink"/>
                <w:noProof/>
              </w:rPr>
              <w:t>Phase</w:t>
            </w:r>
            <w:r w:rsidRPr="00992D34">
              <w:rPr>
                <w:rStyle w:val="Hyperlink"/>
                <w:noProof/>
                <w:spacing w:val="-3"/>
              </w:rPr>
              <w:t xml:space="preserve"> </w:t>
            </w:r>
            <w:r w:rsidRPr="00992D34">
              <w:rPr>
                <w:rStyle w:val="Hyperlink"/>
                <w:noProof/>
              </w:rPr>
              <w:t>3</w:t>
            </w:r>
            <w:r w:rsidRPr="00992D34">
              <w:rPr>
                <w:rStyle w:val="Hyperlink"/>
                <w:noProof/>
                <w:spacing w:val="-2"/>
              </w:rPr>
              <w:t xml:space="preserve"> </w:t>
            </w:r>
            <w:r w:rsidRPr="00992D34">
              <w:rPr>
                <w:rStyle w:val="Hyperlink"/>
                <w:noProof/>
              </w:rPr>
              <w:t>Wrap-</w:t>
            </w:r>
            <w:r w:rsidRPr="00992D34">
              <w:rPr>
                <w:rStyle w:val="Hyperlink"/>
                <w:noProof/>
                <w:spacing w:val="-5"/>
              </w:rPr>
              <w:t>Up</w:t>
            </w:r>
            <w:r>
              <w:rPr>
                <w:noProof/>
                <w:webHidden/>
              </w:rPr>
              <w:tab/>
            </w:r>
            <w:r>
              <w:rPr>
                <w:noProof/>
                <w:webHidden/>
              </w:rPr>
              <w:fldChar w:fldCharType="begin"/>
            </w:r>
            <w:r>
              <w:rPr>
                <w:noProof/>
                <w:webHidden/>
              </w:rPr>
              <w:instrText xml:space="preserve"> PAGEREF _Toc235802718 \h </w:instrText>
            </w:r>
            <w:r>
              <w:rPr>
                <w:noProof/>
                <w:webHidden/>
              </w:rPr>
            </w:r>
            <w:r>
              <w:rPr>
                <w:noProof/>
                <w:webHidden/>
              </w:rPr>
              <w:fldChar w:fldCharType="separate"/>
            </w:r>
            <w:r>
              <w:rPr>
                <w:noProof/>
                <w:webHidden/>
              </w:rPr>
              <w:t>142</w:t>
            </w:r>
            <w:r>
              <w:rPr>
                <w:noProof/>
                <w:webHidden/>
              </w:rPr>
              <w:fldChar w:fldCharType="end"/>
            </w:r>
          </w:hyperlink>
        </w:p>
        <w:p w14:paraId="5A99D54D" w14:textId="6EB8180A"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19" w:history="1">
            <w:r w:rsidRPr="00992D34">
              <w:rPr>
                <w:rStyle w:val="Hyperlink"/>
                <w:noProof/>
              </w:rPr>
              <w:t>PHASE 4: IMPLEMENT, MONITOR, EVALUATE, AND ADJUST</w:t>
            </w:r>
            <w:r>
              <w:rPr>
                <w:noProof/>
                <w:webHidden/>
              </w:rPr>
              <w:tab/>
            </w:r>
            <w:r>
              <w:rPr>
                <w:noProof/>
                <w:webHidden/>
              </w:rPr>
              <w:fldChar w:fldCharType="begin"/>
            </w:r>
            <w:r>
              <w:rPr>
                <w:noProof/>
                <w:webHidden/>
              </w:rPr>
              <w:instrText xml:space="preserve"> PAGEREF _Toc235802719 \h </w:instrText>
            </w:r>
            <w:r>
              <w:rPr>
                <w:noProof/>
                <w:webHidden/>
              </w:rPr>
            </w:r>
            <w:r>
              <w:rPr>
                <w:noProof/>
                <w:webHidden/>
              </w:rPr>
              <w:fldChar w:fldCharType="separate"/>
            </w:r>
            <w:r>
              <w:rPr>
                <w:noProof/>
                <w:webHidden/>
              </w:rPr>
              <w:t>143</w:t>
            </w:r>
            <w:r>
              <w:rPr>
                <w:noProof/>
                <w:webHidden/>
              </w:rPr>
              <w:fldChar w:fldCharType="end"/>
            </w:r>
          </w:hyperlink>
        </w:p>
        <w:p w14:paraId="5A98DB10" w14:textId="56B33CBB" w:rsidR="00A978CA" w:rsidRDefault="00A978CA">
          <w:pPr>
            <w:pStyle w:val="TOC2"/>
            <w:rPr>
              <w:rFonts w:asciiTheme="minorHAnsi" w:eastAsiaTheme="minorEastAsia" w:hAnsiTheme="minorHAnsi" w:cstheme="minorBidi"/>
              <w:b w:val="0"/>
              <w:noProof/>
              <w:kern w:val="2"/>
              <w14:ligatures w14:val="standardContextual"/>
            </w:rPr>
          </w:pPr>
          <w:hyperlink w:anchor="_Toc235802720" w:history="1">
            <w:r w:rsidRPr="00992D34">
              <w:rPr>
                <w:rStyle w:val="Hyperlink"/>
                <w:noProof/>
              </w:rPr>
              <w:t>Outreach and Engagement in Phase 4</w:t>
            </w:r>
            <w:r>
              <w:rPr>
                <w:noProof/>
                <w:webHidden/>
              </w:rPr>
              <w:tab/>
            </w:r>
            <w:r>
              <w:rPr>
                <w:noProof/>
                <w:webHidden/>
              </w:rPr>
              <w:fldChar w:fldCharType="begin"/>
            </w:r>
            <w:r>
              <w:rPr>
                <w:noProof/>
                <w:webHidden/>
              </w:rPr>
              <w:instrText xml:space="preserve"> PAGEREF _Toc235802720 \h </w:instrText>
            </w:r>
            <w:r>
              <w:rPr>
                <w:noProof/>
                <w:webHidden/>
              </w:rPr>
            </w:r>
            <w:r>
              <w:rPr>
                <w:noProof/>
                <w:webHidden/>
              </w:rPr>
              <w:fldChar w:fldCharType="separate"/>
            </w:r>
            <w:r>
              <w:rPr>
                <w:noProof/>
                <w:webHidden/>
              </w:rPr>
              <w:t>144</w:t>
            </w:r>
            <w:r>
              <w:rPr>
                <w:noProof/>
                <w:webHidden/>
              </w:rPr>
              <w:fldChar w:fldCharType="end"/>
            </w:r>
          </w:hyperlink>
        </w:p>
        <w:p w14:paraId="3518EAD3" w14:textId="378A956B" w:rsidR="00A978CA" w:rsidRDefault="00A978CA">
          <w:pPr>
            <w:pStyle w:val="TOC2"/>
            <w:rPr>
              <w:rFonts w:asciiTheme="minorHAnsi" w:eastAsiaTheme="minorEastAsia" w:hAnsiTheme="minorHAnsi" w:cstheme="minorBidi"/>
              <w:b w:val="0"/>
              <w:noProof/>
              <w:kern w:val="2"/>
              <w14:ligatures w14:val="standardContextual"/>
            </w:rPr>
          </w:pPr>
          <w:hyperlink w:anchor="_Toc235802721" w:history="1">
            <w:r w:rsidRPr="00992D34">
              <w:rPr>
                <w:rStyle w:val="Hyperlink"/>
                <w:noProof/>
              </w:rPr>
              <w:t>Step 4.1: Implement</w:t>
            </w:r>
            <w:r>
              <w:rPr>
                <w:noProof/>
                <w:webHidden/>
              </w:rPr>
              <w:tab/>
            </w:r>
            <w:r>
              <w:rPr>
                <w:noProof/>
                <w:webHidden/>
              </w:rPr>
              <w:fldChar w:fldCharType="begin"/>
            </w:r>
            <w:r>
              <w:rPr>
                <w:noProof/>
                <w:webHidden/>
              </w:rPr>
              <w:instrText xml:space="preserve"> PAGEREF _Toc235802721 \h </w:instrText>
            </w:r>
            <w:r>
              <w:rPr>
                <w:noProof/>
                <w:webHidden/>
              </w:rPr>
            </w:r>
            <w:r>
              <w:rPr>
                <w:noProof/>
                <w:webHidden/>
              </w:rPr>
              <w:fldChar w:fldCharType="separate"/>
            </w:r>
            <w:r>
              <w:rPr>
                <w:noProof/>
                <w:webHidden/>
              </w:rPr>
              <w:t>144</w:t>
            </w:r>
            <w:r>
              <w:rPr>
                <w:noProof/>
                <w:webHidden/>
              </w:rPr>
              <w:fldChar w:fldCharType="end"/>
            </w:r>
          </w:hyperlink>
        </w:p>
        <w:p w14:paraId="17F57DB7" w14:textId="51C933E8"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2" w:history="1">
            <w:r w:rsidRPr="00992D34">
              <w:rPr>
                <w:rStyle w:val="Hyperlink"/>
                <w:noProof/>
              </w:rPr>
              <w:t>Step 4.1A: Develop an Implementation Program</w:t>
            </w:r>
            <w:r>
              <w:rPr>
                <w:noProof/>
                <w:webHidden/>
              </w:rPr>
              <w:tab/>
            </w:r>
            <w:r>
              <w:rPr>
                <w:noProof/>
                <w:webHidden/>
              </w:rPr>
              <w:fldChar w:fldCharType="begin"/>
            </w:r>
            <w:r>
              <w:rPr>
                <w:noProof/>
                <w:webHidden/>
              </w:rPr>
              <w:instrText xml:space="preserve"> PAGEREF _Toc235802722 \h </w:instrText>
            </w:r>
            <w:r>
              <w:rPr>
                <w:noProof/>
                <w:webHidden/>
              </w:rPr>
            </w:r>
            <w:r>
              <w:rPr>
                <w:noProof/>
                <w:webHidden/>
              </w:rPr>
              <w:fldChar w:fldCharType="separate"/>
            </w:r>
            <w:r>
              <w:rPr>
                <w:noProof/>
                <w:webHidden/>
              </w:rPr>
              <w:t>145</w:t>
            </w:r>
            <w:r>
              <w:rPr>
                <w:noProof/>
                <w:webHidden/>
              </w:rPr>
              <w:fldChar w:fldCharType="end"/>
            </w:r>
          </w:hyperlink>
        </w:p>
        <w:p w14:paraId="3FE49FE2" w14:textId="5A6693F6"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3" w:history="1">
            <w:r w:rsidRPr="00992D34">
              <w:rPr>
                <w:rStyle w:val="Hyperlink"/>
                <w:noProof/>
              </w:rPr>
              <w:t>Step 4.1B: Implementation Funding</w:t>
            </w:r>
            <w:r>
              <w:rPr>
                <w:noProof/>
                <w:webHidden/>
              </w:rPr>
              <w:tab/>
            </w:r>
            <w:r>
              <w:rPr>
                <w:noProof/>
                <w:webHidden/>
              </w:rPr>
              <w:fldChar w:fldCharType="begin"/>
            </w:r>
            <w:r>
              <w:rPr>
                <w:noProof/>
                <w:webHidden/>
              </w:rPr>
              <w:instrText xml:space="preserve"> PAGEREF _Toc235802723 \h </w:instrText>
            </w:r>
            <w:r>
              <w:rPr>
                <w:noProof/>
                <w:webHidden/>
              </w:rPr>
            </w:r>
            <w:r>
              <w:rPr>
                <w:noProof/>
                <w:webHidden/>
              </w:rPr>
              <w:fldChar w:fldCharType="separate"/>
            </w:r>
            <w:r>
              <w:rPr>
                <w:noProof/>
                <w:webHidden/>
              </w:rPr>
              <w:t>147</w:t>
            </w:r>
            <w:r>
              <w:rPr>
                <w:noProof/>
                <w:webHidden/>
              </w:rPr>
              <w:fldChar w:fldCharType="end"/>
            </w:r>
          </w:hyperlink>
        </w:p>
        <w:p w14:paraId="40D6891A" w14:textId="3F3F0A59"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4" w:history="1">
            <w:r w:rsidRPr="00992D34">
              <w:rPr>
                <w:rStyle w:val="Hyperlink"/>
                <w:noProof/>
              </w:rPr>
              <w:t>Step 4.1C: Implementation Outreach</w:t>
            </w:r>
            <w:r>
              <w:rPr>
                <w:noProof/>
                <w:webHidden/>
              </w:rPr>
              <w:tab/>
            </w:r>
            <w:r>
              <w:rPr>
                <w:noProof/>
                <w:webHidden/>
              </w:rPr>
              <w:fldChar w:fldCharType="begin"/>
            </w:r>
            <w:r>
              <w:rPr>
                <w:noProof/>
                <w:webHidden/>
              </w:rPr>
              <w:instrText xml:space="preserve"> PAGEREF _Toc235802724 \h </w:instrText>
            </w:r>
            <w:r>
              <w:rPr>
                <w:noProof/>
                <w:webHidden/>
              </w:rPr>
            </w:r>
            <w:r>
              <w:rPr>
                <w:noProof/>
                <w:webHidden/>
              </w:rPr>
              <w:fldChar w:fldCharType="separate"/>
            </w:r>
            <w:r>
              <w:rPr>
                <w:noProof/>
                <w:webHidden/>
              </w:rPr>
              <w:t>159</w:t>
            </w:r>
            <w:r>
              <w:rPr>
                <w:noProof/>
                <w:webHidden/>
              </w:rPr>
              <w:fldChar w:fldCharType="end"/>
            </w:r>
          </w:hyperlink>
        </w:p>
        <w:p w14:paraId="015688C9" w14:textId="0091C869" w:rsidR="00A978CA" w:rsidRDefault="00A978CA">
          <w:pPr>
            <w:pStyle w:val="TOC2"/>
            <w:rPr>
              <w:rFonts w:asciiTheme="minorHAnsi" w:eastAsiaTheme="minorEastAsia" w:hAnsiTheme="minorHAnsi" w:cstheme="minorBidi"/>
              <w:b w:val="0"/>
              <w:noProof/>
              <w:kern w:val="2"/>
              <w14:ligatures w14:val="standardContextual"/>
            </w:rPr>
          </w:pPr>
          <w:hyperlink w:anchor="_Toc235802725" w:history="1">
            <w:r w:rsidRPr="00992D34">
              <w:rPr>
                <w:rStyle w:val="Hyperlink"/>
                <w:noProof/>
              </w:rPr>
              <w:t>Step 4.2: Monitoring and Evaluation</w:t>
            </w:r>
            <w:r>
              <w:rPr>
                <w:noProof/>
                <w:webHidden/>
              </w:rPr>
              <w:tab/>
            </w:r>
            <w:r>
              <w:rPr>
                <w:noProof/>
                <w:webHidden/>
              </w:rPr>
              <w:fldChar w:fldCharType="begin"/>
            </w:r>
            <w:r>
              <w:rPr>
                <w:noProof/>
                <w:webHidden/>
              </w:rPr>
              <w:instrText xml:space="preserve"> PAGEREF _Toc235802725 \h </w:instrText>
            </w:r>
            <w:r>
              <w:rPr>
                <w:noProof/>
                <w:webHidden/>
              </w:rPr>
            </w:r>
            <w:r>
              <w:rPr>
                <w:noProof/>
                <w:webHidden/>
              </w:rPr>
              <w:fldChar w:fldCharType="separate"/>
            </w:r>
            <w:r>
              <w:rPr>
                <w:noProof/>
                <w:webHidden/>
              </w:rPr>
              <w:t>160</w:t>
            </w:r>
            <w:r>
              <w:rPr>
                <w:noProof/>
                <w:webHidden/>
              </w:rPr>
              <w:fldChar w:fldCharType="end"/>
            </w:r>
          </w:hyperlink>
        </w:p>
        <w:p w14:paraId="6FCA2E6E" w14:textId="7605D7F8"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6" w:history="1">
            <w:r w:rsidRPr="00992D34">
              <w:rPr>
                <w:rStyle w:val="Hyperlink"/>
                <w:noProof/>
              </w:rPr>
              <w:t>Step 4.2A: Metrics and Indicators</w:t>
            </w:r>
            <w:r>
              <w:rPr>
                <w:noProof/>
                <w:webHidden/>
              </w:rPr>
              <w:tab/>
            </w:r>
            <w:r>
              <w:rPr>
                <w:noProof/>
                <w:webHidden/>
              </w:rPr>
              <w:fldChar w:fldCharType="begin"/>
            </w:r>
            <w:r>
              <w:rPr>
                <w:noProof/>
                <w:webHidden/>
              </w:rPr>
              <w:instrText xml:space="preserve"> PAGEREF _Toc235802726 \h </w:instrText>
            </w:r>
            <w:r>
              <w:rPr>
                <w:noProof/>
                <w:webHidden/>
              </w:rPr>
            </w:r>
            <w:r>
              <w:rPr>
                <w:noProof/>
                <w:webHidden/>
              </w:rPr>
              <w:fldChar w:fldCharType="separate"/>
            </w:r>
            <w:r>
              <w:rPr>
                <w:noProof/>
                <w:webHidden/>
              </w:rPr>
              <w:t>161</w:t>
            </w:r>
            <w:r>
              <w:rPr>
                <w:noProof/>
                <w:webHidden/>
              </w:rPr>
              <w:fldChar w:fldCharType="end"/>
            </w:r>
          </w:hyperlink>
        </w:p>
        <w:p w14:paraId="3A6420A2" w14:textId="50F290F6"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7" w:history="1">
            <w:r w:rsidRPr="00992D34">
              <w:rPr>
                <w:rStyle w:val="Hyperlink"/>
                <w:noProof/>
              </w:rPr>
              <w:t>Step 4.2B: Monitoring and Evaluating Outreach</w:t>
            </w:r>
            <w:r>
              <w:rPr>
                <w:noProof/>
                <w:webHidden/>
              </w:rPr>
              <w:tab/>
            </w:r>
            <w:r>
              <w:rPr>
                <w:noProof/>
                <w:webHidden/>
              </w:rPr>
              <w:fldChar w:fldCharType="begin"/>
            </w:r>
            <w:r>
              <w:rPr>
                <w:noProof/>
                <w:webHidden/>
              </w:rPr>
              <w:instrText xml:space="preserve"> PAGEREF _Toc235802727 \h </w:instrText>
            </w:r>
            <w:r>
              <w:rPr>
                <w:noProof/>
                <w:webHidden/>
              </w:rPr>
            </w:r>
            <w:r>
              <w:rPr>
                <w:noProof/>
                <w:webHidden/>
              </w:rPr>
              <w:fldChar w:fldCharType="separate"/>
            </w:r>
            <w:r>
              <w:rPr>
                <w:noProof/>
                <w:webHidden/>
              </w:rPr>
              <w:t>167</w:t>
            </w:r>
            <w:r>
              <w:rPr>
                <w:noProof/>
                <w:webHidden/>
              </w:rPr>
              <w:fldChar w:fldCharType="end"/>
            </w:r>
          </w:hyperlink>
        </w:p>
        <w:p w14:paraId="2E44B0CF" w14:textId="6FF1AF59" w:rsidR="00A978CA" w:rsidRDefault="00A978CA">
          <w:pPr>
            <w:pStyle w:val="TOC2"/>
            <w:rPr>
              <w:rFonts w:asciiTheme="minorHAnsi" w:eastAsiaTheme="minorEastAsia" w:hAnsiTheme="minorHAnsi" w:cstheme="minorBidi"/>
              <w:b w:val="0"/>
              <w:noProof/>
              <w:kern w:val="2"/>
              <w14:ligatures w14:val="standardContextual"/>
            </w:rPr>
          </w:pPr>
          <w:hyperlink w:anchor="_Toc235802728" w:history="1">
            <w:r w:rsidRPr="00992D34">
              <w:rPr>
                <w:rStyle w:val="Hyperlink"/>
                <w:noProof/>
              </w:rPr>
              <w:t>Step 4.3: Adjust</w:t>
            </w:r>
            <w:r>
              <w:rPr>
                <w:noProof/>
                <w:webHidden/>
              </w:rPr>
              <w:tab/>
            </w:r>
            <w:r>
              <w:rPr>
                <w:noProof/>
                <w:webHidden/>
              </w:rPr>
              <w:fldChar w:fldCharType="begin"/>
            </w:r>
            <w:r>
              <w:rPr>
                <w:noProof/>
                <w:webHidden/>
              </w:rPr>
              <w:instrText xml:space="preserve"> PAGEREF _Toc235802728 \h </w:instrText>
            </w:r>
            <w:r>
              <w:rPr>
                <w:noProof/>
                <w:webHidden/>
              </w:rPr>
            </w:r>
            <w:r>
              <w:rPr>
                <w:noProof/>
                <w:webHidden/>
              </w:rPr>
              <w:fldChar w:fldCharType="separate"/>
            </w:r>
            <w:r>
              <w:rPr>
                <w:noProof/>
                <w:webHidden/>
              </w:rPr>
              <w:t>168</w:t>
            </w:r>
            <w:r>
              <w:rPr>
                <w:noProof/>
                <w:webHidden/>
              </w:rPr>
              <w:fldChar w:fldCharType="end"/>
            </w:r>
          </w:hyperlink>
        </w:p>
        <w:p w14:paraId="1C3FB364" w14:textId="3BA6558E"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29" w:history="1">
            <w:r w:rsidRPr="00992D34">
              <w:rPr>
                <w:rStyle w:val="Hyperlink"/>
                <w:noProof/>
              </w:rPr>
              <w:t>Step 4.3A: Adjustment Considerations</w:t>
            </w:r>
            <w:r>
              <w:rPr>
                <w:noProof/>
                <w:webHidden/>
              </w:rPr>
              <w:tab/>
            </w:r>
            <w:r>
              <w:rPr>
                <w:noProof/>
                <w:webHidden/>
              </w:rPr>
              <w:fldChar w:fldCharType="begin"/>
            </w:r>
            <w:r>
              <w:rPr>
                <w:noProof/>
                <w:webHidden/>
              </w:rPr>
              <w:instrText xml:space="preserve"> PAGEREF _Toc235802729 \h </w:instrText>
            </w:r>
            <w:r>
              <w:rPr>
                <w:noProof/>
                <w:webHidden/>
              </w:rPr>
            </w:r>
            <w:r>
              <w:rPr>
                <w:noProof/>
                <w:webHidden/>
              </w:rPr>
              <w:fldChar w:fldCharType="separate"/>
            </w:r>
            <w:r>
              <w:rPr>
                <w:noProof/>
                <w:webHidden/>
              </w:rPr>
              <w:t>168</w:t>
            </w:r>
            <w:r>
              <w:rPr>
                <w:noProof/>
                <w:webHidden/>
              </w:rPr>
              <w:fldChar w:fldCharType="end"/>
            </w:r>
          </w:hyperlink>
        </w:p>
        <w:p w14:paraId="52D1D406" w14:textId="14CB80E2"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30" w:history="1">
            <w:r w:rsidRPr="00992D34">
              <w:rPr>
                <w:rStyle w:val="Hyperlink"/>
                <w:noProof/>
              </w:rPr>
              <w:t>Step 4.3B: Adaptation Pathways</w:t>
            </w:r>
            <w:r>
              <w:rPr>
                <w:noProof/>
                <w:webHidden/>
              </w:rPr>
              <w:tab/>
            </w:r>
            <w:r>
              <w:rPr>
                <w:noProof/>
                <w:webHidden/>
              </w:rPr>
              <w:fldChar w:fldCharType="begin"/>
            </w:r>
            <w:r>
              <w:rPr>
                <w:noProof/>
                <w:webHidden/>
              </w:rPr>
              <w:instrText xml:space="preserve"> PAGEREF _Toc235802730 \h </w:instrText>
            </w:r>
            <w:r>
              <w:rPr>
                <w:noProof/>
                <w:webHidden/>
              </w:rPr>
            </w:r>
            <w:r>
              <w:rPr>
                <w:noProof/>
                <w:webHidden/>
              </w:rPr>
              <w:fldChar w:fldCharType="separate"/>
            </w:r>
            <w:r>
              <w:rPr>
                <w:noProof/>
                <w:webHidden/>
              </w:rPr>
              <w:t>169</w:t>
            </w:r>
            <w:r>
              <w:rPr>
                <w:noProof/>
                <w:webHidden/>
              </w:rPr>
              <w:fldChar w:fldCharType="end"/>
            </w:r>
          </w:hyperlink>
        </w:p>
        <w:p w14:paraId="56BFDC12" w14:textId="79B24034"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31" w:history="1">
            <w:r w:rsidRPr="00992D34">
              <w:rPr>
                <w:rStyle w:val="Hyperlink"/>
                <w:noProof/>
              </w:rPr>
              <w:t>Step 4.3C: Adjustment and Outreach</w:t>
            </w:r>
            <w:r>
              <w:rPr>
                <w:noProof/>
                <w:webHidden/>
              </w:rPr>
              <w:tab/>
            </w:r>
            <w:r>
              <w:rPr>
                <w:noProof/>
                <w:webHidden/>
              </w:rPr>
              <w:fldChar w:fldCharType="begin"/>
            </w:r>
            <w:r>
              <w:rPr>
                <w:noProof/>
                <w:webHidden/>
              </w:rPr>
              <w:instrText xml:space="preserve"> PAGEREF _Toc235802731 \h </w:instrText>
            </w:r>
            <w:r>
              <w:rPr>
                <w:noProof/>
                <w:webHidden/>
              </w:rPr>
            </w:r>
            <w:r>
              <w:rPr>
                <w:noProof/>
                <w:webHidden/>
              </w:rPr>
              <w:fldChar w:fldCharType="separate"/>
            </w:r>
            <w:r>
              <w:rPr>
                <w:noProof/>
                <w:webHidden/>
              </w:rPr>
              <w:t>171</w:t>
            </w:r>
            <w:r>
              <w:rPr>
                <w:noProof/>
                <w:webHidden/>
              </w:rPr>
              <w:fldChar w:fldCharType="end"/>
            </w:r>
          </w:hyperlink>
        </w:p>
        <w:p w14:paraId="196A7BFA" w14:textId="6F6458E9" w:rsidR="00A978CA" w:rsidRDefault="00A978CA">
          <w:pPr>
            <w:pStyle w:val="TOC2"/>
            <w:rPr>
              <w:rFonts w:asciiTheme="minorHAnsi" w:eastAsiaTheme="minorEastAsia" w:hAnsiTheme="minorHAnsi" w:cstheme="minorBidi"/>
              <w:b w:val="0"/>
              <w:noProof/>
              <w:kern w:val="2"/>
              <w14:ligatures w14:val="standardContextual"/>
            </w:rPr>
          </w:pPr>
          <w:hyperlink w:anchor="_Toc235802732" w:history="1">
            <w:r w:rsidRPr="00992D34">
              <w:rPr>
                <w:rStyle w:val="Hyperlink"/>
                <w:noProof/>
              </w:rPr>
              <w:t>Phase 4 Wrap-Up</w:t>
            </w:r>
            <w:r>
              <w:rPr>
                <w:noProof/>
                <w:webHidden/>
              </w:rPr>
              <w:tab/>
            </w:r>
            <w:r>
              <w:rPr>
                <w:noProof/>
                <w:webHidden/>
              </w:rPr>
              <w:fldChar w:fldCharType="begin"/>
            </w:r>
            <w:r>
              <w:rPr>
                <w:noProof/>
                <w:webHidden/>
              </w:rPr>
              <w:instrText xml:space="preserve"> PAGEREF _Toc235802732 \h </w:instrText>
            </w:r>
            <w:r>
              <w:rPr>
                <w:noProof/>
                <w:webHidden/>
              </w:rPr>
            </w:r>
            <w:r>
              <w:rPr>
                <w:noProof/>
                <w:webHidden/>
              </w:rPr>
              <w:fldChar w:fldCharType="separate"/>
            </w:r>
            <w:r>
              <w:rPr>
                <w:noProof/>
                <w:webHidden/>
              </w:rPr>
              <w:t>174</w:t>
            </w:r>
            <w:r>
              <w:rPr>
                <w:noProof/>
                <w:webHidden/>
              </w:rPr>
              <w:fldChar w:fldCharType="end"/>
            </w:r>
          </w:hyperlink>
        </w:p>
        <w:p w14:paraId="2522ECB4" w14:textId="47BCB710"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33" w:history="1">
            <w:r w:rsidRPr="00992D34">
              <w:rPr>
                <w:rStyle w:val="Hyperlink"/>
                <w:noProof/>
              </w:rPr>
              <w:t>APPENDIX A: OUTREACH &amp; ENGAGEMENT METHODS</w:t>
            </w:r>
            <w:r>
              <w:rPr>
                <w:noProof/>
                <w:webHidden/>
              </w:rPr>
              <w:tab/>
            </w:r>
            <w:r>
              <w:rPr>
                <w:noProof/>
                <w:webHidden/>
              </w:rPr>
              <w:fldChar w:fldCharType="begin"/>
            </w:r>
            <w:r>
              <w:rPr>
                <w:noProof/>
                <w:webHidden/>
              </w:rPr>
              <w:instrText xml:space="preserve"> PAGEREF _Toc235802733 \h </w:instrText>
            </w:r>
            <w:r>
              <w:rPr>
                <w:noProof/>
                <w:webHidden/>
              </w:rPr>
            </w:r>
            <w:r>
              <w:rPr>
                <w:noProof/>
                <w:webHidden/>
              </w:rPr>
              <w:fldChar w:fldCharType="separate"/>
            </w:r>
            <w:r>
              <w:rPr>
                <w:noProof/>
                <w:webHidden/>
              </w:rPr>
              <w:t>175</w:t>
            </w:r>
            <w:r>
              <w:rPr>
                <w:noProof/>
                <w:webHidden/>
              </w:rPr>
              <w:fldChar w:fldCharType="end"/>
            </w:r>
          </w:hyperlink>
        </w:p>
        <w:p w14:paraId="47DF88C9" w14:textId="63CBD944" w:rsidR="00A978CA" w:rsidRDefault="00A978CA">
          <w:pPr>
            <w:pStyle w:val="TOC2"/>
            <w:rPr>
              <w:rFonts w:asciiTheme="minorHAnsi" w:eastAsiaTheme="minorEastAsia" w:hAnsiTheme="minorHAnsi" w:cstheme="minorBidi"/>
              <w:b w:val="0"/>
              <w:noProof/>
              <w:kern w:val="2"/>
              <w14:ligatures w14:val="standardContextual"/>
            </w:rPr>
          </w:pPr>
          <w:hyperlink w:anchor="_Toc235802734" w:history="1">
            <w:r w:rsidRPr="00992D34">
              <w:rPr>
                <w:rStyle w:val="Hyperlink"/>
                <w:noProof/>
              </w:rPr>
              <w:t>Racial Equity Framework</w:t>
            </w:r>
            <w:r>
              <w:rPr>
                <w:noProof/>
                <w:webHidden/>
              </w:rPr>
              <w:tab/>
            </w:r>
            <w:r>
              <w:rPr>
                <w:noProof/>
                <w:webHidden/>
              </w:rPr>
              <w:fldChar w:fldCharType="begin"/>
            </w:r>
            <w:r>
              <w:rPr>
                <w:noProof/>
                <w:webHidden/>
              </w:rPr>
              <w:instrText xml:space="preserve"> PAGEREF _Toc235802734 \h </w:instrText>
            </w:r>
            <w:r>
              <w:rPr>
                <w:noProof/>
                <w:webHidden/>
              </w:rPr>
            </w:r>
            <w:r>
              <w:rPr>
                <w:noProof/>
                <w:webHidden/>
              </w:rPr>
              <w:fldChar w:fldCharType="separate"/>
            </w:r>
            <w:r>
              <w:rPr>
                <w:noProof/>
                <w:webHidden/>
              </w:rPr>
              <w:t>175</w:t>
            </w:r>
            <w:r>
              <w:rPr>
                <w:noProof/>
                <w:webHidden/>
              </w:rPr>
              <w:fldChar w:fldCharType="end"/>
            </w:r>
          </w:hyperlink>
        </w:p>
        <w:p w14:paraId="658F673A" w14:textId="23E4B3A1" w:rsidR="00A978CA" w:rsidRDefault="00A978CA">
          <w:pPr>
            <w:pStyle w:val="TOC2"/>
            <w:rPr>
              <w:rFonts w:asciiTheme="minorHAnsi" w:eastAsiaTheme="minorEastAsia" w:hAnsiTheme="minorHAnsi" w:cstheme="minorBidi"/>
              <w:b w:val="0"/>
              <w:noProof/>
              <w:kern w:val="2"/>
              <w14:ligatures w14:val="standardContextual"/>
            </w:rPr>
          </w:pPr>
          <w:hyperlink w:anchor="_Toc235802735" w:history="1">
            <w:r w:rsidRPr="00992D34">
              <w:rPr>
                <w:rStyle w:val="Hyperlink"/>
                <w:noProof/>
              </w:rPr>
              <w:t>The Spectrum of Community Engagement to Ownership</w:t>
            </w:r>
            <w:r>
              <w:rPr>
                <w:noProof/>
                <w:webHidden/>
              </w:rPr>
              <w:tab/>
            </w:r>
            <w:r>
              <w:rPr>
                <w:noProof/>
                <w:webHidden/>
              </w:rPr>
              <w:fldChar w:fldCharType="begin"/>
            </w:r>
            <w:r>
              <w:rPr>
                <w:noProof/>
                <w:webHidden/>
              </w:rPr>
              <w:instrText xml:space="preserve"> PAGEREF _Toc235802735 \h </w:instrText>
            </w:r>
            <w:r>
              <w:rPr>
                <w:noProof/>
                <w:webHidden/>
              </w:rPr>
            </w:r>
            <w:r>
              <w:rPr>
                <w:noProof/>
                <w:webHidden/>
              </w:rPr>
              <w:fldChar w:fldCharType="separate"/>
            </w:r>
            <w:r>
              <w:rPr>
                <w:noProof/>
                <w:webHidden/>
              </w:rPr>
              <w:t>175</w:t>
            </w:r>
            <w:r>
              <w:rPr>
                <w:noProof/>
                <w:webHidden/>
              </w:rPr>
              <w:fldChar w:fldCharType="end"/>
            </w:r>
          </w:hyperlink>
        </w:p>
        <w:p w14:paraId="4977FE9A" w14:textId="0592E544" w:rsidR="00A978CA" w:rsidRDefault="00A978CA">
          <w:pPr>
            <w:pStyle w:val="TOC2"/>
            <w:rPr>
              <w:rFonts w:asciiTheme="minorHAnsi" w:eastAsiaTheme="minorEastAsia" w:hAnsiTheme="minorHAnsi" w:cstheme="minorBidi"/>
              <w:b w:val="0"/>
              <w:noProof/>
              <w:kern w:val="2"/>
              <w14:ligatures w14:val="standardContextual"/>
            </w:rPr>
          </w:pPr>
          <w:hyperlink w:anchor="_Toc235802736" w:history="1">
            <w:r w:rsidRPr="00992D34">
              <w:rPr>
                <w:rStyle w:val="Hyperlink"/>
                <w:noProof/>
              </w:rPr>
              <w:t>Best Practices for Conducting Outreach and Engagement Activities</w:t>
            </w:r>
            <w:r>
              <w:rPr>
                <w:noProof/>
                <w:webHidden/>
              </w:rPr>
              <w:tab/>
            </w:r>
            <w:r>
              <w:rPr>
                <w:noProof/>
                <w:webHidden/>
              </w:rPr>
              <w:fldChar w:fldCharType="begin"/>
            </w:r>
            <w:r>
              <w:rPr>
                <w:noProof/>
                <w:webHidden/>
              </w:rPr>
              <w:instrText xml:space="preserve"> PAGEREF _Toc235802736 \h </w:instrText>
            </w:r>
            <w:r>
              <w:rPr>
                <w:noProof/>
                <w:webHidden/>
              </w:rPr>
            </w:r>
            <w:r>
              <w:rPr>
                <w:noProof/>
                <w:webHidden/>
              </w:rPr>
              <w:fldChar w:fldCharType="separate"/>
            </w:r>
            <w:r>
              <w:rPr>
                <w:noProof/>
                <w:webHidden/>
              </w:rPr>
              <w:t>176</w:t>
            </w:r>
            <w:r>
              <w:rPr>
                <w:noProof/>
                <w:webHidden/>
              </w:rPr>
              <w:fldChar w:fldCharType="end"/>
            </w:r>
          </w:hyperlink>
        </w:p>
        <w:p w14:paraId="1B6F2E51" w14:textId="04812FF5" w:rsidR="00A978CA" w:rsidRDefault="00A978CA">
          <w:pPr>
            <w:pStyle w:val="TOC2"/>
            <w:rPr>
              <w:rFonts w:asciiTheme="minorHAnsi" w:eastAsiaTheme="minorEastAsia" w:hAnsiTheme="minorHAnsi" w:cstheme="minorBidi"/>
              <w:b w:val="0"/>
              <w:noProof/>
              <w:kern w:val="2"/>
              <w14:ligatures w14:val="standardContextual"/>
            </w:rPr>
          </w:pPr>
          <w:hyperlink w:anchor="_Toc235802737" w:history="1">
            <w:r w:rsidRPr="00992D34">
              <w:rPr>
                <w:rStyle w:val="Hyperlink"/>
                <w:noProof/>
              </w:rPr>
              <w:t>Partner Interviews</w:t>
            </w:r>
            <w:r>
              <w:rPr>
                <w:noProof/>
                <w:webHidden/>
              </w:rPr>
              <w:tab/>
            </w:r>
            <w:r>
              <w:rPr>
                <w:noProof/>
                <w:webHidden/>
              </w:rPr>
              <w:fldChar w:fldCharType="begin"/>
            </w:r>
            <w:r>
              <w:rPr>
                <w:noProof/>
                <w:webHidden/>
              </w:rPr>
              <w:instrText xml:space="preserve"> PAGEREF _Toc235802737 \h </w:instrText>
            </w:r>
            <w:r>
              <w:rPr>
                <w:noProof/>
                <w:webHidden/>
              </w:rPr>
            </w:r>
            <w:r>
              <w:rPr>
                <w:noProof/>
                <w:webHidden/>
              </w:rPr>
              <w:fldChar w:fldCharType="separate"/>
            </w:r>
            <w:r>
              <w:rPr>
                <w:noProof/>
                <w:webHidden/>
              </w:rPr>
              <w:t>179</w:t>
            </w:r>
            <w:r>
              <w:rPr>
                <w:noProof/>
                <w:webHidden/>
              </w:rPr>
              <w:fldChar w:fldCharType="end"/>
            </w:r>
          </w:hyperlink>
        </w:p>
        <w:p w14:paraId="1350A123" w14:textId="4E3A0EF9" w:rsidR="00A978CA" w:rsidRDefault="00A978CA">
          <w:pPr>
            <w:pStyle w:val="TOC2"/>
            <w:rPr>
              <w:rFonts w:asciiTheme="minorHAnsi" w:eastAsiaTheme="minorEastAsia" w:hAnsiTheme="minorHAnsi" w:cstheme="minorBidi"/>
              <w:b w:val="0"/>
              <w:noProof/>
              <w:kern w:val="2"/>
              <w14:ligatures w14:val="standardContextual"/>
            </w:rPr>
          </w:pPr>
          <w:hyperlink w:anchor="_Toc235802738" w:history="1">
            <w:r w:rsidRPr="00992D34">
              <w:rPr>
                <w:rStyle w:val="Hyperlink"/>
                <w:noProof/>
              </w:rPr>
              <w:t>Vulnerability and Resilience Building</w:t>
            </w:r>
            <w:r>
              <w:rPr>
                <w:noProof/>
                <w:webHidden/>
              </w:rPr>
              <w:tab/>
            </w:r>
            <w:r>
              <w:rPr>
                <w:noProof/>
                <w:webHidden/>
              </w:rPr>
              <w:fldChar w:fldCharType="begin"/>
            </w:r>
            <w:r>
              <w:rPr>
                <w:noProof/>
                <w:webHidden/>
              </w:rPr>
              <w:instrText xml:space="preserve"> PAGEREF _Toc235802738 \h </w:instrText>
            </w:r>
            <w:r>
              <w:rPr>
                <w:noProof/>
                <w:webHidden/>
              </w:rPr>
            </w:r>
            <w:r>
              <w:rPr>
                <w:noProof/>
                <w:webHidden/>
              </w:rPr>
              <w:fldChar w:fldCharType="separate"/>
            </w:r>
            <w:r>
              <w:rPr>
                <w:noProof/>
                <w:webHidden/>
              </w:rPr>
              <w:t>181</w:t>
            </w:r>
            <w:r>
              <w:rPr>
                <w:noProof/>
                <w:webHidden/>
              </w:rPr>
              <w:fldChar w:fldCharType="end"/>
            </w:r>
          </w:hyperlink>
        </w:p>
        <w:p w14:paraId="174268AD" w14:textId="28EB701C" w:rsidR="00A978CA" w:rsidRDefault="00A978CA">
          <w:pPr>
            <w:pStyle w:val="TOC2"/>
            <w:rPr>
              <w:rFonts w:asciiTheme="minorHAnsi" w:eastAsiaTheme="minorEastAsia" w:hAnsiTheme="minorHAnsi" w:cstheme="minorBidi"/>
              <w:b w:val="0"/>
              <w:noProof/>
              <w:kern w:val="2"/>
              <w14:ligatures w14:val="standardContextual"/>
            </w:rPr>
          </w:pPr>
          <w:hyperlink w:anchor="_Toc235802739" w:history="1">
            <w:r w:rsidRPr="00992D34">
              <w:rPr>
                <w:rStyle w:val="Hyperlink"/>
                <w:noProof/>
              </w:rPr>
              <w:t>Outreach</w:t>
            </w:r>
            <w:r w:rsidRPr="00992D34">
              <w:rPr>
                <w:rStyle w:val="Hyperlink"/>
                <w:noProof/>
                <w:spacing w:val="-13"/>
              </w:rPr>
              <w:t xml:space="preserve"> </w:t>
            </w:r>
            <w:r w:rsidRPr="00992D34">
              <w:rPr>
                <w:rStyle w:val="Hyperlink"/>
                <w:noProof/>
              </w:rPr>
              <w:t>to</w:t>
            </w:r>
            <w:r w:rsidRPr="00992D34">
              <w:rPr>
                <w:rStyle w:val="Hyperlink"/>
                <w:noProof/>
                <w:spacing w:val="-10"/>
              </w:rPr>
              <w:t xml:space="preserve"> </w:t>
            </w:r>
            <w:r w:rsidRPr="00992D34">
              <w:rPr>
                <w:rStyle w:val="Hyperlink"/>
                <w:noProof/>
              </w:rPr>
              <w:t>Develop</w:t>
            </w:r>
            <w:r w:rsidRPr="00992D34">
              <w:rPr>
                <w:rStyle w:val="Hyperlink"/>
                <w:noProof/>
                <w:spacing w:val="-11"/>
              </w:rPr>
              <w:t xml:space="preserve"> </w:t>
            </w:r>
            <w:r w:rsidRPr="00992D34">
              <w:rPr>
                <w:rStyle w:val="Hyperlink"/>
                <w:noProof/>
              </w:rPr>
              <w:t>Adaptation</w:t>
            </w:r>
            <w:r w:rsidRPr="00992D34">
              <w:rPr>
                <w:rStyle w:val="Hyperlink"/>
                <w:noProof/>
                <w:spacing w:val="-10"/>
              </w:rPr>
              <w:t xml:space="preserve"> </w:t>
            </w:r>
            <w:r w:rsidRPr="00992D34">
              <w:rPr>
                <w:rStyle w:val="Hyperlink"/>
                <w:noProof/>
                <w:spacing w:val="-2"/>
              </w:rPr>
              <w:t>Strategies</w:t>
            </w:r>
            <w:r>
              <w:rPr>
                <w:noProof/>
                <w:webHidden/>
              </w:rPr>
              <w:tab/>
            </w:r>
            <w:r>
              <w:rPr>
                <w:noProof/>
                <w:webHidden/>
              </w:rPr>
              <w:fldChar w:fldCharType="begin"/>
            </w:r>
            <w:r>
              <w:rPr>
                <w:noProof/>
                <w:webHidden/>
              </w:rPr>
              <w:instrText xml:space="preserve"> PAGEREF _Toc235802739 \h </w:instrText>
            </w:r>
            <w:r>
              <w:rPr>
                <w:noProof/>
                <w:webHidden/>
              </w:rPr>
            </w:r>
            <w:r>
              <w:rPr>
                <w:noProof/>
                <w:webHidden/>
              </w:rPr>
              <w:fldChar w:fldCharType="separate"/>
            </w:r>
            <w:r>
              <w:rPr>
                <w:noProof/>
                <w:webHidden/>
              </w:rPr>
              <w:t>184</w:t>
            </w:r>
            <w:r>
              <w:rPr>
                <w:noProof/>
                <w:webHidden/>
              </w:rPr>
              <w:fldChar w:fldCharType="end"/>
            </w:r>
          </w:hyperlink>
        </w:p>
        <w:p w14:paraId="69B667B9" w14:textId="78CB6531"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40" w:history="1">
            <w:r w:rsidRPr="00992D34">
              <w:rPr>
                <w:rStyle w:val="Hyperlink"/>
                <w:noProof/>
              </w:rPr>
              <w:t>APPENDIX B: CLIMATE DATA TOOLS</w:t>
            </w:r>
            <w:r>
              <w:rPr>
                <w:noProof/>
                <w:webHidden/>
              </w:rPr>
              <w:tab/>
            </w:r>
            <w:r>
              <w:rPr>
                <w:noProof/>
                <w:webHidden/>
              </w:rPr>
              <w:fldChar w:fldCharType="begin"/>
            </w:r>
            <w:r>
              <w:rPr>
                <w:noProof/>
                <w:webHidden/>
              </w:rPr>
              <w:instrText xml:space="preserve"> PAGEREF _Toc235802740 \h </w:instrText>
            </w:r>
            <w:r>
              <w:rPr>
                <w:noProof/>
                <w:webHidden/>
              </w:rPr>
            </w:r>
            <w:r>
              <w:rPr>
                <w:noProof/>
                <w:webHidden/>
              </w:rPr>
              <w:fldChar w:fldCharType="separate"/>
            </w:r>
            <w:r>
              <w:rPr>
                <w:noProof/>
                <w:webHidden/>
              </w:rPr>
              <w:t>186</w:t>
            </w:r>
            <w:r>
              <w:rPr>
                <w:noProof/>
                <w:webHidden/>
              </w:rPr>
              <w:fldChar w:fldCharType="end"/>
            </w:r>
          </w:hyperlink>
        </w:p>
        <w:p w14:paraId="15B60ADD" w14:textId="528ABFB2" w:rsidR="00A978CA" w:rsidRDefault="00A978CA">
          <w:pPr>
            <w:pStyle w:val="TOC2"/>
            <w:rPr>
              <w:rFonts w:asciiTheme="minorHAnsi" w:eastAsiaTheme="minorEastAsia" w:hAnsiTheme="minorHAnsi" w:cstheme="minorBidi"/>
              <w:b w:val="0"/>
              <w:noProof/>
              <w:kern w:val="2"/>
              <w14:ligatures w14:val="standardContextual"/>
            </w:rPr>
          </w:pPr>
          <w:hyperlink w:anchor="_Toc235802741" w:history="1">
            <w:r w:rsidRPr="00992D34">
              <w:rPr>
                <w:rStyle w:val="Hyperlink"/>
                <w:noProof/>
              </w:rPr>
              <w:t>Vulnerable Communities Platform (VCP)</w:t>
            </w:r>
            <w:r>
              <w:rPr>
                <w:noProof/>
                <w:webHidden/>
              </w:rPr>
              <w:tab/>
            </w:r>
            <w:r>
              <w:rPr>
                <w:noProof/>
                <w:webHidden/>
              </w:rPr>
              <w:fldChar w:fldCharType="begin"/>
            </w:r>
            <w:r>
              <w:rPr>
                <w:noProof/>
                <w:webHidden/>
              </w:rPr>
              <w:instrText xml:space="preserve"> PAGEREF _Toc235802741 \h </w:instrText>
            </w:r>
            <w:r>
              <w:rPr>
                <w:noProof/>
                <w:webHidden/>
              </w:rPr>
            </w:r>
            <w:r>
              <w:rPr>
                <w:noProof/>
                <w:webHidden/>
              </w:rPr>
              <w:fldChar w:fldCharType="separate"/>
            </w:r>
            <w:r>
              <w:rPr>
                <w:noProof/>
                <w:webHidden/>
              </w:rPr>
              <w:t>186</w:t>
            </w:r>
            <w:r>
              <w:rPr>
                <w:noProof/>
                <w:webHidden/>
              </w:rPr>
              <w:fldChar w:fldCharType="end"/>
            </w:r>
          </w:hyperlink>
        </w:p>
        <w:p w14:paraId="03CB6DEC" w14:textId="17275675" w:rsidR="00A978CA" w:rsidRDefault="00A978CA">
          <w:pPr>
            <w:pStyle w:val="TOC2"/>
            <w:rPr>
              <w:rFonts w:asciiTheme="minorHAnsi" w:eastAsiaTheme="minorEastAsia" w:hAnsiTheme="minorHAnsi" w:cstheme="minorBidi"/>
              <w:b w:val="0"/>
              <w:noProof/>
              <w:kern w:val="2"/>
              <w14:ligatures w14:val="standardContextual"/>
            </w:rPr>
          </w:pPr>
          <w:hyperlink w:anchor="_Toc235802742" w:history="1">
            <w:r w:rsidRPr="00992D34">
              <w:rPr>
                <w:rStyle w:val="Hyperlink"/>
                <w:noProof/>
              </w:rPr>
              <w:t>Extreme Heat</w:t>
            </w:r>
            <w:r>
              <w:rPr>
                <w:noProof/>
                <w:webHidden/>
              </w:rPr>
              <w:tab/>
            </w:r>
            <w:r>
              <w:rPr>
                <w:noProof/>
                <w:webHidden/>
              </w:rPr>
              <w:fldChar w:fldCharType="begin"/>
            </w:r>
            <w:r>
              <w:rPr>
                <w:noProof/>
                <w:webHidden/>
              </w:rPr>
              <w:instrText xml:space="preserve"> PAGEREF _Toc235802742 \h </w:instrText>
            </w:r>
            <w:r>
              <w:rPr>
                <w:noProof/>
                <w:webHidden/>
              </w:rPr>
            </w:r>
            <w:r>
              <w:rPr>
                <w:noProof/>
                <w:webHidden/>
              </w:rPr>
              <w:fldChar w:fldCharType="separate"/>
            </w:r>
            <w:r>
              <w:rPr>
                <w:noProof/>
                <w:webHidden/>
              </w:rPr>
              <w:t>194</w:t>
            </w:r>
            <w:r>
              <w:rPr>
                <w:noProof/>
                <w:webHidden/>
              </w:rPr>
              <w:fldChar w:fldCharType="end"/>
            </w:r>
          </w:hyperlink>
        </w:p>
        <w:p w14:paraId="2E449B9A" w14:textId="5710A42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43" w:history="1">
            <w:r w:rsidRPr="00992D34">
              <w:rPr>
                <w:rStyle w:val="Hyperlink"/>
                <w:noProof/>
              </w:rPr>
              <w:t>LCI’s Climate Data Viewer</w:t>
            </w:r>
            <w:r>
              <w:rPr>
                <w:noProof/>
                <w:webHidden/>
              </w:rPr>
              <w:tab/>
            </w:r>
            <w:r>
              <w:rPr>
                <w:noProof/>
                <w:webHidden/>
              </w:rPr>
              <w:fldChar w:fldCharType="begin"/>
            </w:r>
            <w:r>
              <w:rPr>
                <w:noProof/>
                <w:webHidden/>
              </w:rPr>
              <w:instrText xml:space="preserve"> PAGEREF _Toc235802743 \h </w:instrText>
            </w:r>
            <w:r>
              <w:rPr>
                <w:noProof/>
                <w:webHidden/>
              </w:rPr>
            </w:r>
            <w:r>
              <w:rPr>
                <w:noProof/>
                <w:webHidden/>
              </w:rPr>
              <w:fldChar w:fldCharType="separate"/>
            </w:r>
            <w:r>
              <w:rPr>
                <w:noProof/>
                <w:webHidden/>
              </w:rPr>
              <w:t>194</w:t>
            </w:r>
            <w:r>
              <w:rPr>
                <w:noProof/>
                <w:webHidden/>
              </w:rPr>
              <w:fldChar w:fldCharType="end"/>
            </w:r>
          </w:hyperlink>
        </w:p>
        <w:p w14:paraId="19122483" w14:textId="5341772E" w:rsidR="00A978CA" w:rsidRDefault="00A978CA">
          <w:pPr>
            <w:pStyle w:val="TOC2"/>
            <w:rPr>
              <w:rFonts w:asciiTheme="minorHAnsi" w:eastAsiaTheme="minorEastAsia" w:hAnsiTheme="minorHAnsi" w:cstheme="minorBidi"/>
              <w:b w:val="0"/>
              <w:noProof/>
              <w:kern w:val="2"/>
              <w14:ligatures w14:val="standardContextual"/>
            </w:rPr>
          </w:pPr>
          <w:hyperlink w:anchor="_Toc235802744" w:history="1">
            <w:r w:rsidRPr="00992D34">
              <w:rPr>
                <w:rStyle w:val="Hyperlink"/>
                <w:noProof/>
              </w:rPr>
              <w:t>Wildfire</w:t>
            </w:r>
            <w:r>
              <w:rPr>
                <w:noProof/>
                <w:webHidden/>
              </w:rPr>
              <w:tab/>
            </w:r>
            <w:r>
              <w:rPr>
                <w:noProof/>
                <w:webHidden/>
              </w:rPr>
              <w:fldChar w:fldCharType="begin"/>
            </w:r>
            <w:r>
              <w:rPr>
                <w:noProof/>
                <w:webHidden/>
              </w:rPr>
              <w:instrText xml:space="preserve"> PAGEREF _Toc235802744 \h </w:instrText>
            </w:r>
            <w:r>
              <w:rPr>
                <w:noProof/>
                <w:webHidden/>
              </w:rPr>
            </w:r>
            <w:r>
              <w:rPr>
                <w:noProof/>
                <w:webHidden/>
              </w:rPr>
              <w:fldChar w:fldCharType="separate"/>
            </w:r>
            <w:r>
              <w:rPr>
                <w:noProof/>
                <w:webHidden/>
              </w:rPr>
              <w:t>194</w:t>
            </w:r>
            <w:r>
              <w:rPr>
                <w:noProof/>
                <w:webHidden/>
              </w:rPr>
              <w:fldChar w:fldCharType="end"/>
            </w:r>
          </w:hyperlink>
        </w:p>
        <w:p w14:paraId="680F6697" w14:textId="5C953E74"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45" w:history="1">
            <w:r w:rsidRPr="00992D34">
              <w:rPr>
                <w:rStyle w:val="Hyperlink"/>
                <w:noProof/>
              </w:rPr>
              <w:t>US Forest Service (USFS) Wildfire Risk to Communities</w:t>
            </w:r>
            <w:r>
              <w:rPr>
                <w:noProof/>
                <w:webHidden/>
              </w:rPr>
              <w:tab/>
            </w:r>
            <w:r>
              <w:rPr>
                <w:noProof/>
                <w:webHidden/>
              </w:rPr>
              <w:fldChar w:fldCharType="begin"/>
            </w:r>
            <w:r>
              <w:rPr>
                <w:noProof/>
                <w:webHidden/>
              </w:rPr>
              <w:instrText xml:space="preserve"> PAGEREF _Toc235802745 \h </w:instrText>
            </w:r>
            <w:r>
              <w:rPr>
                <w:noProof/>
                <w:webHidden/>
              </w:rPr>
            </w:r>
            <w:r>
              <w:rPr>
                <w:noProof/>
                <w:webHidden/>
              </w:rPr>
              <w:fldChar w:fldCharType="separate"/>
            </w:r>
            <w:r>
              <w:rPr>
                <w:noProof/>
                <w:webHidden/>
              </w:rPr>
              <w:t>194</w:t>
            </w:r>
            <w:r>
              <w:rPr>
                <w:noProof/>
                <w:webHidden/>
              </w:rPr>
              <w:fldChar w:fldCharType="end"/>
            </w:r>
          </w:hyperlink>
        </w:p>
        <w:p w14:paraId="31DFA71E" w14:textId="14BB2229"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46" w:history="1">
            <w:r w:rsidRPr="00992D34">
              <w:rPr>
                <w:rStyle w:val="Hyperlink"/>
                <w:noProof/>
              </w:rPr>
              <w:t>CAL FIRE Historical Fire Perimeters</w:t>
            </w:r>
            <w:r>
              <w:rPr>
                <w:noProof/>
                <w:webHidden/>
              </w:rPr>
              <w:tab/>
            </w:r>
            <w:r>
              <w:rPr>
                <w:noProof/>
                <w:webHidden/>
              </w:rPr>
              <w:fldChar w:fldCharType="begin"/>
            </w:r>
            <w:r>
              <w:rPr>
                <w:noProof/>
                <w:webHidden/>
              </w:rPr>
              <w:instrText xml:space="preserve"> PAGEREF _Toc235802746 \h </w:instrText>
            </w:r>
            <w:r>
              <w:rPr>
                <w:noProof/>
                <w:webHidden/>
              </w:rPr>
            </w:r>
            <w:r>
              <w:rPr>
                <w:noProof/>
                <w:webHidden/>
              </w:rPr>
              <w:fldChar w:fldCharType="separate"/>
            </w:r>
            <w:r>
              <w:rPr>
                <w:noProof/>
                <w:webHidden/>
              </w:rPr>
              <w:t>195</w:t>
            </w:r>
            <w:r>
              <w:rPr>
                <w:noProof/>
                <w:webHidden/>
              </w:rPr>
              <w:fldChar w:fldCharType="end"/>
            </w:r>
          </w:hyperlink>
        </w:p>
        <w:p w14:paraId="6C1AF1D4" w14:textId="09A69CB7"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47" w:history="1">
            <w:r w:rsidRPr="00992D34">
              <w:rPr>
                <w:rStyle w:val="Hyperlink"/>
                <w:noProof/>
              </w:rPr>
              <w:t>Wildfire Smoke Map from Stanford University’s Environmental Hazard Adaptation Atlas</w:t>
            </w:r>
            <w:r>
              <w:rPr>
                <w:noProof/>
                <w:webHidden/>
              </w:rPr>
              <w:tab/>
            </w:r>
            <w:r>
              <w:rPr>
                <w:noProof/>
                <w:webHidden/>
              </w:rPr>
              <w:fldChar w:fldCharType="begin"/>
            </w:r>
            <w:r>
              <w:rPr>
                <w:noProof/>
                <w:webHidden/>
              </w:rPr>
              <w:instrText xml:space="preserve"> PAGEREF _Toc235802747 \h </w:instrText>
            </w:r>
            <w:r>
              <w:rPr>
                <w:noProof/>
                <w:webHidden/>
              </w:rPr>
            </w:r>
            <w:r>
              <w:rPr>
                <w:noProof/>
                <w:webHidden/>
              </w:rPr>
              <w:fldChar w:fldCharType="separate"/>
            </w:r>
            <w:r>
              <w:rPr>
                <w:noProof/>
                <w:webHidden/>
              </w:rPr>
              <w:t>196</w:t>
            </w:r>
            <w:r>
              <w:rPr>
                <w:noProof/>
                <w:webHidden/>
              </w:rPr>
              <w:fldChar w:fldCharType="end"/>
            </w:r>
          </w:hyperlink>
        </w:p>
        <w:p w14:paraId="60BC3A3D" w14:textId="64E8785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48" w:history="1">
            <w:r w:rsidRPr="00992D34">
              <w:rPr>
                <w:rStyle w:val="Hyperlink"/>
                <w:noProof/>
              </w:rPr>
              <w:t>CAL FIRE Fire Hazard Severity Zones (FHSZs)</w:t>
            </w:r>
            <w:r>
              <w:rPr>
                <w:noProof/>
                <w:webHidden/>
              </w:rPr>
              <w:tab/>
            </w:r>
            <w:r>
              <w:rPr>
                <w:noProof/>
                <w:webHidden/>
              </w:rPr>
              <w:fldChar w:fldCharType="begin"/>
            </w:r>
            <w:r>
              <w:rPr>
                <w:noProof/>
                <w:webHidden/>
              </w:rPr>
              <w:instrText xml:space="preserve"> PAGEREF _Toc235802748 \h </w:instrText>
            </w:r>
            <w:r>
              <w:rPr>
                <w:noProof/>
                <w:webHidden/>
              </w:rPr>
            </w:r>
            <w:r>
              <w:rPr>
                <w:noProof/>
                <w:webHidden/>
              </w:rPr>
              <w:fldChar w:fldCharType="separate"/>
            </w:r>
            <w:r>
              <w:rPr>
                <w:noProof/>
                <w:webHidden/>
              </w:rPr>
              <w:t>196</w:t>
            </w:r>
            <w:r>
              <w:rPr>
                <w:noProof/>
                <w:webHidden/>
              </w:rPr>
              <w:fldChar w:fldCharType="end"/>
            </w:r>
          </w:hyperlink>
        </w:p>
        <w:p w14:paraId="3013297A" w14:textId="4A31353A" w:rsidR="00A978CA" w:rsidRDefault="00A978CA">
          <w:pPr>
            <w:pStyle w:val="TOC2"/>
            <w:rPr>
              <w:rFonts w:asciiTheme="minorHAnsi" w:eastAsiaTheme="minorEastAsia" w:hAnsiTheme="minorHAnsi" w:cstheme="minorBidi"/>
              <w:b w:val="0"/>
              <w:noProof/>
              <w:kern w:val="2"/>
              <w14:ligatures w14:val="standardContextual"/>
            </w:rPr>
          </w:pPr>
          <w:hyperlink w:anchor="_Toc235802749" w:history="1">
            <w:r w:rsidRPr="00992D34">
              <w:rPr>
                <w:rStyle w:val="Hyperlink"/>
                <w:noProof/>
              </w:rPr>
              <w:t>Flooding</w:t>
            </w:r>
            <w:r>
              <w:rPr>
                <w:noProof/>
                <w:webHidden/>
              </w:rPr>
              <w:tab/>
            </w:r>
            <w:r>
              <w:rPr>
                <w:noProof/>
                <w:webHidden/>
              </w:rPr>
              <w:fldChar w:fldCharType="begin"/>
            </w:r>
            <w:r>
              <w:rPr>
                <w:noProof/>
                <w:webHidden/>
              </w:rPr>
              <w:instrText xml:space="preserve"> PAGEREF _Toc235802749 \h </w:instrText>
            </w:r>
            <w:r>
              <w:rPr>
                <w:noProof/>
                <w:webHidden/>
              </w:rPr>
            </w:r>
            <w:r>
              <w:rPr>
                <w:noProof/>
                <w:webHidden/>
              </w:rPr>
              <w:fldChar w:fldCharType="separate"/>
            </w:r>
            <w:r>
              <w:rPr>
                <w:noProof/>
                <w:webHidden/>
              </w:rPr>
              <w:t>196</w:t>
            </w:r>
            <w:r>
              <w:rPr>
                <w:noProof/>
                <w:webHidden/>
              </w:rPr>
              <w:fldChar w:fldCharType="end"/>
            </w:r>
          </w:hyperlink>
        </w:p>
        <w:p w14:paraId="6A2AF5B3" w14:textId="46FCFBE4"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0" w:history="1">
            <w:r w:rsidRPr="00992D34">
              <w:rPr>
                <w:rStyle w:val="Hyperlink"/>
                <w:noProof/>
              </w:rPr>
              <w:t>California Department of Water Resources (DWR) Best Available Maps (BAMs)</w:t>
            </w:r>
            <w:r>
              <w:rPr>
                <w:noProof/>
                <w:webHidden/>
              </w:rPr>
              <w:tab/>
            </w:r>
            <w:r>
              <w:rPr>
                <w:noProof/>
                <w:webHidden/>
              </w:rPr>
              <w:fldChar w:fldCharType="begin"/>
            </w:r>
            <w:r>
              <w:rPr>
                <w:noProof/>
                <w:webHidden/>
              </w:rPr>
              <w:instrText xml:space="preserve"> PAGEREF _Toc235802750 \h </w:instrText>
            </w:r>
            <w:r>
              <w:rPr>
                <w:noProof/>
                <w:webHidden/>
              </w:rPr>
            </w:r>
            <w:r>
              <w:rPr>
                <w:noProof/>
                <w:webHidden/>
              </w:rPr>
              <w:fldChar w:fldCharType="separate"/>
            </w:r>
            <w:r>
              <w:rPr>
                <w:noProof/>
                <w:webHidden/>
              </w:rPr>
              <w:t>196</w:t>
            </w:r>
            <w:r>
              <w:rPr>
                <w:noProof/>
                <w:webHidden/>
              </w:rPr>
              <w:fldChar w:fldCharType="end"/>
            </w:r>
          </w:hyperlink>
        </w:p>
        <w:p w14:paraId="0D20BFB4" w14:textId="3C19606C"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1" w:history="1">
            <w:r w:rsidRPr="00992D34">
              <w:rPr>
                <w:rStyle w:val="Hyperlink"/>
                <w:noProof/>
              </w:rPr>
              <w:t>LCI’s Climate Data Viewer</w:t>
            </w:r>
            <w:r>
              <w:rPr>
                <w:noProof/>
                <w:webHidden/>
              </w:rPr>
              <w:tab/>
            </w:r>
            <w:r>
              <w:rPr>
                <w:noProof/>
                <w:webHidden/>
              </w:rPr>
              <w:fldChar w:fldCharType="begin"/>
            </w:r>
            <w:r>
              <w:rPr>
                <w:noProof/>
                <w:webHidden/>
              </w:rPr>
              <w:instrText xml:space="preserve"> PAGEREF _Toc235802751 \h </w:instrText>
            </w:r>
            <w:r>
              <w:rPr>
                <w:noProof/>
                <w:webHidden/>
              </w:rPr>
            </w:r>
            <w:r>
              <w:rPr>
                <w:noProof/>
                <w:webHidden/>
              </w:rPr>
              <w:fldChar w:fldCharType="separate"/>
            </w:r>
            <w:r>
              <w:rPr>
                <w:noProof/>
                <w:webHidden/>
              </w:rPr>
              <w:t>197</w:t>
            </w:r>
            <w:r>
              <w:rPr>
                <w:noProof/>
                <w:webHidden/>
              </w:rPr>
              <w:fldChar w:fldCharType="end"/>
            </w:r>
          </w:hyperlink>
        </w:p>
        <w:p w14:paraId="3C67108B" w14:textId="51A139D9" w:rsidR="00A978CA" w:rsidRDefault="00A978CA">
          <w:pPr>
            <w:pStyle w:val="TOC2"/>
            <w:rPr>
              <w:rFonts w:asciiTheme="minorHAnsi" w:eastAsiaTheme="minorEastAsia" w:hAnsiTheme="minorHAnsi" w:cstheme="minorBidi"/>
              <w:b w:val="0"/>
              <w:noProof/>
              <w:kern w:val="2"/>
              <w14:ligatures w14:val="standardContextual"/>
            </w:rPr>
          </w:pPr>
          <w:hyperlink w:anchor="_Toc235802752" w:history="1">
            <w:r w:rsidRPr="00992D34">
              <w:rPr>
                <w:rStyle w:val="Hyperlink"/>
                <w:noProof/>
              </w:rPr>
              <w:t>Sea Level Rise</w:t>
            </w:r>
            <w:r>
              <w:rPr>
                <w:noProof/>
                <w:webHidden/>
              </w:rPr>
              <w:tab/>
            </w:r>
            <w:r>
              <w:rPr>
                <w:noProof/>
                <w:webHidden/>
              </w:rPr>
              <w:fldChar w:fldCharType="begin"/>
            </w:r>
            <w:r>
              <w:rPr>
                <w:noProof/>
                <w:webHidden/>
              </w:rPr>
              <w:instrText xml:space="preserve"> PAGEREF _Toc235802752 \h </w:instrText>
            </w:r>
            <w:r>
              <w:rPr>
                <w:noProof/>
                <w:webHidden/>
              </w:rPr>
            </w:r>
            <w:r>
              <w:rPr>
                <w:noProof/>
                <w:webHidden/>
              </w:rPr>
              <w:fldChar w:fldCharType="separate"/>
            </w:r>
            <w:r>
              <w:rPr>
                <w:noProof/>
                <w:webHidden/>
              </w:rPr>
              <w:t>197</w:t>
            </w:r>
            <w:r>
              <w:rPr>
                <w:noProof/>
                <w:webHidden/>
              </w:rPr>
              <w:fldChar w:fldCharType="end"/>
            </w:r>
          </w:hyperlink>
        </w:p>
        <w:p w14:paraId="58F26828" w14:textId="5BEA4309"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3" w:history="1">
            <w:r w:rsidRPr="00992D34">
              <w:rPr>
                <w:rStyle w:val="Hyperlink"/>
                <w:noProof/>
              </w:rPr>
              <w:t>California Our Coast Our Future (OCOF) Viewer</w:t>
            </w:r>
            <w:r>
              <w:rPr>
                <w:noProof/>
                <w:webHidden/>
              </w:rPr>
              <w:tab/>
            </w:r>
            <w:r>
              <w:rPr>
                <w:noProof/>
                <w:webHidden/>
              </w:rPr>
              <w:fldChar w:fldCharType="begin"/>
            </w:r>
            <w:r>
              <w:rPr>
                <w:noProof/>
                <w:webHidden/>
              </w:rPr>
              <w:instrText xml:space="preserve"> PAGEREF _Toc235802753 \h </w:instrText>
            </w:r>
            <w:r>
              <w:rPr>
                <w:noProof/>
                <w:webHidden/>
              </w:rPr>
            </w:r>
            <w:r>
              <w:rPr>
                <w:noProof/>
                <w:webHidden/>
              </w:rPr>
              <w:fldChar w:fldCharType="separate"/>
            </w:r>
            <w:r>
              <w:rPr>
                <w:noProof/>
                <w:webHidden/>
              </w:rPr>
              <w:t>197</w:t>
            </w:r>
            <w:r>
              <w:rPr>
                <w:noProof/>
                <w:webHidden/>
              </w:rPr>
              <w:fldChar w:fldCharType="end"/>
            </w:r>
          </w:hyperlink>
        </w:p>
        <w:p w14:paraId="6692A131" w14:textId="276797E1"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4" w:history="1">
            <w:r w:rsidRPr="00992D34">
              <w:rPr>
                <w:rStyle w:val="Hyperlink"/>
                <w:noProof/>
              </w:rPr>
              <w:t>U.S. Geological Survey (USGS) Hazard Exposure Reporting and Analytics (HERA) Web Tool</w:t>
            </w:r>
            <w:r>
              <w:rPr>
                <w:noProof/>
                <w:webHidden/>
              </w:rPr>
              <w:tab/>
            </w:r>
            <w:r>
              <w:rPr>
                <w:noProof/>
                <w:webHidden/>
              </w:rPr>
              <w:fldChar w:fldCharType="begin"/>
            </w:r>
            <w:r>
              <w:rPr>
                <w:noProof/>
                <w:webHidden/>
              </w:rPr>
              <w:instrText xml:space="preserve"> PAGEREF _Toc235802754 \h </w:instrText>
            </w:r>
            <w:r>
              <w:rPr>
                <w:noProof/>
                <w:webHidden/>
              </w:rPr>
            </w:r>
            <w:r>
              <w:rPr>
                <w:noProof/>
                <w:webHidden/>
              </w:rPr>
              <w:fldChar w:fldCharType="separate"/>
            </w:r>
            <w:r>
              <w:rPr>
                <w:noProof/>
                <w:webHidden/>
              </w:rPr>
              <w:t>198</w:t>
            </w:r>
            <w:r>
              <w:rPr>
                <w:noProof/>
                <w:webHidden/>
              </w:rPr>
              <w:fldChar w:fldCharType="end"/>
            </w:r>
          </w:hyperlink>
        </w:p>
        <w:p w14:paraId="223ECCC3" w14:textId="74DDA40B"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5" w:history="1">
            <w:r w:rsidRPr="00992D34">
              <w:rPr>
                <w:rStyle w:val="Hyperlink"/>
                <w:noProof/>
              </w:rPr>
              <w:t>National Oceanic and Atmospheric Administration (NOAA) Sea Level Rise (SLR) Viewer</w:t>
            </w:r>
            <w:r>
              <w:rPr>
                <w:noProof/>
                <w:webHidden/>
              </w:rPr>
              <w:tab/>
            </w:r>
            <w:r>
              <w:rPr>
                <w:noProof/>
                <w:webHidden/>
              </w:rPr>
              <w:fldChar w:fldCharType="begin"/>
            </w:r>
            <w:r>
              <w:rPr>
                <w:noProof/>
                <w:webHidden/>
              </w:rPr>
              <w:instrText xml:space="preserve"> PAGEREF _Toc235802755 \h </w:instrText>
            </w:r>
            <w:r>
              <w:rPr>
                <w:noProof/>
                <w:webHidden/>
              </w:rPr>
            </w:r>
            <w:r>
              <w:rPr>
                <w:noProof/>
                <w:webHidden/>
              </w:rPr>
              <w:fldChar w:fldCharType="separate"/>
            </w:r>
            <w:r>
              <w:rPr>
                <w:noProof/>
                <w:webHidden/>
              </w:rPr>
              <w:t>199</w:t>
            </w:r>
            <w:r>
              <w:rPr>
                <w:noProof/>
                <w:webHidden/>
              </w:rPr>
              <w:fldChar w:fldCharType="end"/>
            </w:r>
          </w:hyperlink>
        </w:p>
        <w:p w14:paraId="5E422742" w14:textId="5A869AE5" w:rsidR="00A978CA" w:rsidRDefault="00A978CA">
          <w:pPr>
            <w:pStyle w:val="TOC2"/>
            <w:rPr>
              <w:rFonts w:asciiTheme="minorHAnsi" w:eastAsiaTheme="minorEastAsia" w:hAnsiTheme="minorHAnsi" w:cstheme="minorBidi"/>
              <w:b w:val="0"/>
              <w:noProof/>
              <w:kern w:val="2"/>
              <w14:ligatures w14:val="standardContextual"/>
            </w:rPr>
          </w:pPr>
          <w:hyperlink w:anchor="_Toc235802756" w:history="1">
            <w:r w:rsidRPr="00992D34">
              <w:rPr>
                <w:rStyle w:val="Hyperlink"/>
                <w:noProof/>
              </w:rPr>
              <w:t>Drought</w:t>
            </w:r>
            <w:r>
              <w:rPr>
                <w:noProof/>
                <w:webHidden/>
              </w:rPr>
              <w:tab/>
            </w:r>
            <w:r>
              <w:rPr>
                <w:noProof/>
                <w:webHidden/>
              </w:rPr>
              <w:fldChar w:fldCharType="begin"/>
            </w:r>
            <w:r>
              <w:rPr>
                <w:noProof/>
                <w:webHidden/>
              </w:rPr>
              <w:instrText xml:space="preserve"> PAGEREF _Toc235802756 \h </w:instrText>
            </w:r>
            <w:r>
              <w:rPr>
                <w:noProof/>
                <w:webHidden/>
              </w:rPr>
            </w:r>
            <w:r>
              <w:rPr>
                <w:noProof/>
                <w:webHidden/>
              </w:rPr>
              <w:fldChar w:fldCharType="separate"/>
            </w:r>
            <w:r>
              <w:rPr>
                <w:noProof/>
                <w:webHidden/>
              </w:rPr>
              <w:t>200</w:t>
            </w:r>
            <w:r>
              <w:rPr>
                <w:noProof/>
                <w:webHidden/>
              </w:rPr>
              <w:fldChar w:fldCharType="end"/>
            </w:r>
          </w:hyperlink>
        </w:p>
        <w:p w14:paraId="2AE907B0" w14:textId="58A26328"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7" w:history="1">
            <w:r w:rsidRPr="00992D34">
              <w:rPr>
                <w:rStyle w:val="Hyperlink"/>
                <w:noProof/>
              </w:rPr>
              <w:t>DWR Water Shortage Vulnerability Tool</w:t>
            </w:r>
            <w:r>
              <w:rPr>
                <w:noProof/>
                <w:webHidden/>
              </w:rPr>
              <w:tab/>
            </w:r>
            <w:r>
              <w:rPr>
                <w:noProof/>
                <w:webHidden/>
              </w:rPr>
              <w:fldChar w:fldCharType="begin"/>
            </w:r>
            <w:r>
              <w:rPr>
                <w:noProof/>
                <w:webHidden/>
              </w:rPr>
              <w:instrText xml:space="preserve"> PAGEREF _Toc235802757 \h </w:instrText>
            </w:r>
            <w:r>
              <w:rPr>
                <w:noProof/>
                <w:webHidden/>
              </w:rPr>
            </w:r>
            <w:r>
              <w:rPr>
                <w:noProof/>
                <w:webHidden/>
              </w:rPr>
              <w:fldChar w:fldCharType="separate"/>
            </w:r>
            <w:r>
              <w:rPr>
                <w:noProof/>
                <w:webHidden/>
              </w:rPr>
              <w:t>200</w:t>
            </w:r>
            <w:r>
              <w:rPr>
                <w:noProof/>
                <w:webHidden/>
              </w:rPr>
              <w:fldChar w:fldCharType="end"/>
            </w:r>
          </w:hyperlink>
        </w:p>
        <w:p w14:paraId="48D8B651" w14:textId="18F58F02" w:rsidR="00A978CA" w:rsidRDefault="00A978CA">
          <w:pPr>
            <w:pStyle w:val="TOC3"/>
            <w:tabs>
              <w:tab w:val="right" w:leader="dot" w:pos="9350"/>
            </w:tabs>
            <w:rPr>
              <w:rFonts w:asciiTheme="minorHAnsi" w:eastAsiaTheme="minorEastAsia" w:hAnsiTheme="minorHAnsi" w:cstheme="minorBidi"/>
              <w:noProof/>
              <w:kern w:val="2"/>
              <w14:ligatures w14:val="standardContextual"/>
            </w:rPr>
          </w:pPr>
          <w:hyperlink w:anchor="_Toc235802758" w:history="1">
            <w:r w:rsidRPr="00992D34">
              <w:rPr>
                <w:rStyle w:val="Hyperlink"/>
                <w:noProof/>
              </w:rPr>
              <w:t>LCI’s Climate Data Viewer</w:t>
            </w:r>
            <w:r>
              <w:rPr>
                <w:noProof/>
                <w:webHidden/>
              </w:rPr>
              <w:tab/>
            </w:r>
            <w:r>
              <w:rPr>
                <w:noProof/>
                <w:webHidden/>
              </w:rPr>
              <w:fldChar w:fldCharType="begin"/>
            </w:r>
            <w:r>
              <w:rPr>
                <w:noProof/>
                <w:webHidden/>
              </w:rPr>
              <w:instrText xml:space="preserve"> PAGEREF _Toc235802758 \h </w:instrText>
            </w:r>
            <w:r>
              <w:rPr>
                <w:noProof/>
                <w:webHidden/>
              </w:rPr>
            </w:r>
            <w:r>
              <w:rPr>
                <w:noProof/>
                <w:webHidden/>
              </w:rPr>
              <w:fldChar w:fldCharType="separate"/>
            </w:r>
            <w:r>
              <w:rPr>
                <w:noProof/>
                <w:webHidden/>
              </w:rPr>
              <w:t>200</w:t>
            </w:r>
            <w:r>
              <w:rPr>
                <w:noProof/>
                <w:webHidden/>
              </w:rPr>
              <w:fldChar w:fldCharType="end"/>
            </w:r>
          </w:hyperlink>
        </w:p>
        <w:p w14:paraId="3CD710ED" w14:textId="72F40F20"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59" w:history="1">
            <w:r w:rsidRPr="00992D34">
              <w:rPr>
                <w:rStyle w:val="Hyperlink"/>
                <w:noProof/>
              </w:rPr>
              <w:t>APPENDIX C: WORKSHEETS</w:t>
            </w:r>
            <w:r>
              <w:rPr>
                <w:noProof/>
                <w:webHidden/>
              </w:rPr>
              <w:tab/>
            </w:r>
            <w:r>
              <w:rPr>
                <w:noProof/>
                <w:webHidden/>
              </w:rPr>
              <w:fldChar w:fldCharType="begin"/>
            </w:r>
            <w:r>
              <w:rPr>
                <w:noProof/>
                <w:webHidden/>
              </w:rPr>
              <w:instrText xml:space="preserve"> PAGEREF _Toc235802759 \h </w:instrText>
            </w:r>
            <w:r>
              <w:rPr>
                <w:noProof/>
                <w:webHidden/>
              </w:rPr>
            </w:r>
            <w:r>
              <w:rPr>
                <w:noProof/>
                <w:webHidden/>
              </w:rPr>
              <w:fldChar w:fldCharType="separate"/>
            </w:r>
            <w:r>
              <w:rPr>
                <w:noProof/>
                <w:webHidden/>
              </w:rPr>
              <w:t>202</w:t>
            </w:r>
            <w:r>
              <w:rPr>
                <w:noProof/>
                <w:webHidden/>
              </w:rPr>
              <w:fldChar w:fldCharType="end"/>
            </w:r>
          </w:hyperlink>
        </w:p>
        <w:p w14:paraId="21B12339" w14:textId="368F1BBB" w:rsidR="00A978CA" w:rsidRDefault="00A978CA">
          <w:pPr>
            <w:pStyle w:val="TOC2"/>
            <w:rPr>
              <w:rFonts w:asciiTheme="minorHAnsi" w:eastAsiaTheme="minorEastAsia" w:hAnsiTheme="minorHAnsi" w:cstheme="minorBidi"/>
              <w:b w:val="0"/>
              <w:noProof/>
              <w:kern w:val="2"/>
              <w14:ligatures w14:val="standardContextual"/>
            </w:rPr>
          </w:pPr>
          <w:hyperlink w:anchor="_Toc235802760" w:history="1">
            <w:r w:rsidRPr="00992D34">
              <w:rPr>
                <w:rStyle w:val="Hyperlink"/>
                <w:noProof/>
              </w:rPr>
              <w:t>Partner Mapping</w:t>
            </w:r>
            <w:r>
              <w:rPr>
                <w:noProof/>
                <w:webHidden/>
              </w:rPr>
              <w:tab/>
            </w:r>
            <w:r>
              <w:rPr>
                <w:noProof/>
                <w:webHidden/>
              </w:rPr>
              <w:fldChar w:fldCharType="begin"/>
            </w:r>
            <w:r>
              <w:rPr>
                <w:noProof/>
                <w:webHidden/>
              </w:rPr>
              <w:instrText xml:space="preserve"> PAGEREF _Toc235802760 \h </w:instrText>
            </w:r>
            <w:r>
              <w:rPr>
                <w:noProof/>
                <w:webHidden/>
              </w:rPr>
            </w:r>
            <w:r>
              <w:rPr>
                <w:noProof/>
                <w:webHidden/>
              </w:rPr>
              <w:fldChar w:fldCharType="separate"/>
            </w:r>
            <w:r>
              <w:rPr>
                <w:noProof/>
                <w:webHidden/>
              </w:rPr>
              <w:t>203</w:t>
            </w:r>
            <w:r>
              <w:rPr>
                <w:noProof/>
                <w:webHidden/>
              </w:rPr>
              <w:fldChar w:fldCharType="end"/>
            </w:r>
          </w:hyperlink>
        </w:p>
        <w:p w14:paraId="23A1145B" w14:textId="28720141" w:rsidR="00A978CA" w:rsidRDefault="00A978CA">
          <w:pPr>
            <w:pStyle w:val="TOC2"/>
            <w:rPr>
              <w:rFonts w:asciiTheme="minorHAnsi" w:eastAsiaTheme="minorEastAsia" w:hAnsiTheme="minorHAnsi" w:cstheme="minorBidi"/>
              <w:b w:val="0"/>
              <w:noProof/>
              <w:kern w:val="2"/>
              <w14:ligatures w14:val="standardContextual"/>
            </w:rPr>
          </w:pPr>
          <w:hyperlink w:anchor="_Toc235802761" w:history="1">
            <w:r w:rsidRPr="00992D34">
              <w:rPr>
                <w:rStyle w:val="Hyperlink"/>
                <w:noProof/>
              </w:rPr>
              <w:t>Review Existing Documents</w:t>
            </w:r>
            <w:r>
              <w:rPr>
                <w:noProof/>
                <w:webHidden/>
              </w:rPr>
              <w:tab/>
            </w:r>
            <w:r>
              <w:rPr>
                <w:noProof/>
                <w:webHidden/>
              </w:rPr>
              <w:fldChar w:fldCharType="begin"/>
            </w:r>
            <w:r>
              <w:rPr>
                <w:noProof/>
                <w:webHidden/>
              </w:rPr>
              <w:instrText xml:space="preserve"> PAGEREF _Toc235802761 \h </w:instrText>
            </w:r>
            <w:r>
              <w:rPr>
                <w:noProof/>
                <w:webHidden/>
              </w:rPr>
            </w:r>
            <w:r>
              <w:rPr>
                <w:noProof/>
                <w:webHidden/>
              </w:rPr>
              <w:fldChar w:fldCharType="separate"/>
            </w:r>
            <w:r>
              <w:rPr>
                <w:noProof/>
                <w:webHidden/>
              </w:rPr>
              <w:t>204</w:t>
            </w:r>
            <w:r>
              <w:rPr>
                <w:noProof/>
                <w:webHidden/>
              </w:rPr>
              <w:fldChar w:fldCharType="end"/>
            </w:r>
          </w:hyperlink>
        </w:p>
        <w:p w14:paraId="7596A7F2" w14:textId="7775BDE3" w:rsidR="00A978CA" w:rsidRDefault="00A978CA">
          <w:pPr>
            <w:pStyle w:val="TOC2"/>
            <w:rPr>
              <w:rFonts w:asciiTheme="minorHAnsi" w:eastAsiaTheme="minorEastAsia" w:hAnsiTheme="minorHAnsi" w:cstheme="minorBidi"/>
              <w:b w:val="0"/>
              <w:noProof/>
              <w:kern w:val="2"/>
              <w14:ligatures w14:val="standardContextual"/>
            </w:rPr>
          </w:pPr>
          <w:hyperlink w:anchor="_Toc235802762" w:history="1">
            <w:r w:rsidRPr="00992D34">
              <w:rPr>
                <w:rStyle w:val="Hyperlink"/>
                <w:noProof/>
              </w:rPr>
              <w:t>Determine Historical Hazards</w:t>
            </w:r>
            <w:r>
              <w:rPr>
                <w:noProof/>
                <w:webHidden/>
              </w:rPr>
              <w:tab/>
            </w:r>
            <w:r>
              <w:rPr>
                <w:noProof/>
                <w:webHidden/>
              </w:rPr>
              <w:fldChar w:fldCharType="begin"/>
            </w:r>
            <w:r>
              <w:rPr>
                <w:noProof/>
                <w:webHidden/>
              </w:rPr>
              <w:instrText xml:space="preserve"> PAGEREF _Toc235802762 \h </w:instrText>
            </w:r>
            <w:r>
              <w:rPr>
                <w:noProof/>
                <w:webHidden/>
              </w:rPr>
            </w:r>
            <w:r>
              <w:rPr>
                <w:noProof/>
                <w:webHidden/>
              </w:rPr>
              <w:fldChar w:fldCharType="separate"/>
            </w:r>
            <w:r>
              <w:rPr>
                <w:noProof/>
                <w:webHidden/>
              </w:rPr>
              <w:t>205</w:t>
            </w:r>
            <w:r>
              <w:rPr>
                <w:noProof/>
                <w:webHidden/>
              </w:rPr>
              <w:fldChar w:fldCharType="end"/>
            </w:r>
          </w:hyperlink>
        </w:p>
        <w:p w14:paraId="2FB5D44B" w14:textId="3103E87D" w:rsidR="00A978CA" w:rsidRDefault="00A978CA">
          <w:pPr>
            <w:pStyle w:val="TOC2"/>
            <w:rPr>
              <w:rFonts w:asciiTheme="minorHAnsi" w:eastAsiaTheme="minorEastAsia" w:hAnsiTheme="minorHAnsi" w:cstheme="minorBidi"/>
              <w:b w:val="0"/>
              <w:noProof/>
              <w:kern w:val="2"/>
              <w14:ligatures w14:val="standardContextual"/>
            </w:rPr>
          </w:pPr>
          <w:hyperlink w:anchor="_Toc235802763" w:history="1">
            <w:r w:rsidRPr="00992D34">
              <w:rPr>
                <w:rStyle w:val="Hyperlink"/>
                <w:noProof/>
              </w:rPr>
              <w:t>Identifying and Analyzing Primary Climate Hazards</w:t>
            </w:r>
            <w:r>
              <w:rPr>
                <w:noProof/>
                <w:webHidden/>
              </w:rPr>
              <w:tab/>
            </w:r>
            <w:r>
              <w:rPr>
                <w:noProof/>
                <w:webHidden/>
              </w:rPr>
              <w:fldChar w:fldCharType="begin"/>
            </w:r>
            <w:r>
              <w:rPr>
                <w:noProof/>
                <w:webHidden/>
              </w:rPr>
              <w:instrText xml:space="preserve"> PAGEREF _Toc235802763 \h </w:instrText>
            </w:r>
            <w:r>
              <w:rPr>
                <w:noProof/>
                <w:webHidden/>
              </w:rPr>
            </w:r>
            <w:r>
              <w:rPr>
                <w:noProof/>
                <w:webHidden/>
              </w:rPr>
              <w:fldChar w:fldCharType="separate"/>
            </w:r>
            <w:r>
              <w:rPr>
                <w:noProof/>
                <w:webHidden/>
              </w:rPr>
              <w:t>206</w:t>
            </w:r>
            <w:r>
              <w:rPr>
                <w:noProof/>
                <w:webHidden/>
              </w:rPr>
              <w:fldChar w:fldCharType="end"/>
            </w:r>
          </w:hyperlink>
        </w:p>
        <w:p w14:paraId="6D9E11F1" w14:textId="1812DF73" w:rsidR="00A978CA" w:rsidRDefault="00A978CA">
          <w:pPr>
            <w:pStyle w:val="TOC2"/>
            <w:rPr>
              <w:rFonts w:asciiTheme="minorHAnsi" w:eastAsiaTheme="minorEastAsia" w:hAnsiTheme="minorHAnsi" w:cstheme="minorBidi"/>
              <w:b w:val="0"/>
              <w:noProof/>
              <w:kern w:val="2"/>
              <w14:ligatures w14:val="standardContextual"/>
            </w:rPr>
          </w:pPr>
          <w:hyperlink w:anchor="_Toc235802764" w:history="1">
            <w:r w:rsidRPr="00992D34">
              <w:rPr>
                <w:rStyle w:val="Hyperlink"/>
                <w:noProof/>
              </w:rPr>
              <w:t>Secondary and Cascading Hazards</w:t>
            </w:r>
            <w:r>
              <w:rPr>
                <w:noProof/>
                <w:webHidden/>
              </w:rPr>
              <w:tab/>
            </w:r>
            <w:r>
              <w:rPr>
                <w:noProof/>
                <w:webHidden/>
              </w:rPr>
              <w:fldChar w:fldCharType="begin"/>
            </w:r>
            <w:r>
              <w:rPr>
                <w:noProof/>
                <w:webHidden/>
              </w:rPr>
              <w:instrText xml:space="preserve"> PAGEREF _Toc235802764 \h </w:instrText>
            </w:r>
            <w:r>
              <w:rPr>
                <w:noProof/>
                <w:webHidden/>
              </w:rPr>
            </w:r>
            <w:r>
              <w:rPr>
                <w:noProof/>
                <w:webHidden/>
              </w:rPr>
              <w:fldChar w:fldCharType="separate"/>
            </w:r>
            <w:r>
              <w:rPr>
                <w:noProof/>
                <w:webHidden/>
              </w:rPr>
              <w:t>207</w:t>
            </w:r>
            <w:r>
              <w:rPr>
                <w:noProof/>
                <w:webHidden/>
              </w:rPr>
              <w:fldChar w:fldCharType="end"/>
            </w:r>
          </w:hyperlink>
        </w:p>
        <w:p w14:paraId="64233C71" w14:textId="1BC50638" w:rsidR="00A978CA" w:rsidRDefault="00A978CA">
          <w:pPr>
            <w:pStyle w:val="TOC2"/>
            <w:rPr>
              <w:rFonts w:asciiTheme="minorHAnsi" w:eastAsiaTheme="minorEastAsia" w:hAnsiTheme="minorHAnsi" w:cstheme="minorBidi"/>
              <w:b w:val="0"/>
              <w:noProof/>
              <w:kern w:val="2"/>
              <w14:ligatures w14:val="standardContextual"/>
            </w:rPr>
          </w:pPr>
          <w:hyperlink w:anchor="_Toc235802765" w:history="1">
            <w:r w:rsidRPr="00992D34">
              <w:rPr>
                <w:rStyle w:val="Hyperlink"/>
                <w:noProof/>
              </w:rPr>
              <w:t>Evaluate Community Assets Exposed to Hazards</w:t>
            </w:r>
            <w:r>
              <w:rPr>
                <w:noProof/>
                <w:webHidden/>
              </w:rPr>
              <w:tab/>
            </w:r>
            <w:r>
              <w:rPr>
                <w:noProof/>
                <w:webHidden/>
              </w:rPr>
              <w:fldChar w:fldCharType="begin"/>
            </w:r>
            <w:r>
              <w:rPr>
                <w:noProof/>
                <w:webHidden/>
              </w:rPr>
              <w:instrText xml:space="preserve"> PAGEREF _Toc235802765 \h </w:instrText>
            </w:r>
            <w:r>
              <w:rPr>
                <w:noProof/>
                <w:webHidden/>
              </w:rPr>
            </w:r>
            <w:r>
              <w:rPr>
                <w:noProof/>
                <w:webHidden/>
              </w:rPr>
              <w:fldChar w:fldCharType="separate"/>
            </w:r>
            <w:r>
              <w:rPr>
                <w:noProof/>
                <w:webHidden/>
              </w:rPr>
              <w:t>208</w:t>
            </w:r>
            <w:r>
              <w:rPr>
                <w:noProof/>
                <w:webHidden/>
              </w:rPr>
              <w:fldChar w:fldCharType="end"/>
            </w:r>
          </w:hyperlink>
        </w:p>
        <w:p w14:paraId="36D2987D" w14:textId="54926A98" w:rsidR="00A978CA" w:rsidRDefault="00A978CA">
          <w:pPr>
            <w:pStyle w:val="TOC2"/>
            <w:rPr>
              <w:rFonts w:asciiTheme="minorHAnsi" w:eastAsiaTheme="minorEastAsia" w:hAnsiTheme="minorHAnsi" w:cstheme="minorBidi"/>
              <w:b w:val="0"/>
              <w:noProof/>
              <w:kern w:val="2"/>
              <w14:ligatures w14:val="standardContextual"/>
            </w:rPr>
          </w:pPr>
          <w:hyperlink w:anchor="_Toc235802766" w:history="1">
            <w:r w:rsidRPr="00992D34">
              <w:rPr>
                <w:rStyle w:val="Hyperlink"/>
                <w:noProof/>
              </w:rPr>
              <w:t>Partner Interview Findings</w:t>
            </w:r>
            <w:r>
              <w:rPr>
                <w:noProof/>
                <w:webHidden/>
              </w:rPr>
              <w:tab/>
            </w:r>
            <w:r>
              <w:rPr>
                <w:noProof/>
                <w:webHidden/>
              </w:rPr>
              <w:fldChar w:fldCharType="begin"/>
            </w:r>
            <w:r>
              <w:rPr>
                <w:noProof/>
                <w:webHidden/>
              </w:rPr>
              <w:instrText xml:space="preserve"> PAGEREF _Toc235802766 \h </w:instrText>
            </w:r>
            <w:r>
              <w:rPr>
                <w:noProof/>
                <w:webHidden/>
              </w:rPr>
            </w:r>
            <w:r>
              <w:rPr>
                <w:noProof/>
                <w:webHidden/>
              </w:rPr>
              <w:fldChar w:fldCharType="separate"/>
            </w:r>
            <w:r>
              <w:rPr>
                <w:noProof/>
                <w:webHidden/>
              </w:rPr>
              <w:t>209</w:t>
            </w:r>
            <w:r>
              <w:rPr>
                <w:noProof/>
                <w:webHidden/>
              </w:rPr>
              <w:fldChar w:fldCharType="end"/>
            </w:r>
          </w:hyperlink>
        </w:p>
        <w:p w14:paraId="4830BA4B" w14:textId="5509D489" w:rsidR="00A978CA" w:rsidRDefault="00A978CA">
          <w:pPr>
            <w:pStyle w:val="TOC2"/>
            <w:rPr>
              <w:rFonts w:asciiTheme="minorHAnsi" w:eastAsiaTheme="minorEastAsia" w:hAnsiTheme="minorHAnsi" w:cstheme="minorBidi"/>
              <w:b w:val="0"/>
              <w:noProof/>
              <w:kern w:val="2"/>
              <w14:ligatures w14:val="standardContextual"/>
            </w:rPr>
          </w:pPr>
          <w:hyperlink w:anchor="_Toc235802767" w:history="1">
            <w:r w:rsidRPr="00992D34">
              <w:rPr>
                <w:rStyle w:val="Hyperlink"/>
                <w:noProof/>
              </w:rPr>
              <w:t>Reviewing Documents for Adaptive Capacity Insights</w:t>
            </w:r>
            <w:r>
              <w:rPr>
                <w:noProof/>
                <w:webHidden/>
              </w:rPr>
              <w:tab/>
            </w:r>
            <w:r>
              <w:rPr>
                <w:noProof/>
                <w:webHidden/>
              </w:rPr>
              <w:fldChar w:fldCharType="begin"/>
            </w:r>
            <w:r>
              <w:rPr>
                <w:noProof/>
                <w:webHidden/>
              </w:rPr>
              <w:instrText xml:space="preserve"> PAGEREF _Toc235802767 \h </w:instrText>
            </w:r>
            <w:r>
              <w:rPr>
                <w:noProof/>
                <w:webHidden/>
              </w:rPr>
            </w:r>
            <w:r>
              <w:rPr>
                <w:noProof/>
                <w:webHidden/>
              </w:rPr>
              <w:fldChar w:fldCharType="separate"/>
            </w:r>
            <w:r>
              <w:rPr>
                <w:noProof/>
                <w:webHidden/>
              </w:rPr>
              <w:t>213</w:t>
            </w:r>
            <w:r>
              <w:rPr>
                <w:noProof/>
                <w:webHidden/>
              </w:rPr>
              <w:fldChar w:fldCharType="end"/>
            </w:r>
          </w:hyperlink>
        </w:p>
        <w:p w14:paraId="1067A2A5" w14:textId="1EA08F6E" w:rsidR="00A978CA" w:rsidRDefault="00A978CA">
          <w:pPr>
            <w:pStyle w:val="TOC2"/>
            <w:rPr>
              <w:rFonts w:asciiTheme="minorHAnsi" w:eastAsiaTheme="minorEastAsia" w:hAnsiTheme="minorHAnsi" w:cstheme="minorBidi"/>
              <w:b w:val="0"/>
              <w:noProof/>
              <w:kern w:val="2"/>
              <w14:ligatures w14:val="standardContextual"/>
            </w:rPr>
          </w:pPr>
          <w:hyperlink w:anchor="_Toc235802768" w:history="1">
            <w:r w:rsidRPr="00992D34">
              <w:rPr>
                <w:rStyle w:val="Hyperlink"/>
                <w:bCs/>
                <w:noProof/>
              </w:rPr>
              <w:t>Adaptive Capacity Strategies</w:t>
            </w:r>
            <w:r>
              <w:rPr>
                <w:noProof/>
                <w:webHidden/>
              </w:rPr>
              <w:tab/>
            </w:r>
            <w:r>
              <w:rPr>
                <w:noProof/>
                <w:webHidden/>
              </w:rPr>
              <w:fldChar w:fldCharType="begin"/>
            </w:r>
            <w:r>
              <w:rPr>
                <w:noProof/>
                <w:webHidden/>
              </w:rPr>
              <w:instrText xml:space="preserve"> PAGEREF _Toc235802768 \h </w:instrText>
            </w:r>
            <w:r>
              <w:rPr>
                <w:noProof/>
                <w:webHidden/>
              </w:rPr>
            </w:r>
            <w:r>
              <w:rPr>
                <w:noProof/>
                <w:webHidden/>
              </w:rPr>
              <w:fldChar w:fldCharType="separate"/>
            </w:r>
            <w:r>
              <w:rPr>
                <w:noProof/>
                <w:webHidden/>
              </w:rPr>
              <w:t>214</w:t>
            </w:r>
            <w:r>
              <w:rPr>
                <w:noProof/>
                <w:webHidden/>
              </w:rPr>
              <w:fldChar w:fldCharType="end"/>
            </w:r>
          </w:hyperlink>
        </w:p>
        <w:p w14:paraId="72D74DC9" w14:textId="12E456E0" w:rsidR="00A978CA" w:rsidRDefault="00A978CA">
          <w:pPr>
            <w:pStyle w:val="TOC2"/>
            <w:rPr>
              <w:rFonts w:asciiTheme="minorHAnsi" w:eastAsiaTheme="minorEastAsia" w:hAnsiTheme="minorHAnsi" w:cstheme="minorBidi"/>
              <w:b w:val="0"/>
              <w:noProof/>
              <w:kern w:val="2"/>
              <w14:ligatures w14:val="standardContextual"/>
            </w:rPr>
          </w:pPr>
          <w:hyperlink w:anchor="_Toc235802769" w:history="1">
            <w:r w:rsidRPr="00992D34">
              <w:rPr>
                <w:rStyle w:val="Hyperlink"/>
                <w:noProof/>
              </w:rPr>
              <w:t>Prioritize Climate Vulnerability</w:t>
            </w:r>
            <w:r>
              <w:rPr>
                <w:noProof/>
                <w:webHidden/>
              </w:rPr>
              <w:tab/>
            </w:r>
            <w:r>
              <w:rPr>
                <w:noProof/>
                <w:webHidden/>
              </w:rPr>
              <w:fldChar w:fldCharType="begin"/>
            </w:r>
            <w:r>
              <w:rPr>
                <w:noProof/>
                <w:webHidden/>
              </w:rPr>
              <w:instrText xml:space="preserve"> PAGEREF _Toc235802769 \h </w:instrText>
            </w:r>
            <w:r>
              <w:rPr>
                <w:noProof/>
                <w:webHidden/>
              </w:rPr>
            </w:r>
            <w:r>
              <w:rPr>
                <w:noProof/>
                <w:webHidden/>
              </w:rPr>
              <w:fldChar w:fldCharType="separate"/>
            </w:r>
            <w:r>
              <w:rPr>
                <w:noProof/>
                <w:webHidden/>
              </w:rPr>
              <w:t>216</w:t>
            </w:r>
            <w:r>
              <w:rPr>
                <w:noProof/>
                <w:webHidden/>
              </w:rPr>
              <w:fldChar w:fldCharType="end"/>
            </w:r>
          </w:hyperlink>
        </w:p>
        <w:p w14:paraId="48CFFA8D" w14:textId="6EB3D604" w:rsidR="00A978CA" w:rsidRDefault="00A978CA">
          <w:pPr>
            <w:pStyle w:val="TOC2"/>
            <w:rPr>
              <w:rFonts w:asciiTheme="minorHAnsi" w:eastAsiaTheme="minorEastAsia" w:hAnsiTheme="minorHAnsi" w:cstheme="minorBidi"/>
              <w:b w:val="0"/>
              <w:noProof/>
              <w:kern w:val="2"/>
              <w14:ligatures w14:val="standardContextual"/>
            </w:rPr>
          </w:pPr>
          <w:hyperlink w:anchor="_Toc235802770" w:history="1">
            <w:r w:rsidRPr="00992D34">
              <w:rPr>
                <w:rStyle w:val="Hyperlink"/>
                <w:noProof/>
              </w:rPr>
              <w:t>Draft Adaptation Strategies</w:t>
            </w:r>
            <w:r>
              <w:rPr>
                <w:noProof/>
                <w:webHidden/>
              </w:rPr>
              <w:tab/>
            </w:r>
            <w:r>
              <w:rPr>
                <w:noProof/>
                <w:webHidden/>
              </w:rPr>
              <w:fldChar w:fldCharType="begin"/>
            </w:r>
            <w:r>
              <w:rPr>
                <w:noProof/>
                <w:webHidden/>
              </w:rPr>
              <w:instrText xml:space="preserve"> PAGEREF _Toc235802770 \h </w:instrText>
            </w:r>
            <w:r>
              <w:rPr>
                <w:noProof/>
                <w:webHidden/>
              </w:rPr>
            </w:r>
            <w:r>
              <w:rPr>
                <w:noProof/>
                <w:webHidden/>
              </w:rPr>
              <w:fldChar w:fldCharType="separate"/>
            </w:r>
            <w:r>
              <w:rPr>
                <w:noProof/>
                <w:webHidden/>
              </w:rPr>
              <w:t>217</w:t>
            </w:r>
            <w:r>
              <w:rPr>
                <w:noProof/>
                <w:webHidden/>
              </w:rPr>
              <w:fldChar w:fldCharType="end"/>
            </w:r>
          </w:hyperlink>
        </w:p>
        <w:p w14:paraId="6DCBC7AA" w14:textId="4C48AD6F"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71" w:history="1">
            <w:r w:rsidRPr="00992D34">
              <w:rPr>
                <w:rStyle w:val="Hyperlink"/>
                <w:noProof/>
              </w:rPr>
              <w:t>GLOSSARY</w:t>
            </w:r>
            <w:r>
              <w:rPr>
                <w:noProof/>
                <w:webHidden/>
              </w:rPr>
              <w:tab/>
            </w:r>
            <w:r>
              <w:rPr>
                <w:noProof/>
                <w:webHidden/>
              </w:rPr>
              <w:fldChar w:fldCharType="begin"/>
            </w:r>
            <w:r>
              <w:rPr>
                <w:noProof/>
                <w:webHidden/>
              </w:rPr>
              <w:instrText xml:space="preserve"> PAGEREF _Toc235802771 \h </w:instrText>
            </w:r>
            <w:r>
              <w:rPr>
                <w:noProof/>
                <w:webHidden/>
              </w:rPr>
            </w:r>
            <w:r>
              <w:rPr>
                <w:noProof/>
                <w:webHidden/>
              </w:rPr>
              <w:fldChar w:fldCharType="separate"/>
            </w:r>
            <w:r>
              <w:rPr>
                <w:noProof/>
                <w:webHidden/>
              </w:rPr>
              <w:t>218</w:t>
            </w:r>
            <w:r>
              <w:rPr>
                <w:noProof/>
                <w:webHidden/>
              </w:rPr>
              <w:fldChar w:fldCharType="end"/>
            </w:r>
          </w:hyperlink>
        </w:p>
        <w:p w14:paraId="3DB7B9CC" w14:textId="77D6FCF3" w:rsidR="00A978CA" w:rsidRDefault="00A978CA">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235802772" w:history="1">
            <w:r w:rsidRPr="00992D34">
              <w:rPr>
                <w:rStyle w:val="Hyperlink"/>
                <w:noProof/>
              </w:rPr>
              <w:t>ACRONYMS</w:t>
            </w:r>
            <w:r>
              <w:rPr>
                <w:noProof/>
                <w:webHidden/>
              </w:rPr>
              <w:tab/>
            </w:r>
            <w:r>
              <w:rPr>
                <w:noProof/>
                <w:webHidden/>
              </w:rPr>
              <w:fldChar w:fldCharType="begin"/>
            </w:r>
            <w:r>
              <w:rPr>
                <w:noProof/>
                <w:webHidden/>
              </w:rPr>
              <w:instrText xml:space="preserve"> PAGEREF _Toc235802772 \h </w:instrText>
            </w:r>
            <w:r>
              <w:rPr>
                <w:noProof/>
                <w:webHidden/>
              </w:rPr>
            </w:r>
            <w:r>
              <w:rPr>
                <w:noProof/>
                <w:webHidden/>
              </w:rPr>
              <w:fldChar w:fldCharType="separate"/>
            </w:r>
            <w:r>
              <w:rPr>
                <w:noProof/>
                <w:webHidden/>
              </w:rPr>
              <w:t>225</w:t>
            </w:r>
            <w:r>
              <w:rPr>
                <w:noProof/>
                <w:webHidden/>
              </w:rPr>
              <w:fldChar w:fldCharType="end"/>
            </w:r>
          </w:hyperlink>
        </w:p>
        <w:p w14:paraId="5A2F48CA" w14:textId="4C5F9675" w:rsidR="00450F76" w:rsidRDefault="00DB1CB4" w:rsidP="00BB5ACB">
          <w:pPr>
            <w:spacing w:line="240" w:lineRule="auto"/>
          </w:pPr>
          <w:r>
            <w:rPr>
              <w:rFonts w:eastAsia="Century Gothic" w:cs="Century Gothic"/>
              <w:b/>
              <w:bCs/>
              <w:kern w:val="0"/>
              <w:sz w:val="28"/>
              <w:szCs w:val="28"/>
              <w14:ligatures w14:val="none"/>
            </w:rPr>
            <w:fldChar w:fldCharType="end"/>
          </w:r>
        </w:p>
      </w:sdtContent>
    </w:sdt>
    <w:p w14:paraId="48214CFB" w14:textId="77777777" w:rsidR="00887F74" w:rsidRDefault="00F13FF4" w:rsidP="00BB5ACB">
      <w:pPr>
        <w:spacing w:line="240" w:lineRule="auto"/>
        <w:sectPr w:rsidR="00887F74" w:rsidSect="00887F74">
          <w:footerReference w:type="default" r:id="rId18"/>
          <w:pgSz w:w="12240" w:h="15840"/>
          <w:pgMar w:top="1440" w:right="1440" w:bottom="1512" w:left="1440" w:header="0" w:footer="994" w:gutter="0"/>
          <w:cols w:space="720"/>
        </w:sectPr>
      </w:pPr>
      <w:bookmarkStart w:id="0" w:name="_Toc224722651"/>
      <w:r>
        <w:br w:type="page"/>
      </w:r>
    </w:p>
    <w:p w14:paraId="7BA2E08E" w14:textId="77777777" w:rsidR="005A001F" w:rsidRDefault="005A001F">
      <w:pPr>
        <w:rPr>
          <w:noProof/>
        </w:rPr>
        <w:sectPr w:rsidR="005A001F" w:rsidSect="00887F74">
          <w:pgSz w:w="12240" w:h="15840"/>
          <w:pgMar w:top="1440" w:right="1440" w:bottom="1440" w:left="1440" w:header="0" w:footer="994" w:gutter="0"/>
          <w:cols w:space="720"/>
          <w:docGrid w:linePitch="326"/>
        </w:sectPr>
      </w:pPr>
    </w:p>
    <w:p w14:paraId="06C9A7D2" w14:textId="6ACA51A2" w:rsidR="00BE2F92" w:rsidRDefault="00BE2F92" w:rsidP="002F370C">
      <w:pPr>
        <w:pStyle w:val="Heading1"/>
      </w:pPr>
      <w:bookmarkStart w:id="1" w:name="_Toc235802655"/>
      <w:r>
        <w:lastRenderedPageBreak/>
        <w:t>INTRODUCTION</w:t>
      </w:r>
      <w:bookmarkEnd w:id="0"/>
      <w:bookmarkEnd w:id="1"/>
    </w:p>
    <w:p w14:paraId="14F69E48" w14:textId="2CDC3483" w:rsidR="008B2F29" w:rsidRPr="00394401" w:rsidRDefault="008B2F29" w:rsidP="00BB5ACB">
      <w:pPr>
        <w:spacing w:after="140" w:line="240" w:lineRule="auto"/>
      </w:pPr>
      <w:r>
        <w:t>California is already living with the consequences of climate change. Six of the ten most destructive wildfires in the state's history have occurred in the last decade. Atmospheric rivers have become more frequent and more disruptive. Extreme heat is emerging as a major public health emergency, and rising sea levels continue to increase risks for communities. These are not future threats but present ones, and communities across the state are making decisions right now that will determine how resilient they are in the decades ahead.</w:t>
      </w:r>
    </w:p>
    <w:p w14:paraId="5422FA7C" w14:textId="2C51A3CD" w:rsidR="008B2F29" w:rsidRPr="00394401" w:rsidRDefault="008B2F29" w:rsidP="00BB5ACB">
      <w:pPr>
        <w:spacing w:after="140" w:line="240" w:lineRule="auto"/>
      </w:pPr>
      <w:r>
        <w:t xml:space="preserve">The California Adaptation Planning Guide (APG) helps communities make those decisions well. It provides a structured four-phase process for local and regional </w:t>
      </w:r>
      <w:r w:rsidR="006760C6">
        <w:t xml:space="preserve">governments and </w:t>
      </w:r>
      <w:r>
        <w:t>agencies</w:t>
      </w:r>
      <w:r w:rsidR="006760C6">
        <w:t>,</w:t>
      </w:r>
      <w:r>
        <w:t xml:space="preserve"> to assess their climate vulnerability and develop concrete adaptation strategies grounded in the best available science, shaped by their communities, and integrated with their existing plans.</w:t>
      </w:r>
    </w:p>
    <w:p w14:paraId="79DE0DDE" w14:textId="743A098B" w:rsidR="008B2F29" w:rsidRDefault="008B2F29" w:rsidP="00BB5ACB">
      <w:pPr>
        <w:pStyle w:val="BodyText"/>
        <w:spacing w:before="115" w:line="240" w:lineRule="auto"/>
      </w:pPr>
      <w:r>
        <w:t xml:space="preserve">This third edition, released in 2026, reflects the latest climate science and state policy, builds on the </w:t>
      </w:r>
      <w:hyperlink r:id="rId19">
        <w:r>
          <w:rPr>
            <w:rStyle w:val="Hyperlink"/>
          </w:rPr>
          <w:t>California Climate Adaptation Strategy</w:t>
        </w:r>
      </w:hyperlink>
      <w:r>
        <w:t xml:space="preserve"> (2024), and incorporates lessons from communities that have completed adaptation plans since the APG was last updated in 2020.</w:t>
      </w:r>
    </w:p>
    <w:p w14:paraId="15536504" w14:textId="0E45BC85" w:rsidR="00AD7472" w:rsidRPr="00AD7472" w:rsidRDefault="00AD7472" w:rsidP="00BB5ACB">
      <w:pPr>
        <w:pStyle w:val="BodyText"/>
        <w:spacing w:before="97" w:line="240" w:lineRule="auto"/>
        <w:rPr>
          <w:szCs w:val="24"/>
        </w:rPr>
      </w:pPr>
      <w:r>
        <w:rPr>
          <w:szCs w:val="24"/>
        </w:rPr>
        <w:t>The APG connects to a broader ecosystem of California state resources that support local and regional adaptation planning. These resources include, but are not limited to:</w:t>
      </w:r>
    </w:p>
    <w:p w14:paraId="46F4FA0F" w14:textId="4DE610C6" w:rsidR="00423322" w:rsidRPr="00091FF0" w:rsidRDefault="00031050">
      <w:pPr>
        <w:pStyle w:val="ListParagraph"/>
        <w:numPr>
          <w:ilvl w:val="0"/>
          <w:numId w:val="28"/>
        </w:numPr>
        <w:spacing w:line="240" w:lineRule="auto"/>
        <w:ind w:left="720" w:hanging="360"/>
        <w:rPr>
          <w:szCs w:val="24"/>
        </w:rPr>
      </w:pPr>
      <w:hyperlink r:id="rId20" w:history="1">
        <w:r>
          <w:rPr>
            <w:rStyle w:val="Hyperlink"/>
          </w:rPr>
          <w:t>California General Plan Guidelines</w:t>
        </w:r>
      </w:hyperlink>
    </w:p>
    <w:p w14:paraId="3F29EF8F" w14:textId="402011F5" w:rsidR="00423322" w:rsidRPr="00EA7B57" w:rsidRDefault="00C436AA">
      <w:pPr>
        <w:pStyle w:val="ListParagraph"/>
        <w:numPr>
          <w:ilvl w:val="0"/>
          <w:numId w:val="28"/>
        </w:numPr>
        <w:spacing w:line="240" w:lineRule="auto"/>
        <w:ind w:left="720" w:hanging="360"/>
        <w:rPr>
          <w:szCs w:val="24"/>
          <w:u w:val="single"/>
        </w:rPr>
      </w:pPr>
      <w:hyperlink r:id="rId21" w:history="1">
        <w:r>
          <w:rPr>
            <w:rStyle w:val="Hyperlink"/>
            <w:szCs w:val="24"/>
          </w:rPr>
          <w:t>California State Hazard Mitigation Plan</w:t>
        </w:r>
      </w:hyperlink>
    </w:p>
    <w:p w14:paraId="46D8202F" w14:textId="0D628C78" w:rsidR="00423322" w:rsidRPr="00DA6B5D" w:rsidRDefault="005B708B">
      <w:pPr>
        <w:pStyle w:val="ListParagraph"/>
        <w:numPr>
          <w:ilvl w:val="0"/>
          <w:numId w:val="28"/>
        </w:numPr>
        <w:spacing w:line="240" w:lineRule="auto"/>
        <w:ind w:left="720" w:hanging="360"/>
        <w:rPr>
          <w:i/>
          <w:szCs w:val="24"/>
        </w:rPr>
      </w:pPr>
      <w:hyperlink r:id="rId22" w:history="1">
        <w:r>
          <w:rPr>
            <w:rStyle w:val="Hyperlink"/>
            <w:iCs/>
            <w:szCs w:val="24"/>
          </w:rPr>
          <w:t>California's Fifth Climate Change Assessment</w:t>
        </w:r>
      </w:hyperlink>
    </w:p>
    <w:p w14:paraId="689F0CC1" w14:textId="3D9164B1" w:rsidR="00011E5C" w:rsidRPr="00011E5C" w:rsidRDefault="00423322">
      <w:pPr>
        <w:pStyle w:val="ListParagraph"/>
        <w:numPr>
          <w:ilvl w:val="0"/>
          <w:numId w:val="28"/>
        </w:numPr>
        <w:spacing w:line="240" w:lineRule="auto"/>
        <w:ind w:left="720" w:hanging="360"/>
        <w:rPr>
          <w:szCs w:val="24"/>
          <w:u w:val="single"/>
        </w:rPr>
      </w:pPr>
      <w:hyperlink r:id="rId23" w:history="1">
        <w:r>
          <w:rPr>
            <w:rStyle w:val="Hyperlink"/>
          </w:rPr>
          <w:t>State Adaptation Clearinghouse</w:t>
        </w:r>
      </w:hyperlink>
    </w:p>
    <w:p w14:paraId="3DA77DDD" w14:textId="1884F2CF" w:rsidR="00A46F68" w:rsidRPr="00E51DFC" w:rsidRDefault="00011E5C">
      <w:pPr>
        <w:pStyle w:val="ListParagraph"/>
        <w:numPr>
          <w:ilvl w:val="0"/>
          <w:numId w:val="28"/>
        </w:numPr>
        <w:spacing w:line="240" w:lineRule="auto"/>
        <w:ind w:left="720" w:hanging="360"/>
        <w:rPr>
          <w:szCs w:val="24"/>
          <w:u w:val="single"/>
        </w:rPr>
      </w:pPr>
      <w:hyperlink r:id="rId24">
        <w:r>
          <w:rPr>
            <w:rStyle w:val="Hyperlink"/>
          </w:rPr>
          <w:t>Vulnerable Communities Platform</w:t>
        </w:r>
      </w:hyperlink>
    </w:p>
    <w:p w14:paraId="2A7B8F69" w14:textId="77777777" w:rsidR="000018EF" w:rsidRDefault="000018EF" w:rsidP="000018EF">
      <w:pPr>
        <w:spacing w:line="240" w:lineRule="auto"/>
      </w:pPr>
    </w:p>
    <w:p w14:paraId="5588EBCC" w14:textId="6A6AA046" w:rsidR="000A729A" w:rsidRPr="00692137" w:rsidRDefault="000A729A" w:rsidP="00BB5ACB">
      <w:pPr>
        <w:pStyle w:val="Heading2"/>
        <w:spacing w:line="240" w:lineRule="auto"/>
      </w:pPr>
      <w:bookmarkStart w:id="2" w:name="_Toc235802656"/>
      <w:bookmarkStart w:id="3" w:name="_Hlk233099340"/>
      <w:r>
        <w:t>What</w:t>
      </w:r>
      <w:r>
        <w:rPr>
          <w:spacing w:val="-2"/>
        </w:rPr>
        <w:t xml:space="preserve"> </w:t>
      </w:r>
      <w:r>
        <w:t>is</w:t>
      </w:r>
      <w:r>
        <w:rPr>
          <w:spacing w:val="-3"/>
        </w:rPr>
        <w:t xml:space="preserve"> </w:t>
      </w:r>
      <w:r>
        <w:t>the</w:t>
      </w:r>
      <w:r>
        <w:rPr>
          <w:spacing w:val="-2"/>
        </w:rPr>
        <w:t xml:space="preserve"> </w:t>
      </w:r>
      <w:r>
        <w:rPr>
          <w:spacing w:val="-4"/>
        </w:rPr>
        <w:t>APG?</w:t>
      </w:r>
      <w:bookmarkEnd w:id="2"/>
    </w:p>
    <w:p w14:paraId="00CAE76D" w14:textId="170354A5" w:rsidR="000A729A" w:rsidRPr="00DA6B5D" w:rsidRDefault="000A729A" w:rsidP="20389150">
      <w:pPr>
        <w:pStyle w:val="BodyText"/>
        <w:spacing w:before="160" w:line="240" w:lineRule="auto"/>
      </w:pPr>
      <w:r w:rsidRPr="20389150">
        <w:t xml:space="preserve">The APG provides guidance to local </w:t>
      </w:r>
      <w:r w:rsidR="00C84FC9">
        <w:t>and regional governments and agencies</w:t>
      </w:r>
      <w:r w:rsidRPr="20389150">
        <w:t xml:space="preserve"> </w:t>
      </w:r>
      <w:r w:rsidR="1AF1D7B2">
        <w:t>to support</w:t>
      </w:r>
      <w:r>
        <w:t xml:space="preserve"> adaptation and resiliency planning. The APG is designed to be flexible and to guide communities in adaptation planning that best suits their needs, whether taking a preliminary, broad look at adaptation issues or conducting a detailed, formal planning process. The APG also provides the most recent summaries of statewide information and guidance on where to find and how to use adaptation planning tools.</w:t>
      </w:r>
    </w:p>
    <w:p w14:paraId="49CFA104" w14:textId="4854AA0B" w:rsidR="00E56152" w:rsidRDefault="000A729A" w:rsidP="00DF1704">
      <w:pPr>
        <w:pStyle w:val="BodyText"/>
        <w:spacing w:before="157" w:line="240" w:lineRule="auto"/>
        <w:rPr>
          <w:spacing w:val="-5"/>
          <w:szCs w:val="24"/>
        </w:rPr>
      </w:pPr>
      <w:r>
        <w:t xml:space="preserve">Since the state’s release of the first APG in 2012, it has been widely used by communities, government agencies, </w:t>
      </w:r>
      <w:r w:rsidR="00E62866">
        <w:t>Tribes</w:t>
      </w:r>
      <w:r>
        <w:t>, nongovernmental organizations, institutions, and others throughout California to guide adaptation planning.</w:t>
      </w:r>
      <w:r>
        <w:rPr>
          <w:spacing w:val="-5"/>
          <w:szCs w:val="24"/>
        </w:rPr>
        <w:t xml:space="preserve"> </w:t>
      </w:r>
      <w:bookmarkStart w:id="4" w:name="_Hlk233099316"/>
    </w:p>
    <w:bookmarkEnd w:id="4"/>
    <w:p w14:paraId="7F996936" w14:textId="0EF95B43" w:rsidR="0010542D" w:rsidRPr="00DF1704" w:rsidRDefault="00743C0A" w:rsidP="00DF1704">
      <w:pPr>
        <w:pStyle w:val="BodyText"/>
        <w:spacing w:before="157" w:line="240" w:lineRule="auto"/>
      </w:pPr>
      <w:r>
        <w:rPr>
          <w:u w:val="single"/>
        </w:rPr>
        <w:lastRenderedPageBreak/>
        <w:fldChar w:fldCharType="begin"/>
      </w:r>
      <w:r>
        <w:rPr>
          <w:u w:val="single"/>
        </w:rPr>
        <w:instrText xml:space="preserve"> REF _Ref229406023 \h  \* MERGEFORMAT </w:instrText>
      </w:r>
      <w:r>
        <w:rPr>
          <w:u w:val="single"/>
        </w:rPr>
      </w:r>
      <w:r>
        <w:rPr>
          <w:u w:val="single"/>
        </w:rPr>
        <w:fldChar w:fldCharType="separate"/>
      </w:r>
      <w:r w:rsidR="00517691" w:rsidRPr="00517691">
        <w:rPr>
          <w:szCs w:val="24"/>
          <w:u w:val="single"/>
        </w:rPr>
        <w:t xml:space="preserve">Table </w:t>
      </w:r>
      <w:r w:rsidR="00517691" w:rsidRPr="00517691">
        <w:rPr>
          <w:noProof/>
          <w:szCs w:val="24"/>
          <w:u w:val="single"/>
        </w:rPr>
        <w:t>1</w:t>
      </w:r>
      <w:r>
        <w:rPr>
          <w:u w:val="single"/>
        </w:rPr>
        <w:fldChar w:fldCharType="end"/>
      </w:r>
      <w:r>
        <w:t xml:space="preserve"> describes when to use the APG and includes related resources.</w:t>
      </w:r>
    </w:p>
    <w:p w14:paraId="586C1B3D" w14:textId="66088DCF" w:rsidR="009A38EE" w:rsidRPr="00743C0A" w:rsidRDefault="00423322" w:rsidP="002F7EF4">
      <w:pPr>
        <w:pStyle w:val="Caption"/>
        <w:spacing w:after="0"/>
        <w:ind w:left="-630"/>
        <w:rPr>
          <w:rFonts w:ascii="Century Gothic" w:hAnsi="Century Gothic"/>
          <w:b/>
          <w:bCs/>
          <w:i w:val="0"/>
          <w:iCs w:val="0"/>
          <w:color w:val="auto"/>
          <w:sz w:val="24"/>
          <w:szCs w:val="24"/>
        </w:rPr>
      </w:pPr>
      <w:bookmarkStart w:id="5" w:name="_Ref229406023"/>
      <w:bookmarkStart w:id="6" w:name="Table_1"/>
      <w:bookmarkEnd w:id="3"/>
      <w:r>
        <w:rPr>
          <w:rFonts w:ascii="Century Gothic" w:hAnsi="Century Gothic"/>
          <w:b/>
          <w:bCs/>
          <w:i w:val="0"/>
          <w:iCs w:val="0"/>
          <w:color w:val="auto"/>
          <w:sz w:val="24"/>
          <w:szCs w:val="24"/>
        </w:rPr>
        <w:t xml:space="preserve">Table </w:t>
      </w:r>
      <w:r>
        <w:rPr>
          <w:rFonts w:ascii="Century Gothic" w:hAnsi="Century Gothic"/>
          <w:b/>
          <w:bCs/>
          <w:i w:val="0"/>
          <w:iCs w:val="0"/>
          <w:color w:val="auto"/>
          <w:sz w:val="24"/>
          <w:szCs w:val="24"/>
        </w:rPr>
        <w:fldChar w:fldCharType="begin"/>
      </w:r>
      <w:r>
        <w:rPr>
          <w:rFonts w:ascii="Century Gothic" w:hAnsi="Century Gothic"/>
          <w:b/>
          <w:bCs/>
          <w:i w:val="0"/>
          <w:iCs w:val="0"/>
          <w:color w:val="auto"/>
          <w:sz w:val="24"/>
          <w:szCs w:val="24"/>
        </w:rPr>
        <w:instrText xml:space="preserve"> SEQ Table \* ARABIC </w:instrText>
      </w:r>
      <w:r>
        <w:rPr>
          <w:rFonts w:ascii="Century Gothic" w:hAnsi="Century Gothic"/>
          <w:b/>
          <w:bCs/>
          <w:i w:val="0"/>
          <w:iCs w:val="0"/>
          <w:color w:val="auto"/>
          <w:sz w:val="24"/>
          <w:szCs w:val="24"/>
        </w:rPr>
        <w:fldChar w:fldCharType="separate"/>
      </w:r>
      <w:r w:rsidR="00517691">
        <w:rPr>
          <w:rFonts w:ascii="Century Gothic" w:hAnsi="Century Gothic"/>
          <w:b/>
          <w:bCs/>
          <w:i w:val="0"/>
          <w:iCs w:val="0"/>
          <w:noProof/>
          <w:color w:val="auto"/>
          <w:sz w:val="24"/>
          <w:szCs w:val="24"/>
        </w:rPr>
        <w:t>1</w:t>
      </w:r>
      <w:r>
        <w:rPr>
          <w:rFonts w:ascii="Century Gothic" w:hAnsi="Century Gothic"/>
          <w:b/>
          <w:bCs/>
          <w:i w:val="0"/>
          <w:iCs w:val="0"/>
          <w:color w:val="auto"/>
          <w:sz w:val="24"/>
          <w:szCs w:val="24"/>
        </w:rPr>
        <w:fldChar w:fldCharType="end"/>
      </w:r>
      <w:bookmarkEnd w:id="5"/>
      <w:r>
        <w:rPr>
          <w:rFonts w:ascii="Century Gothic" w:hAnsi="Century Gothic"/>
          <w:b/>
          <w:bCs/>
          <w:i w:val="0"/>
          <w:iCs w:val="0"/>
          <w:color w:val="auto"/>
          <w:sz w:val="24"/>
          <w:szCs w:val="24"/>
        </w:rPr>
        <w:t xml:space="preserve">. </w:t>
      </w:r>
      <w:bookmarkEnd w:id="6"/>
      <w:r>
        <w:rPr>
          <w:rFonts w:ascii="Century Gothic" w:hAnsi="Century Gothic"/>
          <w:b/>
          <w:bCs/>
          <w:i w:val="0"/>
          <w:iCs w:val="0"/>
          <w:color w:val="auto"/>
          <w:sz w:val="24"/>
          <w:szCs w:val="24"/>
        </w:rPr>
        <w:t>What is the California Adaptation Planning Guide?</w:t>
      </w:r>
    </w:p>
    <w:tbl>
      <w:tblPr>
        <w:tblStyle w:val="TableGrid"/>
        <w:tblW w:w="10620" w:type="dxa"/>
        <w:tblInd w:w="-635" w:type="dxa"/>
        <w:tblLook w:val="04A0" w:firstRow="1" w:lastRow="0" w:firstColumn="1" w:lastColumn="0" w:noHBand="0" w:noVBand="1"/>
        <w:tblDescription w:val="What to use the APG for, clarification of potential misconceptions regarding what the document is NOT, and related resources"/>
      </w:tblPr>
      <w:tblGrid>
        <w:gridCol w:w="2790"/>
        <w:gridCol w:w="2430"/>
        <w:gridCol w:w="5400"/>
      </w:tblGrid>
      <w:tr w:rsidR="009A38EE" w:rsidRPr="00EC0F69" w14:paraId="3C223FEB" w14:textId="77777777" w:rsidTr="20389150">
        <w:trPr>
          <w:cantSplit/>
          <w:trHeight w:val="648"/>
          <w:tblHeader/>
        </w:trPr>
        <w:tc>
          <w:tcPr>
            <w:tcW w:w="2790" w:type="dxa"/>
            <w:shd w:val="clear" w:color="auto" w:fill="000000" w:themeFill="text1"/>
            <w:vAlign w:val="center"/>
            <w:hideMark/>
          </w:tcPr>
          <w:p w14:paraId="465DE5E0" w14:textId="4EA67CF1" w:rsidR="009A38EE" w:rsidRPr="00EC0F69" w:rsidRDefault="009A38EE" w:rsidP="00BB5ACB">
            <w:pPr>
              <w:jc w:val="center"/>
              <w:rPr>
                <w:b/>
              </w:rPr>
            </w:pPr>
            <w:r>
              <w:rPr>
                <w:b/>
              </w:rPr>
              <w:t>USE THE APG AS</w:t>
            </w:r>
          </w:p>
        </w:tc>
        <w:tc>
          <w:tcPr>
            <w:tcW w:w="2430" w:type="dxa"/>
            <w:shd w:val="clear" w:color="auto" w:fill="000000" w:themeFill="text1"/>
            <w:vAlign w:val="center"/>
            <w:hideMark/>
          </w:tcPr>
          <w:p w14:paraId="1B489FBD" w14:textId="5CDDD44B" w:rsidR="009A38EE" w:rsidRPr="00EC0F69" w:rsidRDefault="009A38EE" w:rsidP="00BB5ACB">
            <w:pPr>
              <w:jc w:val="center"/>
              <w:rPr>
                <w:b/>
              </w:rPr>
            </w:pPr>
            <w:r>
              <w:rPr>
                <w:b/>
              </w:rPr>
              <w:t>THIS DOCUMENT</w:t>
            </w:r>
            <w:r>
              <w:rPr>
                <w:b/>
              </w:rPr>
              <w:br/>
              <w:t xml:space="preserve">IS </w:t>
            </w:r>
            <w:r>
              <w:rPr>
                <w:b/>
                <w:u w:val="single"/>
              </w:rPr>
              <w:t>NOT</w:t>
            </w:r>
          </w:p>
        </w:tc>
        <w:tc>
          <w:tcPr>
            <w:tcW w:w="5400" w:type="dxa"/>
            <w:shd w:val="clear" w:color="auto" w:fill="000000" w:themeFill="text1"/>
            <w:vAlign w:val="center"/>
            <w:hideMark/>
          </w:tcPr>
          <w:p w14:paraId="4C24D593" w14:textId="66B27592" w:rsidR="009A38EE" w:rsidRPr="00EC0F69" w:rsidRDefault="009A38EE" w:rsidP="00BB5ACB">
            <w:pPr>
              <w:jc w:val="center"/>
              <w:rPr>
                <w:b/>
              </w:rPr>
            </w:pPr>
            <w:r>
              <w:rPr>
                <w:b/>
              </w:rPr>
              <w:t>RELATED RESOURCES</w:t>
            </w:r>
          </w:p>
        </w:tc>
      </w:tr>
      <w:tr w:rsidR="009A38EE" w:rsidRPr="00EC0F69" w14:paraId="6A3940E0" w14:textId="77777777" w:rsidTr="20389150">
        <w:trPr>
          <w:cantSplit/>
        </w:trPr>
        <w:tc>
          <w:tcPr>
            <w:tcW w:w="2790" w:type="dxa"/>
            <w:hideMark/>
          </w:tcPr>
          <w:p w14:paraId="08FAFA35" w14:textId="132A723A" w:rsidR="009A38EE" w:rsidRPr="007D4173" w:rsidRDefault="009A38EE" w:rsidP="00BB5ACB">
            <w:pPr>
              <w:ind w:left="23" w:right="2"/>
            </w:pPr>
            <w:r>
              <w:t>Guidance for</w:t>
            </w:r>
            <w:r>
              <w:rPr>
                <w:b/>
              </w:rPr>
              <w:t xml:space="preserve"> </w:t>
            </w:r>
            <w:r w:rsidR="00124F33">
              <w:rPr>
                <w:b/>
              </w:rPr>
              <w:t>Tribes</w:t>
            </w:r>
            <w:r>
              <w:rPr>
                <w:b/>
              </w:rPr>
              <w:t xml:space="preserve"> and Local governments</w:t>
            </w:r>
            <w:r>
              <w:t xml:space="preserve"> (e.g., city, county, and regional), to plan for and adapt to climate change.</w:t>
            </w:r>
          </w:p>
        </w:tc>
        <w:tc>
          <w:tcPr>
            <w:tcW w:w="2430" w:type="dxa"/>
            <w:hideMark/>
          </w:tcPr>
          <w:p w14:paraId="1F5D82F2" w14:textId="2FB3AD3E" w:rsidR="009A38EE" w:rsidRPr="007D4173" w:rsidRDefault="009A38EE" w:rsidP="00BB5ACB">
            <w:pPr>
              <w:ind w:left="44" w:right="51"/>
            </w:pPr>
            <w:r>
              <w:t>Guidance for</w:t>
            </w:r>
            <w:r>
              <w:rPr>
                <w:b/>
              </w:rPr>
              <w:t xml:space="preserve"> state agencies.</w:t>
            </w:r>
            <w:r>
              <w:t xml:space="preserve"> However, the APG supports consistency between state, regional, and local adaptation planning efforts and may also inform state agency technical assistance and grant programs that align with local plans.</w:t>
            </w:r>
          </w:p>
        </w:tc>
        <w:tc>
          <w:tcPr>
            <w:tcW w:w="5400" w:type="dxa"/>
            <w:hideMark/>
          </w:tcPr>
          <w:p w14:paraId="61754086" w14:textId="3A6869CE" w:rsidR="009A38EE" w:rsidRPr="00511EB6" w:rsidRDefault="7CBA1F19" w:rsidP="00BB5ACB">
            <w:pPr>
              <w:ind w:left="40" w:right="24"/>
            </w:pPr>
            <w:hyperlink r:id="rId25">
              <w:r w:rsidRPr="20389150">
                <w:rPr>
                  <w:rStyle w:val="Hyperlink"/>
                </w:rPr>
                <w:t>California Climate Adaptation Strategy</w:t>
              </w:r>
            </w:hyperlink>
            <w:r w:rsidR="009A6FA1">
              <w:t>:</w:t>
            </w:r>
            <w:r w:rsidR="04EA540C">
              <w:rPr>
                <w:color w:val="231F20"/>
                <w:spacing w:val="-2"/>
              </w:rPr>
              <w:t xml:space="preserve"> </w:t>
            </w:r>
            <w:r w:rsidR="009A6FA1">
              <w:rPr>
                <w:spacing w:val="-2"/>
              </w:rPr>
              <w:t xml:space="preserve"> </w:t>
            </w:r>
            <w:r w:rsidR="04EA540C">
              <w:rPr>
                <w:spacing w:val="-2"/>
              </w:rPr>
              <w:t xml:space="preserve">California’s overarching framework for building community, economic, and environmental resilience to climate impacts, such as fire, floods, heat, drought, and sea level rise. It reflects key pillars of sector or threat-specific efforts, showing how they fit together and drive us toward California’s six climate resilience priorities. These resilience priorities are California’s climate adaptation “north stars” – they guide the state’s collective efforts, connect the dots across sector-specific work, and reflect the intended outcomes. The Strategy was called for in </w:t>
            </w:r>
            <w:hyperlink r:id="rId26" w:history="1">
              <w:r w:rsidR="04EA540C" w:rsidRPr="20389150">
                <w:rPr>
                  <w:rStyle w:val="Hyperlink"/>
                  <w:spacing w:val="-2"/>
                </w:rPr>
                <w:t>AB 1482</w:t>
              </w:r>
            </w:hyperlink>
            <w:r w:rsidR="04EA540C">
              <w:rPr>
                <w:color w:val="231F20"/>
                <w:spacing w:val="-2"/>
              </w:rPr>
              <w:t xml:space="preserve"> (Gordon, 2015), </w:t>
            </w:r>
            <w:r w:rsidR="04EA540C">
              <w:rPr>
                <w:spacing w:val="-2"/>
              </w:rPr>
              <w:t>which also requires it to be updated every three years.</w:t>
            </w:r>
          </w:p>
        </w:tc>
      </w:tr>
      <w:tr w:rsidR="009A38EE" w:rsidRPr="00EC0F69" w14:paraId="5FB9BA36" w14:textId="77777777" w:rsidTr="20389150">
        <w:trPr>
          <w:cantSplit/>
        </w:trPr>
        <w:tc>
          <w:tcPr>
            <w:tcW w:w="2790" w:type="dxa"/>
            <w:shd w:val="clear" w:color="auto" w:fill="D9D9D9" w:themeFill="background1" w:themeFillShade="D9"/>
            <w:hideMark/>
          </w:tcPr>
          <w:p w14:paraId="317AB64E" w14:textId="053EADEC" w:rsidR="009A38EE" w:rsidRPr="005B476D" w:rsidRDefault="009A38EE" w:rsidP="00BB5ACB">
            <w:pPr>
              <w:ind w:left="23" w:right="2"/>
            </w:pPr>
            <w:r>
              <w:t xml:space="preserve">A four-phase </w:t>
            </w:r>
            <w:r>
              <w:rPr>
                <w:b/>
              </w:rPr>
              <w:t>planning process</w:t>
            </w:r>
            <w:r>
              <w:t xml:space="preserve"> for local governments to develop local climate adaptation and resilience policies, programs, and actions.</w:t>
            </w:r>
          </w:p>
        </w:tc>
        <w:tc>
          <w:tcPr>
            <w:tcW w:w="2430" w:type="dxa"/>
            <w:shd w:val="clear" w:color="auto" w:fill="D9D9D9" w:themeFill="background1" w:themeFillShade="D9"/>
            <w:hideMark/>
          </w:tcPr>
          <w:p w14:paraId="4BB09B83" w14:textId="4DA78932" w:rsidR="009A38EE" w:rsidRPr="005B476D" w:rsidRDefault="009A38EE" w:rsidP="00BB5ACB">
            <w:pPr>
              <w:ind w:left="44" w:right="51"/>
            </w:pPr>
            <w:r>
              <w:t xml:space="preserve">A </w:t>
            </w:r>
            <w:r>
              <w:rPr>
                <w:b/>
              </w:rPr>
              <w:t>clearinghouse</w:t>
            </w:r>
            <w:r>
              <w:t xml:space="preserve"> of case studies, guidance, and resources for adaptation practitioners.</w:t>
            </w:r>
          </w:p>
        </w:tc>
        <w:tc>
          <w:tcPr>
            <w:tcW w:w="5400" w:type="dxa"/>
            <w:shd w:val="clear" w:color="auto" w:fill="D9D9D9" w:themeFill="background1" w:themeFillShade="D9"/>
            <w:hideMark/>
          </w:tcPr>
          <w:p w14:paraId="3DC8E9AF" w14:textId="3C4030E8" w:rsidR="009A38EE" w:rsidRPr="00C22336" w:rsidRDefault="00EC6D6D" w:rsidP="00C22336">
            <w:pPr>
              <w:ind w:left="40" w:right="24"/>
            </w:pPr>
            <w:hyperlink r:id="rId27" w:history="1">
              <w:r>
                <w:rPr>
                  <w:rStyle w:val="Hyperlink"/>
                </w:rPr>
                <w:t>Adaptation Clearinghouse</w:t>
              </w:r>
            </w:hyperlink>
            <w:r>
              <w:t>:</w:t>
            </w:r>
            <w:r>
              <w:rPr>
                <w:b/>
              </w:rPr>
              <w:t xml:space="preserve"> </w:t>
            </w:r>
            <w:r>
              <w:t>Serves as California’s centralized hub for adaptation resources. Hosted by the Governor’s Office of Land Use and Climate Innovation (LCI) as part of the Integrated Climate Adaptation and Resiliency Program (ICARP).</w:t>
            </w:r>
            <w:r>
              <w:fldChar w:fldCharType="begin"/>
            </w:r>
            <w:r>
              <w:fldChar w:fldCharType="separate"/>
            </w:r>
            <w:r>
              <w:fldChar w:fldCharType="end"/>
            </w:r>
            <w:r>
              <w:fldChar w:fldCharType="begin"/>
            </w:r>
            <w:r>
              <w:fldChar w:fldCharType="separate"/>
            </w:r>
            <w:r>
              <w:fldChar w:fldCharType="end"/>
            </w:r>
            <w:r>
              <w:fldChar w:fldCharType="begin"/>
            </w:r>
            <w:r>
              <w:fldChar w:fldCharType="separate"/>
            </w:r>
            <w:r>
              <w:fldChar w:fldCharType="end"/>
            </w:r>
            <w:r>
              <w:fldChar w:fldCharType="begin"/>
            </w:r>
            <w:r>
              <w:fldChar w:fldCharType="separate"/>
            </w:r>
            <w:r>
              <w:fldChar w:fldCharType="end"/>
            </w:r>
            <w:r>
              <w:fldChar w:fldCharType="begin"/>
            </w:r>
            <w:r>
              <w:fldChar w:fldCharType="separate"/>
            </w:r>
            <w:r>
              <w:fldChar w:fldCharType="end"/>
            </w:r>
            <w:r>
              <w:fldChar w:fldCharType="begin"/>
            </w:r>
            <w:r>
              <w:fldChar w:fldCharType="separate"/>
            </w:r>
            <w:r>
              <w:fldChar w:fldCharType="end"/>
            </w:r>
          </w:p>
        </w:tc>
      </w:tr>
      <w:tr w:rsidR="009A38EE" w:rsidRPr="00EC0F69" w14:paraId="3F1C7E82" w14:textId="77777777" w:rsidTr="20389150">
        <w:trPr>
          <w:cantSplit/>
        </w:trPr>
        <w:tc>
          <w:tcPr>
            <w:tcW w:w="2790" w:type="dxa"/>
            <w:hideMark/>
          </w:tcPr>
          <w:p w14:paraId="73298913" w14:textId="7BE85CAB" w:rsidR="009A38EE" w:rsidRPr="005B476D" w:rsidRDefault="009A38EE" w:rsidP="00BB5ACB">
            <w:pPr>
              <w:ind w:left="23" w:right="2"/>
            </w:pPr>
            <w:r>
              <w:lastRenderedPageBreak/>
              <w:t xml:space="preserve">A </w:t>
            </w:r>
            <w:r>
              <w:rPr>
                <w:b/>
              </w:rPr>
              <w:t>framework for local, solutions-oriented initiatives</w:t>
            </w:r>
            <w:r>
              <w:t xml:space="preserve"> based on climate science. The APG references the most recent climate science and provides California-specific data and tools.</w:t>
            </w:r>
          </w:p>
        </w:tc>
        <w:tc>
          <w:tcPr>
            <w:tcW w:w="2430" w:type="dxa"/>
            <w:hideMark/>
          </w:tcPr>
          <w:p w14:paraId="1B7C877B" w14:textId="3201F028" w:rsidR="009A38EE" w:rsidRPr="005B476D" w:rsidRDefault="009A38EE" w:rsidP="00BB5ACB">
            <w:pPr>
              <w:ind w:left="44" w:right="51"/>
            </w:pPr>
            <w:r>
              <w:t>A</w:t>
            </w:r>
            <w:r>
              <w:rPr>
                <w:b/>
              </w:rPr>
              <w:t xml:space="preserve"> collection of recognized climate science</w:t>
            </w:r>
            <w:r>
              <w:t xml:space="preserve"> for referencing impacts and vulnerabilities.</w:t>
            </w:r>
          </w:p>
        </w:tc>
        <w:tc>
          <w:tcPr>
            <w:tcW w:w="5400" w:type="dxa"/>
            <w:hideMark/>
          </w:tcPr>
          <w:p w14:paraId="728EFACA" w14:textId="0AFE7719" w:rsidR="00AA12B4" w:rsidRPr="0043125B" w:rsidRDefault="00830488" w:rsidP="00DF1704">
            <w:pPr>
              <w:pStyle w:val="ListParagraph"/>
              <w:spacing w:after="160"/>
              <w:ind w:left="43"/>
              <w:contextualSpacing w:val="0"/>
            </w:pPr>
            <w:hyperlink r:id="rId28" w:history="1">
              <w:r>
                <w:rPr>
                  <w:rStyle w:val="Hyperlink"/>
                  <w:iCs/>
                </w:rPr>
                <w:t>California's Fifth Climate Change Assessment</w:t>
              </w:r>
            </w:hyperlink>
            <w:r>
              <w:t>: Provides extensive, research-based information on climate impacts and vulnerabilities statewide.</w:t>
            </w:r>
          </w:p>
          <w:p w14:paraId="517D93F6" w14:textId="29B9981B" w:rsidR="009A38EE" w:rsidRDefault="00AA12B4" w:rsidP="00C81883">
            <w:pPr>
              <w:spacing w:after="160"/>
              <w:ind w:left="43" w:right="24"/>
            </w:pPr>
            <w:hyperlink r:id="rId29" w:history="1">
              <w:r>
                <w:rPr>
                  <w:rStyle w:val="Hyperlink"/>
                </w:rPr>
                <w:t>California State Hazard Mitigation Plan</w:t>
              </w:r>
            </w:hyperlink>
            <w:r>
              <w:t>: Incorporates climate change into statewide hazard mitigation strategies.</w:t>
            </w:r>
          </w:p>
          <w:p w14:paraId="2BB4B477" w14:textId="1FAD9835" w:rsidR="007970B5" w:rsidRDefault="00B2755A" w:rsidP="00E015C7">
            <w:pPr>
              <w:ind w:left="40" w:right="24"/>
            </w:pPr>
            <w:hyperlink r:id="rId30">
              <w:r>
                <w:rPr>
                  <w:rStyle w:val="Hyperlink"/>
                </w:rPr>
                <w:t>Vulnerable Communities Platform</w:t>
              </w:r>
            </w:hyperlink>
            <w:r>
              <w:t xml:space="preserve"> (VCP): Developed by LCI, provides a comprehensive overview of exposure and social vulnerability to major climate hazards (e.g., extreme heat, sea-level rise, flooding, drought). Local governments and </w:t>
            </w:r>
            <w:r w:rsidR="005C484E">
              <w:t>Community Based Organizations (</w:t>
            </w:r>
            <w:r>
              <w:t>CBOs</w:t>
            </w:r>
            <w:r w:rsidR="005C484E">
              <w:t>)</w:t>
            </w:r>
            <w:r>
              <w:t xml:space="preserve"> can use the VCP to identify frontline communities most vulnerable to climate change impacts, thereby informing climate adaptation planning and outreach. The VCP includes other tools, climate data sources, connections to funding opportunities and planning guidance, and a help desk</w:t>
            </w:r>
            <w:r>
              <w:rPr>
                <w:color w:val="0562C1"/>
              </w:rPr>
              <w:t xml:space="preserve"> </w:t>
            </w:r>
            <w:r>
              <w:t>for one-on-one climate adaptation support.</w:t>
            </w:r>
          </w:p>
          <w:p w14:paraId="481597CF" w14:textId="77777777" w:rsidR="00233C70" w:rsidRDefault="00233C70" w:rsidP="00E015C7">
            <w:pPr>
              <w:ind w:left="40" w:right="24"/>
            </w:pPr>
          </w:p>
          <w:p w14:paraId="59A236C8" w14:textId="740BB204" w:rsidR="007970B5" w:rsidRPr="00EC0F69" w:rsidRDefault="000F1EA7" w:rsidP="00786791">
            <w:pPr>
              <w:spacing w:after="160"/>
              <w:ind w:left="43" w:right="24"/>
            </w:pPr>
            <w:hyperlink r:id="rId31" w:history="1">
              <w:r>
                <w:rPr>
                  <w:rStyle w:val="Hyperlink"/>
                </w:rPr>
                <w:t>Cal-Adapt</w:t>
              </w:r>
            </w:hyperlink>
            <w:r>
              <w:t>: Provides access to raw climate data and data visualization tools.</w:t>
            </w:r>
          </w:p>
        </w:tc>
      </w:tr>
      <w:tr w:rsidR="009A38EE" w:rsidRPr="00EC0F69" w14:paraId="45523E15" w14:textId="77777777" w:rsidTr="20389150">
        <w:trPr>
          <w:cantSplit/>
        </w:trPr>
        <w:tc>
          <w:tcPr>
            <w:tcW w:w="2790" w:type="dxa"/>
            <w:shd w:val="clear" w:color="auto" w:fill="D9D9D9" w:themeFill="background1" w:themeFillShade="D9"/>
          </w:tcPr>
          <w:p w14:paraId="432E11A0" w14:textId="5E7645C6" w:rsidR="009A38EE" w:rsidRPr="005B476D" w:rsidRDefault="009A38EE" w:rsidP="00BB5ACB">
            <w:pPr>
              <w:ind w:left="23" w:right="2"/>
            </w:pPr>
            <w:r>
              <w:t xml:space="preserve">A </w:t>
            </w:r>
            <w:r>
              <w:rPr>
                <w:b/>
                <w:bCs/>
              </w:rPr>
              <w:t>framework</w:t>
            </w:r>
            <w:r>
              <w:t xml:space="preserve"> </w:t>
            </w:r>
            <w:r>
              <w:rPr>
                <w:spacing w:val="-5"/>
              </w:rPr>
              <w:t xml:space="preserve">for creating a vulnerability assessment and adaptation framework that can be </w:t>
            </w:r>
            <w:r>
              <w:t>integrated into</w:t>
            </w:r>
            <w:r>
              <w:rPr>
                <w:spacing w:val="-6"/>
              </w:rPr>
              <w:t xml:space="preserve"> </w:t>
            </w:r>
            <w:r>
              <w:t>an</w:t>
            </w:r>
            <w:r>
              <w:rPr>
                <w:spacing w:val="-4"/>
              </w:rPr>
              <w:t xml:space="preserve"> array </w:t>
            </w:r>
            <w:r>
              <w:t>of</w:t>
            </w:r>
            <w:r>
              <w:rPr>
                <w:spacing w:val="-4"/>
              </w:rPr>
              <w:t xml:space="preserve"> </w:t>
            </w:r>
            <w:r>
              <w:t>local</w:t>
            </w:r>
            <w:r>
              <w:rPr>
                <w:spacing w:val="-3"/>
              </w:rPr>
              <w:t xml:space="preserve"> </w:t>
            </w:r>
            <w:r>
              <w:rPr>
                <w:spacing w:val="-2"/>
              </w:rPr>
              <w:t xml:space="preserve">government </w:t>
            </w:r>
            <w:r>
              <w:t>climate</w:t>
            </w:r>
            <w:r>
              <w:rPr>
                <w:spacing w:val="-4"/>
              </w:rPr>
              <w:t xml:space="preserve"> </w:t>
            </w:r>
            <w:r>
              <w:rPr>
                <w:spacing w:val="-2"/>
              </w:rPr>
              <w:t xml:space="preserve">adaptation </w:t>
            </w:r>
            <w:r>
              <w:t>policies</w:t>
            </w:r>
            <w:r>
              <w:rPr>
                <w:spacing w:val="2"/>
              </w:rPr>
              <w:t xml:space="preserve"> </w:t>
            </w:r>
            <w:r>
              <w:t>and</w:t>
            </w:r>
            <w:r>
              <w:rPr>
                <w:spacing w:val="2"/>
              </w:rPr>
              <w:t xml:space="preserve"> </w:t>
            </w:r>
            <w:r>
              <w:rPr>
                <w:spacing w:val="-2"/>
              </w:rPr>
              <w:t xml:space="preserve">programs, </w:t>
            </w:r>
            <w:r>
              <w:t>including</w:t>
            </w:r>
            <w:r>
              <w:rPr>
                <w:spacing w:val="-14"/>
              </w:rPr>
              <w:t xml:space="preserve"> </w:t>
            </w:r>
            <w:r>
              <w:t xml:space="preserve">LHMPs/THMPs and general </w:t>
            </w:r>
            <w:r>
              <w:rPr>
                <w:spacing w:val="-2"/>
              </w:rPr>
              <w:t>plans.</w:t>
            </w:r>
          </w:p>
        </w:tc>
        <w:tc>
          <w:tcPr>
            <w:tcW w:w="2430" w:type="dxa"/>
            <w:shd w:val="clear" w:color="auto" w:fill="D9D9D9" w:themeFill="background1" w:themeFillShade="D9"/>
          </w:tcPr>
          <w:p w14:paraId="5966FD24" w14:textId="74C9E549" w:rsidR="009A38EE" w:rsidRPr="005B476D" w:rsidRDefault="009A38EE" w:rsidP="00BB5ACB">
            <w:pPr>
              <w:ind w:left="44" w:right="51"/>
            </w:pPr>
            <w:r>
              <w:t xml:space="preserve">A </w:t>
            </w:r>
            <w:r>
              <w:rPr>
                <w:b/>
                <w:bCs/>
              </w:rPr>
              <w:t>comprehensive guide</w:t>
            </w:r>
            <w:r>
              <w:rPr>
                <w:spacing w:val="-4"/>
              </w:rPr>
              <w:t xml:space="preserve"> </w:t>
            </w:r>
            <w:r>
              <w:t>on</w:t>
            </w:r>
            <w:r>
              <w:rPr>
                <w:spacing w:val="-2"/>
              </w:rPr>
              <w:t xml:space="preserve"> </w:t>
            </w:r>
            <w:r>
              <w:t>how</w:t>
            </w:r>
            <w:r>
              <w:rPr>
                <w:spacing w:val="-1"/>
              </w:rPr>
              <w:t xml:space="preserve"> </w:t>
            </w:r>
            <w:r>
              <w:rPr>
                <w:spacing w:val="-5"/>
              </w:rPr>
              <w:t xml:space="preserve">to </w:t>
            </w:r>
            <w:r>
              <w:t>systematically</w:t>
            </w:r>
            <w:r>
              <w:rPr>
                <w:spacing w:val="-3"/>
              </w:rPr>
              <w:t xml:space="preserve"> </w:t>
            </w:r>
            <w:r>
              <w:rPr>
                <w:spacing w:val="-2"/>
              </w:rPr>
              <w:t>prepare L</w:t>
            </w:r>
            <w:r>
              <w:t>ocal/Tribal Hazard</w:t>
            </w:r>
            <w:r>
              <w:rPr>
                <w:spacing w:val="-2"/>
              </w:rPr>
              <w:t xml:space="preserve"> Mitigation P</w:t>
            </w:r>
            <w:r>
              <w:t>lans</w:t>
            </w:r>
            <w:r>
              <w:rPr>
                <w:spacing w:val="2"/>
              </w:rPr>
              <w:t xml:space="preserve"> (LHMPs/THMPs) </w:t>
            </w:r>
            <w:r>
              <w:t>and</w:t>
            </w:r>
            <w:r>
              <w:rPr>
                <w:spacing w:val="3"/>
              </w:rPr>
              <w:t xml:space="preserve"> </w:t>
            </w:r>
            <w:r>
              <w:rPr>
                <w:spacing w:val="-2"/>
              </w:rPr>
              <w:t xml:space="preserve">General </w:t>
            </w:r>
            <w:r>
              <w:t>Plan</w:t>
            </w:r>
            <w:r>
              <w:rPr>
                <w:spacing w:val="-1"/>
              </w:rPr>
              <w:t xml:space="preserve"> </w:t>
            </w:r>
            <w:r>
              <w:t>elements,</w:t>
            </w:r>
            <w:r>
              <w:rPr>
                <w:spacing w:val="-1"/>
              </w:rPr>
              <w:t xml:space="preserve"> </w:t>
            </w:r>
            <w:r>
              <w:t>such</w:t>
            </w:r>
            <w:r>
              <w:rPr>
                <w:spacing w:val="-1"/>
              </w:rPr>
              <w:t xml:space="preserve"> </w:t>
            </w:r>
            <w:r>
              <w:rPr>
                <w:spacing w:val="-5"/>
              </w:rPr>
              <w:t xml:space="preserve">as </w:t>
            </w:r>
            <w:r>
              <w:t>safety</w:t>
            </w:r>
            <w:r>
              <w:rPr>
                <w:spacing w:val="-10"/>
              </w:rPr>
              <w:t xml:space="preserve"> </w:t>
            </w:r>
            <w:r>
              <w:rPr>
                <w:spacing w:val="-2"/>
              </w:rPr>
              <w:t>elements.</w:t>
            </w:r>
          </w:p>
        </w:tc>
        <w:tc>
          <w:tcPr>
            <w:tcW w:w="5400" w:type="dxa"/>
            <w:shd w:val="clear" w:color="auto" w:fill="D9D9D9" w:themeFill="background1" w:themeFillShade="D9"/>
          </w:tcPr>
          <w:p w14:paraId="3AC4AE19" w14:textId="0A9C773E" w:rsidR="00235072" w:rsidRDefault="04EA540C" w:rsidP="00C81883">
            <w:pPr>
              <w:spacing w:after="160"/>
              <w:ind w:left="43" w:right="29"/>
            </w:pPr>
            <w:hyperlink r:id="rId32" w:history="1">
              <w:r w:rsidRPr="20389150">
                <w:rPr>
                  <w:rStyle w:val="Hyperlink"/>
                  <w:spacing w:val="-16"/>
                </w:rPr>
                <w:t>Local Mitigation Planning Handbook</w:t>
              </w:r>
            </w:hyperlink>
            <w:r>
              <w:rPr>
                <w:spacing w:val="-16"/>
              </w:rPr>
              <w:t xml:space="preserve"> </w:t>
            </w:r>
            <w:r>
              <w:t xml:space="preserve">and </w:t>
            </w:r>
            <w:hyperlink r:id="rId33">
              <w:r w:rsidRPr="20389150">
                <w:rPr>
                  <w:rStyle w:val="Hyperlink"/>
                </w:rPr>
                <w:t>Tribal Mitigation Planning Ha</w:t>
              </w:r>
              <w:bookmarkStart w:id="7" w:name="_Hlt230006488"/>
              <w:bookmarkEnd w:id="7"/>
              <w:r w:rsidRPr="20389150">
                <w:rPr>
                  <w:rStyle w:val="Hyperlink"/>
                </w:rPr>
                <w:t>ndbook</w:t>
              </w:r>
            </w:hyperlink>
            <w:r w:rsidR="00BB3F62">
              <w:t>: The Federal Emergency Management Agency’s (FEMA’s)</w:t>
            </w:r>
            <w:r w:rsidR="00BB3F62">
              <w:rPr>
                <w:spacing w:val="-16"/>
              </w:rPr>
              <w:t xml:space="preserve"> supporting </w:t>
            </w:r>
            <w:r>
              <w:t>guid</w:t>
            </w:r>
            <w:r w:rsidR="00BB3F62">
              <w:t xml:space="preserve">ebooks </w:t>
            </w:r>
            <w:r>
              <w:t>on preparing a Local Hazard Mitigation</w:t>
            </w:r>
            <w:r>
              <w:rPr>
                <w:spacing w:val="-17"/>
              </w:rPr>
              <w:t xml:space="preserve"> P</w:t>
            </w:r>
            <w:r>
              <w:t>lan (LHMP) and Tribal Hazard Mitigation Plans (THMP).</w:t>
            </w:r>
          </w:p>
          <w:p w14:paraId="26AC9163" w14:textId="56EB6CC0" w:rsidR="009A38EE" w:rsidRPr="00A03952" w:rsidRDefault="00306A34" w:rsidP="00235072">
            <w:pPr>
              <w:ind w:left="40" w:right="24"/>
            </w:pPr>
            <w:hyperlink r:id="rId34" w:history="1">
              <w:r>
                <w:rPr>
                  <w:rStyle w:val="Hyperlink"/>
                </w:rPr>
                <w:t>California General Plan Guidelines</w:t>
              </w:r>
            </w:hyperlink>
            <w:r>
              <w:t>: Guides incorporating climate</w:t>
            </w:r>
            <w:r>
              <w:rPr>
                <w:spacing w:val="-16"/>
              </w:rPr>
              <w:t xml:space="preserve"> </w:t>
            </w:r>
            <w:r>
              <w:t>considerations</w:t>
            </w:r>
            <w:r>
              <w:rPr>
                <w:spacing w:val="-16"/>
              </w:rPr>
              <w:t xml:space="preserve"> </w:t>
            </w:r>
            <w:r>
              <w:t>into</w:t>
            </w:r>
            <w:r>
              <w:rPr>
                <w:spacing w:val="-16"/>
              </w:rPr>
              <w:t xml:space="preserve"> </w:t>
            </w:r>
            <w:r>
              <w:t>general plans. Made by LCI, it provides guidance on the preparation of general plans, including safety elements, and associated LHMP incorporation guidance.</w:t>
            </w:r>
          </w:p>
        </w:tc>
      </w:tr>
    </w:tbl>
    <w:p w14:paraId="40D2E8DF" w14:textId="77777777" w:rsidR="00774FED" w:rsidRDefault="00774FED" w:rsidP="00774FED">
      <w:pPr>
        <w:pStyle w:val="Heading2"/>
      </w:pPr>
      <w:bookmarkStart w:id="8" w:name="_Toc235802657"/>
      <w:r>
        <w:lastRenderedPageBreak/>
        <w:t>What’s New in the 2026 Adaptation Planning Guide</w:t>
      </w:r>
      <w:bookmarkEnd w:id="8"/>
    </w:p>
    <w:p w14:paraId="196B2032" w14:textId="010699D1" w:rsidR="00774FED" w:rsidRDefault="0FBA5588" w:rsidP="00625652">
      <w:pPr>
        <w:pStyle w:val="BodyText"/>
        <w:spacing w:before="160" w:line="240" w:lineRule="auto"/>
      </w:pPr>
      <w:r>
        <w:t xml:space="preserve">In 2026 the state updated the APG to reflect the latest best practices, incorporate recent changes to state plans, policies, programs, and regulations, and help communities use the best available climate science and data. </w:t>
      </w:r>
    </w:p>
    <w:p w14:paraId="697CEE00" w14:textId="01499A6B" w:rsidR="00774FED" w:rsidRPr="009D3AC9" w:rsidRDefault="00774FED" w:rsidP="00625652">
      <w:pPr>
        <w:spacing w:line="240" w:lineRule="auto"/>
      </w:pPr>
      <w:r>
        <w:t>In this third edition, new resources and guidance help communities with different planning needs, goals, and capacities advance their adaptation planning efforts. Updates include:</w:t>
      </w:r>
    </w:p>
    <w:p w14:paraId="78C3632B" w14:textId="77777777" w:rsidR="00774FED" w:rsidRPr="009D3AC9" w:rsidRDefault="00774FED">
      <w:pPr>
        <w:numPr>
          <w:ilvl w:val="0"/>
          <w:numId w:val="64"/>
        </w:numPr>
        <w:spacing w:line="240" w:lineRule="auto"/>
      </w:pPr>
      <w:r>
        <w:t>Expanded risk assessment guidance, including newer climate data resources, a dedicated data tools appendix (Appendix B), and worksheets that walk users through the risk assessment process.</w:t>
      </w:r>
    </w:p>
    <w:p w14:paraId="7AC05B68" w14:textId="77777777" w:rsidR="00774FED" w:rsidRPr="009D3AC9" w:rsidRDefault="00774FED">
      <w:pPr>
        <w:numPr>
          <w:ilvl w:val="0"/>
          <w:numId w:val="64"/>
        </w:numPr>
        <w:spacing w:line="240" w:lineRule="auto"/>
      </w:pPr>
      <w:r>
        <w:t>Expanded funding and implementation guidance to help communities move from planning to action.</w:t>
      </w:r>
    </w:p>
    <w:p w14:paraId="407FAF79" w14:textId="77777777" w:rsidR="00774FED" w:rsidRDefault="00774FED">
      <w:pPr>
        <w:numPr>
          <w:ilvl w:val="0"/>
          <w:numId w:val="64"/>
        </w:numPr>
        <w:spacing w:line="240" w:lineRule="auto"/>
      </w:pPr>
      <w:r>
        <w:t>Expanded equity and community engagement content, including a dedicated outreach appendix.</w:t>
      </w:r>
    </w:p>
    <w:p w14:paraId="7D7B972F" w14:textId="77777777" w:rsidR="00774FED" w:rsidRPr="009D3AC9" w:rsidRDefault="00774FED">
      <w:pPr>
        <w:numPr>
          <w:ilvl w:val="0"/>
          <w:numId w:val="64"/>
        </w:numPr>
        <w:spacing w:line="240" w:lineRule="auto"/>
      </w:pPr>
      <w:r>
        <w:t>New case studies throughout the guide highlighting how diverse California communities are addressing climate adaptation through a variety of planning efforts.</w:t>
      </w:r>
    </w:p>
    <w:p w14:paraId="0560376F" w14:textId="77777777" w:rsidR="00774FED" w:rsidRPr="00DF1704" w:rsidRDefault="00774FED" w:rsidP="00774FED">
      <w:pPr>
        <w:pStyle w:val="BodyText"/>
        <w:spacing w:before="160" w:line="240" w:lineRule="auto"/>
        <w:rPr>
          <w:szCs w:val="24"/>
        </w:rPr>
      </w:pPr>
    </w:p>
    <w:p w14:paraId="1CD874ED" w14:textId="2C94F6E3" w:rsidR="0097267E" w:rsidRDefault="0097267E" w:rsidP="0097267E">
      <w:pPr>
        <w:pStyle w:val="Heading2"/>
        <w:spacing w:line="240" w:lineRule="auto"/>
      </w:pPr>
      <w:bookmarkStart w:id="9" w:name="_Toc235802658"/>
      <w:r>
        <w:rPr>
          <w:spacing w:val="-2"/>
        </w:rPr>
        <w:t>Who</w:t>
      </w:r>
      <w:r>
        <w:t xml:space="preserve"> Is This Guide For?</w:t>
      </w:r>
      <w:bookmarkEnd w:id="9"/>
    </w:p>
    <w:p w14:paraId="370A7533" w14:textId="75702458" w:rsidR="0097267E" w:rsidRDefault="0097267E" w:rsidP="0097267E">
      <w:pPr>
        <w:spacing w:line="240" w:lineRule="auto"/>
        <w:rPr>
          <w:rFonts w:eastAsia="Century Gothic" w:cs="Century Gothic"/>
        </w:rPr>
      </w:pPr>
      <w:r>
        <w:rPr>
          <w:rFonts w:eastAsia="Century Gothic" w:cs="Century Gothic"/>
        </w:rPr>
        <w:t xml:space="preserve">The state prepared the APG to guide local </w:t>
      </w:r>
      <w:r w:rsidR="00BA4E01">
        <w:rPr>
          <w:rFonts w:eastAsia="Century Gothic" w:cs="Century Gothic"/>
        </w:rPr>
        <w:t xml:space="preserve">and regional </w:t>
      </w:r>
      <w:r>
        <w:rPr>
          <w:rFonts w:eastAsia="Century Gothic" w:cs="Century Gothic"/>
        </w:rPr>
        <w:t>governments</w:t>
      </w:r>
      <w:r w:rsidR="00BA4E01">
        <w:rPr>
          <w:rFonts w:eastAsia="Century Gothic" w:cs="Century Gothic"/>
        </w:rPr>
        <w:t xml:space="preserve"> and</w:t>
      </w:r>
      <w:r>
        <w:rPr>
          <w:rFonts w:eastAsia="Century Gothic" w:cs="Century Gothic"/>
        </w:rPr>
        <w:t xml:space="preserve"> agencies</w:t>
      </w:r>
      <w:r w:rsidR="003D1759">
        <w:rPr>
          <w:rFonts w:eastAsia="Century Gothic" w:cs="Century Gothic"/>
        </w:rPr>
        <w:t xml:space="preserve"> </w:t>
      </w:r>
      <w:r>
        <w:rPr>
          <w:rFonts w:eastAsia="Century Gothic" w:cs="Century Gothic"/>
        </w:rPr>
        <w:t>in developing stand-alone climate action and/or adaptation plans, and in integrating climate adaptation into hazard mitigation plans and general plan updates, consistent with state statutes.</w:t>
      </w:r>
    </w:p>
    <w:p w14:paraId="05F1CBB1" w14:textId="7C1D2049" w:rsidR="00DF1704" w:rsidRDefault="00D0105B" w:rsidP="000B09C4">
      <w:pPr>
        <w:spacing w:line="240" w:lineRule="auto"/>
      </w:pPr>
      <w:r w:rsidRPr="00D0105B">
        <w:rPr>
          <w:rFonts w:eastAsia="Century Gothic" w:cs="Century Gothic"/>
        </w:rPr>
        <w:t xml:space="preserve">Consistent with SB </w:t>
      </w:r>
      <w:r w:rsidR="00B55EA0">
        <w:rPr>
          <w:rFonts w:eastAsia="Century Gothic" w:cs="Century Gothic"/>
        </w:rPr>
        <w:t>246</w:t>
      </w:r>
      <w:r w:rsidRPr="00D0105B">
        <w:rPr>
          <w:rFonts w:eastAsia="Century Gothic" w:cs="Century Gothic"/>
        </w:rPr>
        <w:t>, the primary audience for the APG is local and regional governments and agencies preparing and updating adaptation plans. However, the planning process it outlines and many of the resources it provides can also support Tribes, community-based organizations, and other nongovernmental and private-sector planning</w:t>
      </w:r>
      <w:r w:rsidR="0097267E" w:rsidRPr="20389150">
        <w:rPr>
          <w:rFonts w:eastAsia="Century Gothic" w:cs="Century Gothic"/>
        </w:rPr>
        <w:t xml:space="preserve"> efforts.</w:t>
      </w:r>
    </w:p>
    <w:tbl>
      <w:tblPr>
        <w:tblStyle w:val="TableGrid"/>
        <w:tblW w:w="0" w:type="auto"/>
        <w:tblLook w:val="04A0" w:firstRow="1" w:lastRow="0" w:firstColumn="1" w:lastColumn="0" w:noHBand="0" w:noVBand="1"/>
      </w:tblPr>
      <w:tblGrid>
        <w:gridCol w:w="9350"/>
      </w:tblGrid>
      <w:tr w:rsidR="0097267E" w:rsidRPr="00BE1CEE" w14:paraId="36BA1219" w14:textId="77777777" w:rsidTr="00304E37">
        <w:trPr>
          <w:trHeight w:val="576"/>
        </w:trPr>
        <w:tc>
          <w:tcPr>
            <w:tcW w:w="9350" w:type="dxa"/>
            <w:tcBorders>
              <w:top w:val="nil"/>
              <w:left w:val="nil"/>
              <w:bottom w:val="nil"/>
              <w:right w:val="nil"/>
            </w:tcBorders>
            <w:shd w:val="clear" w:color="auto" w:fill="404040" w:themeFill="text1" w:themeFillTint="BF"/>
            <w:vAlign w:val="center"/>
          </w:tcPr>
          <w:p w14:paraId="1960EEE9" w14:textId="5632AC78" w:rsidR="0097267E" w:rsidRPr="00BE1CEE" w:rsidRDefault="00D15D73" w:rsidP="00304E37">
            <w:pPr>
              <w:rPr>
                <w:b/>
                <w:bCs/>
                <w:color w:val="FFFFFF" w:themeColor="background1"/>
              </w:rPr>
            </w:pPr>
            <w:r>
              <w:rPr>
                <w:b/>
                <w:bCs/>
                <w:color w:val="FFFFFF" w:themeColor="background1"/>
              </w:rPr>
              <w:t xml:space="preserve">How This Guide Uses Key Terms </w:t>
            </w:r>
          </w:p>
        </w:tc>
      </w:tr>
      <w:tr w:rsidR="0097267E" w14:paraId="2B7D112B" w14:textId="77777777" w:rsidTr="00304E37">
        <w:tc>
          <w:tcPr>
            <w:tcW w:w="9350" w:type="dxa"/>
            <w:tcBorders>
              <w:top w:val="nil"/>
              <w:left w:val="nil"/>
              <w:bottom w:val="nil"/>
              <w:right w:val="nil"/>
            </w:tcBorders>
            <w:shd w:val="clear" w:color="auto" w:fill="F2F2F2" w:themeFill="background1" w:themeFillShade="F2"/>
          </w:tcPr>
          <w:p w14:paraId="43728738" w14:textId="133A88D0" w:rsidR="008F0920" w:rsidRPr="000550C7" w:rsidRDefault="008F0920" w:rsidP="008F0920">
            <w:pPr>
              <w:spacing w:after="160" w:line="278" w:lineRule="auto"/>
            </w:pPr>
            <w:r>
              <w:rPr>
                <w:b/>
                <w:bCs/>
              </w:rPr>
              <w:t>Planning entity</w:t>
            </w:r>
            <w:r>
              <w:t xml:space="preserve"> refers to the local</w:t>
            </w:r>
            <w:r w:rsidR="003B2F00">
              <w:t xml:space="preserve">, </w:t>
            </w:r>
            <w:r w:rsidR="000A4522">
              <w:t xml:space="preserve">regional </w:t>
            </w:r>
            <w:r>
              <w:t>government</w:t>
            </w:r>
            <w:r w:rsidR="00675FC3">
              <w:t>,</w:t>
            </w:r>
            <w:r w:rsidR="000A4522">
              <w:t xml:space="preserve"> </w:t>
            </w:r>
            <w:r w:rsidR="003B2F00">
              <w:t>agency</w:t>
            </w:r>
            <w:r>
              <w:t>, Trib</w:t>
            </w:r>
            <w:r w:rsidR="00E055F2">
              <w:t>e</w:t>
            </w:r>
            <w:r>
              <w:t>, or other organization leading the adaptation planning effort.</w:t>
            </w:r>
          </w:p>
          <w:p w14:paraId="79D0EF9B" w14:textId="77777777" w:rsidR="00DA6BBA" w:rsidRDefault="008F0920" w:rsidP="008F0920">
            <w:pPr>
              <w:spacing w:after="160" w:line="278" w:lineRule="auto"/>
            </w:pPr>
            <w:r>
              <w:rPr>
                <w:b/>
                <w:bCs/>
              </w:rPr>
              <w:t>Planning team</w:t>
            </w:r>
            <w:r>
              <w:t xml:space="preserve"> refers to the individuals, departments, and representatives responsible for managing the planning process, developing the plan, </w:t>
            </w:r>
            <w:r>
              <w:lastRenderedPageBreak/>
              <w:t>coordinating input, and supporting decision making throughout the adaptation planning process</w:t>
            </w:r>
          </w:p>
          <w:p w14:paraId="56DDE77E" w14:textId="411911E9" w:rsidR="008F0920" w:rsidRPr="000550C7" w:rsidRDefault="008F0920" w:rsidP="008F0920">
            <w:pPr>
              <w:spacing w:after="160" w:line="278" w:lineRule="auto"/>
            </w:pPr>
            <w:r>
              <w:rPr>
                <w:b/>
                <w:bCs/>
              </w:rPr>
              <w:t>Community</w:t>
            </w:r>
            <w:r>
              <w:t xml:space="preserve"> refers to the people, places, organizations, and groups affected by climate risks and adaptation decisions, including residents, businesses, and cultural communities.</w:t>
            </w:r>
          </w:p>
          <w:p w14:paraId="1B551E6E" w14:textId="7D8E875C" w:rsidR="008F0920" w:rsidRDefault="008F0920" w:rsidP="00C36E1D">
            <w:pPr>
              <w:spacing w:after="160" w:line="278" w:lineRule="auto"/>
            </w:pPr>
            <w:r>
              <w:rPr>
                <w:b/>
                <w:bCs/>
              </w:rPr>
              <w:t>Partners</w:t>
            </w:r>
            <w:r>
              <w:t xml:space="preserve"> refers to agencies, Trib</w:t>
            </w:r>
            <w:r w:rsidR="00E055F2">
              <w:t>es</w:t>
            </w:r>
            <w:r>
              <w:t>, community-based organizations, nonprofits, academic institutions, private sector organizations, and other groups that contribute to, coordinate with, or support adaptation planning and implementation.</w:t>
            </w:r>
          </w:p>
        </w:tc>
      </w:tr>
    </w:tbl>
    <w:p w14:paraId="43810A9C" w14:textId="77777777" w:rsidR="007D4173" w:rsidRPr="007D4173" w:rsidRDefault="007D4173" w:rsidP="00E015C7">
      <w:pPr>
        <w:pStyle w:val="BodyText"/>
        <w:spacing w:before="160" w:line="240" w:lineRule="auto"/>
        <w:rPr>
          <w:szCs w:val="24"/>
        </w:rPr>
      </w:pPr>
    </w:p>
    <w:p w14:paraId="75F5232E" w14:textId="761A79DA" w:rsidR="000A729A" w:rsidRPr="00692137" w:rsidRDefault="000A729A" w:rsidP="00BB5ACB">
      <w:pPr>
        <w:pStyle w:val="Heading2"/>
        <w:spacing w:line="240" w:lineRule="auto"/>
      </w:pPr>
      <w:bookmarkStart w:id="10" w:name="_Toc235802659"/>
      <w:r>
        <w:rPr>
          <w:spacing w:val="-7"/>
        </w:rPr>
        <w:t>Who</w:t>
      </w:r>
      <w:r>
        <w:t xml:space="preserve"> </w:t>
      </w:r>
      <w:r>
        <w:rPr>
          <w:spacing w:val="-7"/>
        </w:rPr>
        <w:t>Developed</w:t>
      </w:r>
      <w:r>
        <w:t xml:space="preserve"> </w:t>
      </w:r>
      <w:r>
        <w:rPr>
          <w:spacing w:val="-6"/>
        </w:rPr>
        <w:t>the</w:t>
      </w:r>
      <w:r>
        <w:t xml:space="preserve"> </w:t>
      </w:r>
      <w:r>
        <w:rPr>
          <w:spacing w:val="-7"/>
        </w:rPr>
        <w:t>APG</w:t>
      </w:r>
      <w:r>
        <w:t xml:space="preserve"> </w:t>
      </w:r>
      <w:r>
        <w:rPr>
          <w:spacing w:val="-6"/>
        </w:rPr>
        <w:t>and</w:t>
      </w:r>
      <w:r>
        <w:rPr>
          <w:spacing w:val="-4"/>
        </w:rPr>
        <w:t xml:space="preserve"> Why?</w:t>
      </w:r>
      <w:bookmarkEnd w:id="10"/>
    </w:p>
    <w:p w14:paraId="585386B5" w14:textId="5B5E7EC3" w:rsidR="000A729A" w:rsidRPr="00692137" w:rsidRDefault="000A729A" w:rsidP="20389150">
      <w:pPr>
        <w:pStyle w:val="BodyText"/>
        <w:tabs>
          <w:tab w:val="left" w:pos="5940"/>
        </w:tabs>
        <w:spacing w:before="160" w:line="240" w:lineRule="auto"/>
      </w:pPr>
      <w:r>
        <w:t xml:space="preserve">Since its initial release in 2012, the APG has been updated periodically, with the </w:t>
      </w:r>
      <w:r w:rsidR="56F92EF8">
        <w:t xml:space="preserve">second </w:t>
      </w:r>
      <w:r>
        <w:t xml:space="preserve">edition published in 2020 and this third edition released in 2026. In 2015, the governor signed </w:t>
      </w:r>
      <w:r w:rsidR="56F92EF8">
        <w:t xml:space="preserve">SB 246 </w:t>
      </w:r>
      <w:r>
        <w:t>(Wieckowski, 2015), which required the California Governor’s Office of Emergency Services (Cal OES) to update the APG within one year of an update to the Safeguarding California Plan,</w:t>
      </w:r>
      <w:r w:rsidRPr="20389150">
        <w:rPr>
          <w:i/>
          <w:iCs/>
        </w:rPr>
        <w:t xml:space="preserve"> </w:t>
      </w:r>
      <w:r>
        <w:t xml:space="preserve">which is now called the </w:t>
      </w:r>
      <w:r w:rsidR="56F92EF8">
        <w:t>California Climate Adaptation Strategy</w:t>
      </w:r>
      <w:r>
        <w:t xml:space="preserve">. This third update, prepared by Cal OES in partnership with the Governor’s Office of Land Use and Climate Innovation (LCI), </w:t>
      </w:r>
      <w:r w:rsidR="06189929">
        <w:t xml:space="preserve">the California Natural Resources Agency (CNRA), </w:t>
      </w:r>
      <w:r>
        <w:t>and other statewide partners, reflects the latest best practices; integrates recent updates to state plans, policies, programs, and regulations; and ensures communities have guidance on using the best available science and information.</w:t>
      </w:r>
    </w:p>
    <w:p w14:paraId="1763B648" w14:textId="79813B70" w:rsidR="000A729A" w:rsidRPr="00FB6A29" w:rsidRDefault="000A729A" w:rsidP="20389150">
      <w:pPr>
        <w:pStyle w:val="BodyText"/>
        <w:spacing w:before="156" w:line="240" w:lineRule="auto"/>
      </w:pPr>
      <w:r w:rsidRPr="20389150">
        <w:t xml:space="preserve">Since the </w:t>
      </w:r>
      <w:r w:rsidR="20FD9BC2">
        <w:t xml:space="preserve">APG was first published, </w:t>
      </w:r>
      <w:r w:rsidR="009A6FA1">
        <w:t>California has</w:t>
      </w:r>
      <w:r>
        <w:t xml:space="preserve"> enacted </w:t>
      </w:r>
      <w:r w:rsidR="36DEC1AE">
        <w:t xml:space="preserve">new </w:t>
      </w:r>
      <w:r>
        <w:t xml:space="preserve">requirements for local adaptation planning, which are summarized in the following section. This </w:t>
      </w:r>
      <w:r w:rsidR="78F01EB7">
        <w:t xml:space="preserve">updated edition </w:t>
      </w:r>
      <w:r>
        <w:t xml:space="preserve">provides helpful resources for local governments </w:t>
      </w:r>
      <w:r w:rsidR="65381934">
        <w:t>to</w:t>
      </w:r>
      <w:r>
        <w:t xml:space="preserve"> meet these requirements and offers recommendations and advice on community-level climate adaptation planning—such as preparing vulnerability assessments and adaptation strategies. Lastly, the APG provides guidance to help Planning Entities integrate these plans and processes into their broader planning and operational activities. </w:t>
      </w:r>
    </w:p>
    <w:p w14:paraId="19036339" w14:textId="186B0BDB" w:rsidR="00661179" w:rsidRPr="007E5ABE" w:rsidRDefault="009A6FA1" w:rsidP="00661179">
      <w:pPr>
        <w:spacing w:before="160" w:line="240" w:lineRule="auto"/>
      </w:pPr>
      <w:r>
        <w:t>Since 2012</w:t>
      </w:r>
      <w:r w:rsidR="00661179">
        <w:t xml:space="preserve">, </w:t>
      </w:r>
      <w:r w:rsidR="3B2F6DD0">
        <w:t xml:space="preserve">California </w:t>
      </w:r>
      <w:r w:rsidR="00661179">
        <w:t>state agencies and partner organizations</w:t>
      </w:r>
      <w:r w:rsidR="13EBFB51">
        <w:t>,</w:t>
      </w:r>
      <w:r w:rsidR="00661179">
        <w:t xml:space="preserve"> </w:t>
      </w:r>
      <w:r w:rsidR="5A510F5D">
        <w:t xml:space="preserve">along with organizations </w:t>
      </w:r>
      <w:r w:rsidR="00661179">
        <w:t>across the nation have developed a wide range of policies, plans, frameworks, toolkits, and guidance to support climate adaptation planning at the local and regional levels. These resources recognize that effective climate adaptation and disaster risk reduction occurs primarily at the local level, where communities can implement strategies tailored to their unique hazards, vulnerabilities, and priorities.</w:t>
      </w:r>
    </w:p>
    <w:p w14:paraId="19FE5AE7" w14:textId="3004F13C" w:rsidR="00661179" w:rsidRPr="007E5ABE" w:rsidRDefault="00661179" w:rsidP="00661179">
      <w:pPr>
        <w:pStyle w:val="BodyText"/>
        <w:spacing w:before="160" w:line="240" w:lineRule="auto"/>
      </w:pPr>
      <w:r>
        <w:lastRenderedPageBreak/>
        <w:t>This third APG</w:t>
      </w:r>
      <w:r>
        <w:rPr>
          <w:szCs w:val="24"/>
        </w:rPr>
        <w:t xml:space="preserve"> </w:t>
      </w:r>
      <w:r>
        <w:rPr>
          <w:spacing w:val="-5"/>
        </w:rPr>
        <w:t>builds</w:t>
      </w:r>
      <w:r>
        <w:t xml:space="preserve"> off the </w:t>
      </w:r>
      <w:hyperlink r:id="rId35">
        <w:r w:rsidRPr="55DEB025">
          <w:rPr>
            <w:rStyle w:val="Hyperlink"/>
          </w:rPr>
          <w:t>California Climate Adaptation Strategy</w:t>
        </w:r>
      </w:hyperlink>
      <w:r>
        <w:t xml:space="preserve">. The strategy </w:t>
      </w:r>
      <w:r w:rsidR="009A6FA1">
        <w:t>considers</w:t>
      </w:r>
      <w:r>
        <w:t xml:space="preserve"> risks identified in the state’s climate assessment and outlines six climate resilience priorities. Each priority includes goals, and actions that have timebound metrics, </w:t>
      </w:r>
      <w:r w:rsidR="15637B98">
        <w:t xml:space="preserve">lists the </w:t>
      </w:r>
      <w:r>
        <w:t>state agencies involved, and</w:t>
      </w:r>
      <w:r w:rsidR="66ACCD23">
        <w:t xml:space="preserve"> provides</w:t>
      </w:r>
      <w:r>
        <w:t xml:space="preserve"> further details.</w:t>
      </w:r>
      <w:r w:rsidR="009A6FA1" w:rsidRPr="009A6FA1">
        <w:t xml:space="preserve"> </w:t>
      </w:r>
      <w:r w:rsidR="00C078F0">
        <w:t xml:space="preserve">It </w:t>
      </w:r>
      <w:r w:rsidR="009A6FA1" w:rsidRPr="009A6FA1">
        <w:t>reflects key pillars of sector or threat-specific efforts, showing how these efforts align and drive us toward progress on California’s six climate resilience priorities</w:t>
      </w:r>
      <w:r w:rsidR="009A6FA1">
        <w:t xml:space="preserve">. </w:t>
      </w:r>
    </w:p>
    <w:p w14:paraId="4A7DE8CE" w14:textId="77777777" w:rsidR="00661179" w:rsidRPr="00692137" w:rsidRDefault="00661179" w:rsidP="00E2136B">
      <w:pPr>
        <w:spacing w:before="160" w:line="240" w:lineRule="auto"/>
      </w:pPr>
    </w:p>
    <w:p w14:paraId="7B0A6F27" w14:textId="5AA5BF00" w:rsidR="00845CCD" w:rsidRPr="00692137" w:rsidRDefault="00845CCD" w:rsidP="00E2136B">
      <w:pPr>
        <w:pStyle w:val="Heading2"/>
        <w:spacing w:before="160" w:after="160" w:line="240" w:lineRule="auto"/>
      </w:pPr>
      <w:bookmarkStart w:id="11" w:name="_Toc235802660"/>
      <w:r>
        <w:t>How To Use This Guide</w:t>
      </w:r>
      <w:bookmarkEnd w:id="11"/>
    </w:p>
    <w:p w14:paraId="09098FA9" w14:textId="7715E957" w:rsidR="00D95CD4" w:rsidRDefault="00845CCD" w:rsidP="00E2136B">
      <w:pPr>
        <w:pStyle w:val="BodyText"/>
        <w:spacing w:before="160" w:line="240" w:lineRule="auto"/>
        <w:rPr>
          <w:spacing w:val="-2"/>
          <w:szCs w:val="24"/>
        </w:rPr>
      </w:pPr>
      <w:r>
        <w:t>Communities across California have different needs and capabilities. Instead of prescribing a single approach, this guide offers a structured four-phase process</w:t>
      </w:r>
      <w:r>
        <w:rPr>
          <w:spacing w:val="-7"/>
        </w:rPr>
        <w:t xml:space="preserve"> that communities can </w:t>
      </w:r>
      <w:r>
        <w:t>modify to suit their unique needs.</w:t>
      </w:r>
      <w:r>
        <w:rPr>
          <w:spacing w:val="-10"/>
          <w:szCs w:val="24"/>
        </w:rPr>
        <w:t xml:space="preserve"> </w:t>
      </w:r>
      <w:r>
        <w:t>The</w:t>
      </w:r>
      <w:r>
        <w:rPr>
          <w:spacing w:val="-10"/>
          <w:szCs w:val="24"/>
        </w:rPr>
        <w:t xml:space="preserve"> </w:t>
      </w:r>
      <w:r>
        <w:t>APG</w:t>
      </w:r>
      <w:r>
        <w:rPr>
          <w:spacing w:val="-10"/>
          <w:szCs w:val="24"/>
        </w:rPr>
        <w:t xml:space="preserve"> also </w:t>
      </w:r>
      <w:r>
        <w:t>supports</w:t>
      </w:r>
      <w:r>
        <w:rPr>
          <w:spacing w:val="-8"/>
          <w:szCs w:val="24"/>
        </w:rPr>
        <w:t xml:space="preserve"> </w:t>
      </w:r>
      <w:r>
        <w:t>compliance</w:t>
      </w:r>
      <w:r>
        <w:rPr>
          <w:spacing w:val="-8"/>
          <w:szCs w:val="24"/>
        </w:rPr>
        <w:t xml:space="preserve"> </w:t>
      </w:r>
      <w:r>
        <w:t>with</w:t>
      </w:r>
      <w:r>
        <w:rPr>
          <w:spacing w:val="-8"/>
          <w:szCs w:val="24"/>
        </w:rPr>
        <w:t xml:space="preserve"> s</w:t>
      </w:r>
      <w:r>
        <w:t>tate</w:t>
      </w:r>
      <w:r>
        <w:rPr>
          <w:spacing w:val="-8"/>
          <w:szCs w:val="24"/>
        </w:rPr>
        <w:t xml:space="preserve"> </w:t>
      </w:r>
      <w:r>
        <w:rPr>
          <w:spacing w:val="-8"/>
        </w:rPr>
        <w:t xml:space="preserve">and federal </w:t>
      </w:r>
      <w:r>
        <w:t>requirements</w:t>
      </w:r>
      <w:r>
        <w:rPr>
          <w:spacing w:val="-2"/>
          <w:szCs w:val="24"/>
        </w:rPr>
        <w:t>.</w:t>
      </w:r>
    </w:p>
    <w:p w14:paraId="581E0BD6" w14:textId="48C2CE8F" w:rsidR="00CA5AD3" w:rsidRDefault="0003154C" w:rsidP="00E2136B">
      <w:pPr>
        <w:pStyle w:val="BodyText"/>
        <w:spacing w:before="160" w:line="240" w:lineRule="auto"/>
      </w:pPr>
      <w:r>
        <w:rPr>
          <w:spacing w:val="-10"/>
          <w:szCs w:val="24"/>
        </w:rPr>
        <w:t xml:space="preserve">Planning entities </w:t>
      </w:r>
      <w:r w:rsidR="00BD028A">
        <w:rPr>
          <w:spacing w:val="-2"/>
        </w:rPr>
        <w:t>can</w:t>
      </w:r>
      <w:r w:rsidR="00BD028A">
        <w:rPr>
          <w:spacing w:val="-10"/>
          <w:szCs w:val="24"/>
        </w:rPr>
        <w:t xml:space="preserve"> </w:t>
      </w:r>
      <w:r w:rsidR="00BD028A">
        <w:rPr>
          <w:spacing w:val="-2"/>
        </w:rPr>
        <w:t>use</w:t>
      </w:r>
      <w:r w:rsidR="00BD028A">
        <w:rPr>
          <w:spacing w:val="-10"/>
          <w:szCs w:val="24"/>
        </w:rPr>
        <w:t xml:space="preserve"> </w:t>
      </w:r>
      <w:r w:rsidR="00BD028A">
        <w:rPr>
          <w:spacing w:val="-2"/>
        </w:rPr>
        <w:t>the</w:t>
      </w:r>
      <w:r w:rsidR="00BD028A">
        <w:rPr>
          <w:spacing w:val="-10"/>
          <w:szCs w:val="24"/>
        </w:rPr>
        <w:t xml:space="preserve"> </w:t>
      </w:r>
      <w:r w:rsidR="00BD028A">
        <w:rPr>
          <w:spacing w:val="-2"/>
        </w:rPr>
        <w:t>APG</w:t>
      </w:r>
      <w:r w:rsidR="00BD028A">
        <w:rPr>
          <w:spacing w:val="-10"/>
          <w:szCs w:val="24"/>
        </w:rPr>
        <w:t xml:space="preserve"> </w:t>
      </w:r>
      <w:r w:rsidR="00BD028A">
        <w:rPr>
          <w:spacing w:val="-2"/>
        </w:rPr>
        <w:t>as</w:t>
      </w:r>
      <w:r w:rsidR="00BD028A">
        <w:rPr>
          <w:spacing w:val="-10"/>
          <w:szCs w:val="24"/>
        </w:rPr>
        <w:t xml:space="preserve"> </w:t>
      </w:r>
      <w:r w:rsidR="00BD028A">
        <w:rPr>
          <w:spacing w:val="-2"/>
        </w:rPr>
        <w:t>a</w:t>
      </w:r>
      <w:r w:rsidR="00BD028A">
        <w:rPr>
          <w:spacing w:val="-10"/>
          <w:szCs w:val="24"/>
        </w:rPr>
        <w:t xml:space="preserve"> </w:t>
      </w:r>
      <w:r w:rsidR="00BD028A">
        <w:rPr>
          <w:spacing w:val="-2"/>
        </w:rPr>
        <w:t>step-by-step</w:t>
      </w:r>
      <w:r w:rsidR="00BD028A">
        <w:rPr>
          <w:spacing w:val="-10"/>
          <w:szCs w:val="24"/>
        </w:rPr>
        <w:t xml:space="preserve"> </w:t>
      </w:r>
      <w:r w:rsidR="00BD028A">
        <w:rPr>
          <w:spacing w:val="-2"/>
        </w:rPr>
        <w:t>guide</w:t>
      </w:r>
      <w:r w:rsidR="00BD028A">
        <w:rPr>
          <w:spacing w:val="-10"/>
          <w:szCs w:val="24"/>
        </w:rPr>
        <w:t xml:space="preserve"> </w:t>
      </w:r>
      <w:r w:rsidR="00BD028A">
        <w:rPr>
          <w:spacing w:val="-2"/>
        </w:rPr>
        <w:t xml:space="preserve">for </w:t>
      </w:r>
      <w:r w:rsidR="00BD028A">
        <w:t>conducting</w:t>
      </w:r>
      <w:r w:rsidR="00BD028A">
        <w:rPr>
          <w:spacing w:val="-5"/>
          <w:szCs w:val="24"/>
        </w:rPr>
        <w:t xml:space="preserve"> </w:t>
      </w:r>
      <w:r w:rsidR="00BD028A">
        <w:t>adaptation</w:t>
      </w:r>
      <w:r w:rsidR="00BD028A">
        <w:rPr>
          <w:spacing w:val="-5"/>
          <w:szCs w:val="24"/>
        </w:rPr>
        <w:t xml:space="preserve"> </w:t>
      </w:r>
      <w:r w:rsidR="00BD028A">
        <w:t>planning</w:t>
      </w:r>
      <w:r w:rsidR="00BD028A">
        <w:rPr>
          <w:spacing w:val="-5"/>
          <w:szCs w:val="24"/>
        </w:rPr>
        <w:t xml:space="preserve"> </w:t>
      </w:r>
      <w:r w:rsidR="00BD028A">
        <w:t>processes,</w:t>
      </w:r>
      <w:r w:rsidR="00BD028A">
        <w:rPr>
          <w:spacing w:val="-5"/>
          <w:szCs w:val="24"/>
        </w:rPr>
        <w:t xml:space="preserve"> </w:t>
      </w:r>
      <w:r w:rsidR="00BD028A">
        <w:t xml:space="preserve">updating an existing adaptation plan, or integrating adaptation into another plan. It may also benefit local entities in developing projects and demonstrating a need for grant applications. Each of the APG’s four phases has a dedicated chapter and supporting resources detailing steps and considerations (see </w:t>
      </w:r>
      <w:r w:rsidR="00BD028A">
        <w:rPr>
          <w:u w:val="single"/>
        </w:rPr>
        <w:fldChar w:fldCharType="begin"/>
      </w:r>
      <w:r w:rsidR="00BD028A">
        <w:rPr>
          <w:u w:val="single"/>
        </w:rPr>
        <w:instrText xml:space="preserve"> REF _Ref229740382 \h  \* MERGEFORMAT </w:instrText>
      </w:r>
      <w:r w:rsidR="00BD028A">
        <w:rPr>
          <w:u w:val="single"/>
        </w:rPr>
      </w:r>
      <w:r w:rsidR="00BD028A">
        <w:rPr>
          <w:u w:val="single"/>
        </w:rPr>
        <w:fldChar w:fldCharType="separate"/>
      </w:r>
      <w:r w:rsidR="00517691" w:rsidRPr="00517691">
        <w:rPr>
          <w:u w:val="single"/>
        </w:rPr>
        <w:t xml:space="preserve">Table </w:t>
      </w:r>
      <w:r w:rsidR="00517691" w:rsidRPr="00517691">
        <w:rPr>
          <w:noProof/>
          <w:u w:val="single"/>
        </w:rPr>
        <w:t>2</w:t>
      </w:r>
      <w:r w:rsidR="00BD028A">
        <w:rPr>
          <w:u w:val="single"/>
        </w:rPr>
        <w:fldChar w:fldCharType="end"/>
      </w:r>
      <w:r w:rsidR="00BD028A">
        <w:t>). At the end of the process, the outcome will result in a framework that identifies vulnerabilities in a community and provides strategies</w:t>
      </w:r>
      <w:r w:rsidR="00BD028A">
        <w:rPr>
          <w:spacing w:val="-6"/>
        </w:rPr>
        <w:t xml:space="preserve"> </w:t>
      </w:r>
      <w:r w:rsidR="00BD028A">
        <w:t xml:space="preserve">and actions to address them. </w:t>
      </w:r>
    </w:p>
    <w:p w14:paraId="0739BD93" w14:textId="36F767D2" w:rsidR="00340AC5" w:rsidRPr="007D4261" w:rsidRDefault="00187D6C" w:rsidP="00BB5ACB">
      <w:pPr>
        <w:spacing w:after="0" w:line="240" w:lineRule="auto"/>
        <w:rPr>
          <w:b/>
          <w:bCs/>
        </w:rPr>
      </w:pPr>
      <w:bookmarkStart w:id="12" w:name="_Ref229740382"/>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2</w:t>
      </w:r>
      <w:r>
        <w:rPr>
          <w:b/>
          <w:bCs/>
        </w:rPr>
        <w:fldChar w:fldCharType="end"/>
      </w:r>
      <w:bookmarkEnd w:id="12"/>
      <w:r>
        <w:rPr>
          <w:b/>
          <w:bCs/>
        </w:rPr>
        <w:t xml:space="preserve">. The </w:t>
      </w:r>
      <w:r w:rsidR="0057320B">
        <w:rPr>
          <w:b/>
          <w:bCs/>
        </w:rPr>
        <w:t>F</w:t>
      </w:r>
      <w:r>
        <w:rPr>
          <w:b/>
          <w:bCs/>
        </w:rPr>
        <w:t xml:space="preserve">our-phase </w:t>
      </w:r>
      <w:r w:rsidR="0057320B">
        <w:rPr>
          <w:b/>
          <w:bCs/>
        </w:rPr>
        <w:t>P</w:t>
      </w:r>
      <w:r>
        <w:rPr>
          <w:b/>
          <w:bCs/>
        </w:rPr>
        <w:t>rocess</w:t>
      </w:r>
    </w:p>
    <w:tbl>
      <w:tblPr>
        <w:tblStyle w:val="TableGrid"/>
        <w:tblW w:w="9355" w:type="dxa"/>
        <w:tblLook w:val="04A0" w:firstRow="1" w:lastRow="0" w:firstColumn="1" w:lastColumn="0" w:noHBand="0" w:noVBand="1"/>
        <w:tblDescription w:val="Titles and short descriptions of all 4 phases"/>
      </w:tblPr>
      <w:tblGrid>
        <w:gridCol w:w="3055"/>
        <w:gridCol w:w="6300"/>
      </w:tblGrid>
      <w:tr w:rsidR="007D4261" w:rsidRPr="007D4261" w14:paraId="47BEAFFF" w14:textId="77777777" w:rsidTr="007266CA">
        <w:trPr>
          <w:trHeight w:val="288"/>
        </w:trPr>
        <w:tc>
          <w:tcPr>
            <w:tcW w:w="3055" w:type="dxa"/>
            <w:shd w:val="clear" w:color="auto" w:fill="000000" w:themeFill="text1"/>
            <w:vAlign w:val="center"/>
          </w:tcPr>
          <w:p w14:paraId="03156633" w14:textId="77777777" w:rsidR="00A63391" w:rsidRPr="007266CA" w:rsidRDefault="00A63391" w:rsidP="00BB5ACB">
            <w:pPr>
              <w:rPr>
                <w:b/>
              </w:rPr>
            </w:pPr>
            <w:r>
              <w:rPr>
                <w:b/>
              </w:rPr>
              <w:t>Ph</w:t>
            </w:r>
            <w:bookmarkStart w:id="13" w:name="Table_2"/>
            <w:bookmarkEnd w:id="13"/>
            <w:r>
              <w:rPr>
                <w:b/>
              </w:rPr>
              <w:t>ase</w:t>
            </w:r>
          </w:p>
        </w:tc>
        <w:tc>
          <w:tcPr>
            <w:tcW w:w="6300" w:type="dxa"/>
            <w:shd w:val="clear" w:color="auto" w:fill="000000" w:themeFill="text1"/>
            <w:vAlign w:val="center"/>
          </w:tcPr>
          <w:p w14:paraId="66FE603B" w14:textId="3B4396EF" w:rsidR="00A63391" w:rsidRPr="007266CA" w:rsidRDefault="00340AC5" w:rsidP="00BB5ACB">
            <w:pPr>
              <w:rPr>
                <w:b/>
              </w:rPr>
            </w:pPr>
            <w:r>
              <w:rPr>
                <w:b/>
              </w:rPr>
              <w:t>Description</w:t>
            </w:r>
          </w:p>
        </w:tc>
      </w:tr>
      <w:tr w:rsidR="00A63391" w14:paraId="29C031B0" w14:textId="77777777" w:rsidTr="005D5591">
        <w:tc>
          <w:tcPr>
            <w:tcW w:w="3055" w:type="dxa"/>
          </w:tcPr>
          <w:p w14:paraId="79729E14" w14:textId="5528E32E" w:rsidR="00A63391" w:rsidRDefault="00454563" w:rsidP="00BB5ACB">
            <w:hyperlink w:anchor="_Toc235190045" w:history="1">
              <w:r>
                <w:rPr>
                  <w:rStyle w:val="Hyperlink"/>
                </w:rPr>
                <w:t>Phase 1: Define, Assess, and Initiate</w:t>
              </w:r>
            </w:hyperlink>
          </w:p>
        </w:tc>
        <w:tc>
          <w:tcPr>
            <w:tcW w:w="6300" w:type="dxa"/>
          </w:tcPr>
          <w:p w14:paraId="3D275A4E" w14:textId="1A41AF2B" w:rsidR="00A63391" w:rsidRPr="00F50F54" w:rsidRDefault="00A63391" w:rsidP="00BB5ACB">
            <w:pPr>
              <w:rPr>
                <w:color w:val="000000" w:themeColor="text1"/>
              </w:rPr>
            </w:pPr>
            <w:r>
              <w:rPr>
                <w:color w:val="000000" w:themeColor="text1"/>
              </w:rPr>
              <w:t>Set the scope, assemble the planning team, secure resources, and design a community outreach and engagement approach.</w:t>
            </w:r>
          </w:p>
        </w:tc>
      </w:tr>
      <w:tr w:rsidR="00A63391" w14:paraId="3D4CB418" w14:textId="77777777" w:rsidTr="007266CA">
        <w:tc>
          <w:tcPr>
            <w:tcW w:w="3055" w:type="dxa"/>
            <w:shd w:val="clear" w:color="auto" w:fill="D9D9D9"/>
          </w:tcPr>
          <w:p w14:paraId="4D3EEE20" w14:textId="4ADF80A0" w:rsidR="00A63391" w:rsidRDefault="00A63391" w:rsidP="00BB5ACB">
            <w:hyperlink w:anchor="_Toc235190059" w:history="1">
              <w:r>
                <w:rPr>
                  <w:rStyle w:val="Hyperlink"/>
                </w:rPr>
                <w:t>Phase 2: Assess Vulnerability</w:t>
              </w:r>
            </w:hyperlink>
          </w:p>
        </w:tc>
        <w:tc>
          <w:tcPr>
            <w:tcW w:w="6300" w:type="dxa"/>
            <w:shd w:val="clear" w:color="auto" w:fill="D9D9D9" w:themeFill="background1" w:themeFillShade="D9"/>
          </w:tcPr>
          <w:p w14:paraId="02421C84" w14:textId="0FE59ECB" w:rsidR="00A63391" w:rsidRPr="00F50F54" w:rsidRDefault="00A63391" w:rsidP="00BB5ACB">
            <w:pPr>
              <w:rPr>
                <w:color w:val="000000" w:themeColor="text1"/>
              </w:rPr>
            </w:pPr>
            <w:r>
              <w:rPr>
                <w:color w:val="000000" w:themeColor="text1"/>
              </w:rPr>
              <w:t>Identify climate hazards, assess who and what is exposed and vulnerable, evaluate adaptive capacity, and prioritize vulnerabilities.</w:t>
            </w:r>
          </w:p>
        </w:tc>
      </w:tr>
      <w:tr w:rsidR="00A63391" w14:paraId="43F7DB50" w14:textId="77777777" w:rsidTr="005D5591">
        <w:tc>
          <w:tcPr>
            <w:tcW w:w="3055" w:type="dxa"/>
          </w:tcPr>
          <w:p w14:paraId="42A5C2C7" w14:textId="39C61D91" w:rsidR="00A63391" w:rsidRDefault="00A63391" w:rsidP="00BB5ACB">
            <w:pPr>
              <w:rPr>
                <w:rStyle w:val="Hyperlink"/>
              </w:rPr>
            </w:pPr>
            <w:hyperlink w:anchor="_Toc235190081" w:history="1">
              <w:r>
                <w:rPr>
                  <w:rStyle w:val="Hyperlink"/>
                </w:rPr>
                <w:t>Phase 3: Define Adaptation Framework and Strategies</w:t>
              </w:r>
            </w:hyperlink>
          </w:p>
        </w:tc>
        <w:tc>
          <w:tcPr>
            <w:tcW w:w="6300" w:type="dxa"/>
          </w:tcPr>
          <w:p w14:paraId="6C2E36C4" w14:textId="0386BB8F" w:rsidR="00A63391" w:rsidRPr="00F50F54" w:rsidRDefault="00013382" w:rsidP="00BB5ACB">
            <w:r>
              <w:rPr>
                <w:color w:val="000000"/>
              </w:rPr>
              <w:t>Develop vision and goals, create and prioritize adaptation strategies, and refine them with community input.</w:t>
            </w:r>
          </w:p>
        </w:tc>
      </w:tr>
      <w:tr w:rsidR="00A63391" w14:paraId="4813E25F" w14:textId="77777777" w:rsidTr="006A3E13">
        <w:trPr>
          <w:trHeight w:val="907"/>
        </w:trPr>
        <w:tc>
          <w:tcPr>
            <w:tcW w:w="3055" w:type="dxa"/>
            <w:shd w:val="clear" w:color="auto" w:fill="D9D9D9" w:themeFill="background1" w:themeFillShade="D9"/>
          </w:tcPr>
          <w:p w14:paraId="16A56B4D" w14:textId="5B5EE578" w:rsidR="00A63391" w:rsidRDefault="00A63391" w:rsidP="00BB5ACB">
            <w:hyperlink w:anchor="_Toc235190095" w:history="1">
              <w:r>
                <w:rPr>
                  <w:rStyle w:val="Hyperlink"/>
                </w:rPr>
                <w:t>Phase 4: Implement, Monitor, Evaluate, and Adjust</w:t>
              </w:r>
            </w:hyperlink>
          </w:p>
        </w:tc>
        <w:tc>
          <w:tcPr>
            <w:tcW w:w="6300" w:type="dxa"/>
            <w:shd w:val="clear" w:color="auto" w:fill="D9D9D9" w:themeFill="background1" w:themeFillShade="D9"/>
          </w:tcPr>
          <w:p w14:paraId="63121747" w14:textId="62D608A1" w:rsidR="00A63391" w:rsidRPr="00F50F54" w:rsidRDefault="00A63391" w:rsidP="00BB5ACB">
            <w:r>
              <w:rPr>
                <w:color w:val="000000"/>
              </w:rPr>
              <w:t>Put strategies into action, track progress, evaluate outcomes, and adjust as conditions and knowledge evolve.</w:t>
            </w:r>
          </w:p>
        </w:tc>
      </w:tr>
    </w:tbl>
    <w:p w14:paraId="2A545CEE" w14:textId="77777777" w:rsidR="00FA083F" w:rsidRDefault="00FA083F" w:rsidP="00E2136B">
      <w:pPr>
        <w:spacing w:before="160" w:line="240" w:lineRule="auto"/>
      </w:pPr>
    </w:p>
    <w:tbl>
      <w:tblPr>
        <w:tblStyle w:val="TableGrid"/>
        <w:tblW w:w="0" w:type="auto"/>
        <w:tblLook w:val="04A0" w:firstRow="1" w:lastRow="0" w:firstColumn="1" w:lastColumn="0" w:noHBand="0" w:noVBand="1"/>
        <w:tblDescription w:val="Semicircle showing the 4 consecutive phases of the APG. Outreach and engagement goes across all 4 of them"/>
      </w:tblPr>
      <w:tblGrid>
        <w:gridCol w:w="9350"/>
      </w:tblGrid>
      <w:tr w:rsidR="00FA083F" w14:paraId="2E52FF5C" w14:textId="77777777">
        <w:trPr>
          <w:trHeight w:val="432"/>
        </w:trPr>
        <w:tc>
          <w:tcPr>
            <w:tcW w:w="9350" w:type="dxa"/>
            <w:shd w:val="clear" w:color="auto" w:fill="000000" w:themeFill="text1"/>
            <w:vAlign w:val="center"/>
          </w:tcPr>
          <w:p w14:paraId="318DF73F" w14:textId="0016E347" w:rsidR="00FA083F" w:rsidRPr="00AF59BC" w:rsidRDefault="00FA083F">
            <w:pPr>
              <w:rPr>
                <w:b/>
                <w:bCs/>
              </w:rPr>
            </w:pPr>
            <w:bookmarkStart w:id="14" w:name="_Ref229406225"/>
            <w:bookmarkStart w:id="15" w:name="Figure_1"/>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2</w:t>
            </w:r>
            <w:r>
              <w:rPr>
                <w:b/>
                <w:bCs/>
              </w:rPr>
              <w:fldChar w:fldCharType="end"/>
            </w:r>
            <w:bookmarkEnd w:id="14"/>
            <w:r>
              <w:rPr>
                <w:b/>
                <w:bCs/>
              </w:rPr>
              <w:t>. Adaptation planning process</w:t>
            </w:r>
            <w:bookmarkEnd w:id="15"/>
          </w:p>
        </w:tc>
      </w:tr>
      <w:tr w:rsidR="00FA083F" w14:paraId="723D06FF" w14:textId="77777777">
        <w:trPr>
          <w:trHeight w:val="5328"/>
        </w:trPr>
        <w:tc>
          <w:tcPr>
            <w:tcW w:w="9350" w:type="dxa"/>
          </w:tcPr>
          <w:p w14:paraId="411B2D3C" w14:textId="77777777" w:rsidR="00FA083F" w:rsidRPr="00A00A6D" w:rsidRDefault="00FA083F">
            <w:pPr>
              <w:rPr>
                <w:sz w:val="12"/>
                <w:szCs w:val="12"/>
              </w:rPr>
            </w:pPr>
          </w:p>
          <w:p w14:paraId="4AA33535" w14:textId="77777777" w:rsidR="00FA083F" w:rsidRPr="00A00A6D" w:rsidRDefault="00FA083F">
            <w:pPr>
              <w:rPr>
                <w:sz w:val="12"/>
                <w:szCs w:val="12"/>
              </w:rPr>
            </w:pPr>
            <w:r>
              <w:rPr>
                <w:noProof/>
                <w:sz w:val="12"/>
                <w:szCs w:val="12"/>
              </w:rPr>
              <w:drawing>
                <wp:inline distT="0" distB="0" distL="0" distR="0" wp14:anchorId="2A424F30" wp14:editId="141C774B">
                  <wp:extent cx="5736343" cy="3162300"/>
                  <wp:effectExtent l="0" t="0" r="0" b="0"/>
                  <wp:docPr id="2039388608" name="Picture 1" descr="Semicircle showing the 4 consecutive phases of the APG. Outreach and engagement goes across all 4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88608" name="Picture 1" descr="Semicircle showing the 4 consecutive phases of the APG. Outreach and engagement goes across all 4 of them"/>
                          <pic:cNvPicPr>
                            <a:picLocks noChangeAspect="1" noChangeArrowheads="1"/>
                          </pic:cNvPicPr>
                        </pic:nvPicPr>
                        <pic:blipFill rotWithShape="1">
                          <a:blip r:embed="rId36">
                            <a:extLst>
                              <a:ext uri="{28A0092B-C50C-407E-A947-70E740481C1C}">
                                <a14:useLocalDpi xmlns:a14="http://schemas.microsoft.com/office/drawing/2010/main" val="0"/>
                              </a:ext>
                            </a:extLst>
                          </a:blip>
                          <a:srcRect l="3144" t="22399" r="3116" b="25925"/>
                          <a:stretch>
                            <a:fillRect/>
                          </a:stretch>
                        </pic:blipFill>
                        <pic:spPr bwMode="auto">
                          <a:xfrm>
                            <a:off x="0" y="0"/>
                            <a:ext cx="5736343" cy="31623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C4A82EF" w14:textId="77777777" w:rsidR="00FA083F" w:rsidRDefault="00FA083F" w:rsidP="00E2136B">
      <w:pPr>
        <w:spacing w:before="160" w:line="240" w:lineRule="auto"/>
      </w:pPr>
    </w:p>
    <w:p w14:paraId="663EC1C1" w14:textId="0FF0FE1E" w:rsidR="002D51E1" w:rsidRDefault="002D51E1" w:rsidP="00E2136B">
      <w:pPr>
        <w:spacing w:before="160" w:line="240" w:lineRule="auto"/>
      </w:pPr>
      <w:r>
        <w:t xml:space="preserve">Community outreach and engagement should occur throughout all four phases (see </w:t>
      </w:r>
      <w:r>
        <w:rPr>
          <w:u w:val="single"/>
        </w:rPr>
        <w:fldChar w:fldCharType="begin"/>
      </w:r>
      <w:r>
        <w:rPr>
          <w:u w:val="single"/>
        </w:rPr>
        <w:instrText xml:space="preserve"> REF _Ref229406225 \h  \* MERGEFORMAT </w:instrText>
      </w:r>
      <w:r>
        <w:rPr>
          <w:u w:val="single"/>
        </w:rPr>
      </w:r>
      <w:r>
        <w:rPr>
          <w:u w:val="single"/>
        </w:rPr>
        <w:fldChar w:fldCharType="separate"/>
      </w:r>
      <w:r w:rsidR="00517691" w:rsidRPr="00517691">
        <w:rPr>
          <w:szCs w:val="24"/>
          <w:u w:val="single"/>
        </w:rPr>
        <w:t xml:space="preserve">Figure </w:t>
      </w:r>
      <w:r w:rsidR="00517691" w:rsidRPr="00517691">
        <w:rPr>
          <w:noProof/>
          <w:u w:val="single"/>
        </w:rPr>
        <w:t>2</w:t>
      </w:r>
      <w:r>
        <w:rPr>
          <w:u w:val="single"/>
        </w:rPr>
        <w:fldChar w:fldCharType="end"/>
      </w:r>
      <w:r>
        <w:t>). While each phase includes a dedicated section on outreach and engagement, additional guidance is available in Appendix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257B5" w:rsidRPr="002F2DCD" w14:paraId="50F3B46B" w14:textId="77777777" w:rsidTr="55DEB025">
        <w:trPr>
          <w:trHeight w:val="576"/>
        </w:trPr>
        <w:tc>
          <w:tcPr>
            <w:tcW w:w="9350" w:type="dxa"/>
            <w:shd w:val="clear" w:color="auto" w:fill="404040" w:themeFill="text1" w:themeFillTint="BF"/>
            <w:vAlign w:val="center"/>
          </w:tcPr>
          <w:p w14:paraId="021A95DB" w14:textId="77777777" w:rsidR="00B257B5" w:rsidRPr="006E07EC" w:rsidRDefault="00B257B5" w:rsidP="00A02A73">
            <w:pPr>
              <w:rPr>
                <w:b/>
                <w:color w:val="FFFFFF" w:themeColor="background1"/>
              </w:rPr>
            </w:pPr>
            <w:r>
              <w:rPr>
                <w:b/>
                <w:color w:val="FFFFFF" w:themeColor="background1"/>
              </w:rPr>
              <w:t xml:space="preserve">How to Use the Appendices </w:t>
            </w:r>
          </w:p>
        </w:tc>
      </w:tr>
      <w:tr w:rsidR="00B257B5" w14:paraId="212FA3A0" w14:textId="77777777" w:rsidTr="55DEB025">
        <w:tc>
          <w:tcPr>
            <w:tcW w:w="9350" w:type="dxa"/>
            <w:shd w:val="clear" w:color="auto" w:fill="F2F2F2" w:themeFill="background1" w:themeFillShade="F2"/>
          </w:tcPr>
          <w:p w14:paraId="305D601D" w14:textId="7A0968AD" w:rsidR="00B257B5" w:rsidRDefault="00B257B5" w:rsidP="00CA4060">
            <w:pPr>
              <w:spacing w:before="120" w:after="160"/>
            </w:pPr>
            <w:r>
              <w:t>Three appendices support the work throughout this guide. There are references to them in each phase.</w:t>
            </w:r>
          </w:p>
          <w:p w14:paraId="093D10F4" w14:textId="7AAAA234" w:rsidR="00B257B5" w:rsidRPr="00FC1D04" w:rsidRDefault="00B257B5" w:rsidP="00A02A73">
            <w:pPr>
              <w:spacing w:before="120" w:after="160"/>
              <w:rPr>
                <w:b/>
              </w:rPr>
            </w:pPr>
            <w:r>
              <w:rPr>
                <w:b/>
              </w:rPr>
              <w:t>Appendix A</w:t>
            </w:r>
            <w:r>
              <w:rPr>
                <w:b/>
                <w:bCs/>
              </w:rPr>
              <w:t>. Outreach and Engagement</w:t>
            </w:r>
            <w:r>
              <w:rPr>
                <w:b/>
              </w:rPr>
              <w:t xml:space="preserve">: </w:t>
            </w:r>
            <w:r>
              <w:rPr>
                <w:bCs/>
              </w:rPr>
              <w:t>Each</w:t>
            </w:r>
            <w:r>
              <w:rPr>
                <w:b/>
              </w:rPr>
              <w:t xml:space="preserve"> </w:t>
            </w:r>
            <w:r>
              <w:rPr>
                <w:bCs/>
              </w:rPr>
              <w:t>phase</w:t>
            </w:r>
            <w:r>
              <w:rPr>
                <w:b/>
              </w:rPr>
              <w:t xml:space="preserve"> </w:t>
            </w:r>
            <w:r>
              <w:rPr>
                <w:bCs/>
              </w:rPr>
              <w:t>includes</w:t>
            </w:r>
            <w:r>
              <w:rPr>
                <w:b/>
              </w:rPr>
              <w:t xml:space="preserve"> </w:t>
            </w:r>
            <w:r>
              <w:rPr>
                <w:bCs/>
              </w:rPr>
              <w:t>an</w:t>
            </w:r>
            <w:r>
              <w:rPr>
                <w:b/>
              </w:rPr>
              <w:t xml:space="preserve"> </w:t>
            </w:r>
            <w:r>
              <w:rPr>
                <w:bCs/>
              </w:rPr>
              <w:t>Outreach &amp;</w:t>
            </w:r>
            <w:r>
              <w:rPr>
                <w:b/>
              </w:rPr>
              <w:t xml:space="preserve"> </w:t>
            </w:r>
            <w:r>
              <w:rPr>
                <w:bCs/>
              </w:rPr>
              <w:t>Engagement step that re</w:t>
            </w:r>
            <w:r w:rsidR="0057320B">
              <w:rPr>
                <w:bCs/>
              </w:rPr>
              <w:t xml:space="preserve">directs </w:t>
            </w:r>
            <w:r>
              <w:rPr>
                <w:bCs/>
              </w:rPr>
              <w:t>to this section</w:t>
            </w:r>
            <w:r>
              <w:rPr>
                <w:b/>
              </w:rPr>
              <w:t xml:space="preserve"> </w:t>
            </w:r>
            <w:r>
              <w:rPr>
                <w:bCs/>
              </w:rPr>
              <w:t>for</w:t>
            </w:r>
            <w:r>
              <w:rPr>
                <w:b/>
              </w:rPr>
              <w:t xml:space="preserve"> </w:t>
            </w:r>
            <w:r>
              <w:rPr>
                <w:bCs/>
              </w:rPr>
              <w:t>implementation guidance. Use section tags to navigate engagement strategies relevant to the current phase.</w:t>
            </w:r>
          </w:p>
          <w:p w14:paraId="13BEFE54" w14:textId="33549AF4" w:rsidR="00B257B5" w:rsidRPr="008C2591" w:rsidRDefault="46F6A9AF" w:rsidP="00CA4060">
            <w:pPr>
              <w:spacing w:before="160" w:after="120"/>
            </w:pPr>
            <w:r w:rsidRPr="55DEB025">
              <w:rPr>
                <w:b/>
                <w:bCs/>
              </w:rPr>
              <w:t>Appendix B. Climate Data Tools:</w:t>
            </w:r>
            <w:r>
              <w:t xml:space="preserve"> Provides detailed instructions for applying data and mapping tools by hazard type</w:t>
            </w:r>
            <w:r w:rsidR="0003154C">
              <w:t xml:space="preserve"> or across hazards.</w:t>
            </w:r>
            <w:r w:rsidR="007A4A5A">
              <w:t xml:space="preserve"> </w:t>
            </w:r>
            <w:r w:rsidRPr="55DEB025">
              <w:rPr>
                <w:b/>
                <w:bCs/>
              </w:rPr>
              <w:t>Appendix C. Worksheets:</w:t>
            </w:r>
            <w:r>
              <w:t xml:space="preserve"> Contains all worksheets referenced throughout Phases 1 – 4, each labeled by phase and step. </w:t>
            </w:r>
            <w:r w:rsidR="0003154C">
              <w:t>To support your planning process, green</w:t>
            </w:r>
            <w:r>
              <w:t xml:space="preserve"> “Put it Into Practice” boxes in the main text</w:t>
            </w:r>
            <w:r w:rsidR="0003154C">
              <w:t xml:space="preserve"> indicate where a corresponding worksheet is available for a specific step. </w:t>
            </w:r>
            <w:r>
              <w:t>Print desired pages to fill out while reading the APG or complete them digitally.</w:t>
            </w:r>
          </w:p>
        </w:tc>
      </w:tr>
    </w:tbl>
    <w:p w14:paraId="442F9022" w14:textId="473687A5" w:rsidR="00883C53" w:rsidRDefault="00CA4060" w:rsidP="0032697B">
      <w:r>
        <w:br w:type="page"/>
      </w:r>
    </w:p>
    <w:p w14:paraId="789939A7" w14:textId="77777777" w:rsidR="00E542B4" w:rsidRPr="00C80F8E" w:rsidRDefault="00E542B4" w:rsidP="00E542B4">
      <w:pPr>
        <w:pStyle w:val="Heading3"/>
        <w:spacing w:line="240" w:lineRule="auto"/>
      </w:pPr>
      <w:bookmarkStart w:id="16" w:name="_Ref234922471"/>
      <w:bookmarkStart w:id="17" w:name="_Toc235802661"/>
      <w:r>
        <w:lastRenderedPageBreak/>
        <w:t>Legal Requirements This Guide Supports</w:t>
      </w:r>
      <w:bookmarkEnd w:id="16"/>
      <w:bookmarkEnd w:id="17"/>
    </w:p>
    <w:p w14:paraId="2945BD98" w14:textId="722D4BC2" w:rsidR="00E542B4" w:rsidRPr="00011E5C" w:rsidRDefault="00E542B4" w:rsidP="00E542B4">
      <w:pPr>
        <w:spacing w:line="240" w:lineRule="auto"/>
      </w:pPr>
      <w:r w:rsidRPr="55DEB025">
        <w:rPr>
          <w:spacing w:val="-4"/>
        </w:rPr>
        <w:t xml:space="preserve">General Plan Safety Element </w:t>
      </w:r>
      <w:hyperlink r:id="rId37">
        <w:r w:rsidRPr="55DEB025">
          <w:rPr>
            <w:rStyle w:val="Hyperlink"/>
          </w:rPr>
          <w:t>SB 379</w:t>
        </w:r>
      </w:hyperlink>
      <w:r>
        <w:t xml:space="preserve"> (Jackson, 2015) </w:t>
      </w:r>
      <w:r w:rsidRPr="55DEB025">
        <w:rPr>
          <w:spacing w:val="-4"/>
        </w:rPr>
        <w:t xml:space="preserve">and </w:t>
      </w:r>
      <w:hyperlink r:id="rId38">
        <w:r w:rsidRPr="55DEB025">
          <w:rPr>
            <w:rStyle w:val="Hyperlink"/>
          </w:rPr>
          <w:t>California Government Code §65302(g)(4)</w:t>
        </w:r>
      </w:hyperlink>
      <w:r>
        <w:t xml:space="preserve"> </w:t>
      </w:r>
      <w:r w:rsidRPr="55DEB025">
        <w:t>require local jurisdictions to review and update their General Plans’ Safety Elements to address climate adaptation and resiliency strategies applicable</w:t>
      </w:r>
      <w:r>
        <w:rPr>
          <w:spacing w:val="40"/>
          <w:szCs w:val="24"/>
        </w:rPr>
        <w:t xml:space="preserve"> </w:t>
      </w:r>
      <w:r w:rsidRPr="55DEB025">
        <w:t>to their jurisdiction. The updates are required upon the next update of their local hazard mitigation</w:t>
      </w:r>
      <w:r>
        <w:rPr>
          <w:spacing w:val="-6"/>
          <w:szCs w:val="24"/>
        </w:rPr>
        <w:t xml:space="preserve"> </w:t>
      </w:r>
      <w:r w:rsidRPr="55DEB025">
        <w:t>plan</w:t>
      </w:r>
      <w:r>
        <w:rPr>
          <w:spacing w:val="-6"/>
          <w:szCs w:val="24"/>
        </w:rPr>
        <w:t xml:space="preserve"> </w:t>
      </w:r>
      <w:r w:rsidRPr="55DEB025">
        <w:t>(LHMP)</w:t>
      </w:r>
      <w:r>
        <w:rPr>
          <w:spacing w:val="-6"/>
          <w:szCs w:val="24"/>
        </w:rPr>
        <w:t xml:space="preserve"> </w:t>
      </w:r>
      <w:r w:rsidRPr="55DEB025">
        <w:t>on</w:t>
      </w:r>
      <w:r>
        <w:rPr>
          <w:spacing w:val="-6"/>
          <w:szCs w:val="24"/>
        </w:rPr>
        <w:t xml:space="preserve"> </w:t>
      </w:r>
      <w:r w:rsidRPr="55DEB025">
        <w:t>or</w:t>
      </w:r>
      <w:r>
        <w:rPr>
          <w:spacing w:val="-6"/>
          <w:szCs w:val="24"/>
        </w:rPr>
        <w:t xml:space="preserve"> </w:t>
      </w:r>
      <w:r w:rsidRPr="55DEB025">
        <w:t>after</w:t>
      </w:r>
      <w:r>
        <w:rPr>
          <w:spacing w:val="-6"/>
          <w:szCs w:val="24"/>
        </w:rPr>
        <w:t xml:space="preserve"> </w:t>
      </w:r>
      <w:r w:rsidRPr="55DEB025">
        <w:t>January</w:t>
      </w:r>
      <w:r>
        <w:rPr>
          <w:spacing w:val="-6"/>
          <w:szCs w:val="24"/>
        </w:rPr>
        <w:t xml:space="preserve"> </w:t>
      </w:r>
      <w:r w:rsidRPr="55DEB025">
        <w:t>1,</w:t>
      </w:r>
      <w:r>
        <w:rPr>
          <w:spacing w:val="-6"/>
          <w:szCs w:val="24"/>
        </w:rPr>
        <w:t xml:space="preserve"> </w:t>
      </w:r>
      <w:r w:rsidRPr="55DEB025">
        <w:t>2017.</w:t>
      </w:r>
      <w:r>
        <w:rPr>
          <w:spacing w:val="-6"/>
          <w:szCs w:val="24"/>
        </w:rPr>
        <w:t xml:space="preserve"> </w:t>
      </w:r>
      <w:r w:rsidRPr="55DEB025">
        <w:t>Local</w:t>
      </w:r>
      <w:r>
        <w:rPr>
          <w:spacing w:val="-7"/>
          <w:szCs w:val="24"/>
        </w:rPr>
        <w:t xml:space="preserve"> </w:t>
      </w:r>
      <w:r w:rsidRPr="55DEB025">
        <w:t>jurisdictions</w:t>
      </w:r>
      <w:r>
        <w:rPr>
          <w:spacing w:val="-6"/>
          <w:szCs w:val="24"/>
        </w:rPr>
        <w:t xml:space="preserve"> </w:t>
      </w:r>
      <w:r w:rsidRPr="55DEB025">
        <w:t>without</w:t>
      </w:r>
      <w:r>
        <w:rPr>
          <w:spacing w:val="-6"/>
          <w:szCs w:val="24"/>
        </w:rPr>
        <w:t xml:space="preserve"> </w:t>
      </w:r>
      <w:r w:rsidRPr="55DEB025">
        <w:t>an</w:t>
      </w:r>
      <w:r>
        <w:rPr>
          <w:spacing w:val="-6"/>
          <w:szCs w:val="24"/>
        </w:rPr>
        <w:t xml:space="preserve"> </w:t>
      </w:r>
      <w:r w:rsidRPr="55DEB025">
        <w:t>LHMP must</w:t>
      </w:r>
      <w:r>
        <w:rPr>
          <w:spacing w:val="-2"/>
          <w:szCs w:val="24"/>
        </w:rPr>
        <w:t xml:space="preserve"> </w:t>
      </w:r>
      <w:r w:rsidRPr="55DEB025">
        <w:t>update</w:t>
      </w:r>
      <w:r>
        <w:rPr>
          <w:spacing w:val="-2"/>
          <w:szCs w:val="24"/>
        </w:rPr>
        <w:t xml:space="preserve"> </w:t>
      </w:r>
      <w:r w:rsidRPr="55DEB025">
        <w:t>their</w:t>
      </w:r>
      <w:r>
        <w:rPr>
          <w:spacing w:val="-2"/>
          <w:szCs w:val="24"/>
        </w:rPr>
        <w:t xml:space="preserve"> </w:t>
      </w:r>
      <w:r w:rsidRPr="55DEB025">
        <w:t>safety</w:t>
      </w:r>
      <w:r>
        <w:rPr>
          <w:spacing w:val="-2"/>
          <w:szCs w:val="24"/>
        </w:rPr>
        <w:t xml:space="preserve"> </w:t>
      </w:r>
      <w:r w:rsidRPr="55DEB025">
        <w:t>elements</w:t>
      </w:r>
      <w:r>
        <w:rPr>
          <w:spacing w:val="-2"/>
          <w:szCs w:val="24"/>
        </w:rPr>
        <w:t xml:space="preserve"> </w:t>
      </w:r>
      <w:r w:rsidRPr="55DEB025">
        <w:t>by</w:t>
      </w:r>
      <w:r>
        <w:rPr>
          <w:spacing w:val="-2"/>
          <w:szCs w:val="24"/>
        </w:rPr>
        <w:t xml:space="preserve"> </w:t>
      </w:r>
      <w:r w:rsidRPr="55DEB025">
        <w:t>January</w:t>
      </w:r>
      <w:r>
        <w:rPr>
          <w:spacing w:val="-2"/>
          <w:szCs w:val="24"/>
        </w:rPr>
        <w:t xml:space="preserve"> </w:t>
      </w:r>
      <w:r w:rsidRPr="55DEB025">
        <w:t>1,</w:t>
      </w:r>
      <w:r>
        <w:rPr>
          <w:spacing w:val="-2"/>
          <w:szCs w:val="24"/>
        </w:rPr>
        <w:t xml:space="preserve"> </w:t>
      </w:r>
      <w:r w:rsidRPr="55DEB025">
        <w:t>2022.</w:t>
      </w:r>
    </w:p>
    <w:p w14:paraId="738748DB" w14:textId="72ABE88F" w:rsidR="00E542B4" w:rsidRPr="00E94879" w:rsidRDefault="0003154C" w:rsidP="00E542B4">
      <w:pPr>
        <w:pStyle w:val="BodyText"/>
        <w:spacing w:before="160" w:line="240" w:lineRule="auto"/>
      </w:pPr>
      <w:r>
        <w:rPr>
          <w:spacing w:val="-2"/>
        </w:rPr>
        <w:t>Updated Safety Elements or LHMPs must include</w:t>
      </w:r>
      <w:r w:rsidR="00E542B4">
        <w:t>:</w:t>
      </w:r>
    </w:p>
    <w:p w14:paraId="2802F531" w14:textId="77777777" w:rsidR="00E542B4" w:rsidRPr="00692137" w:rsidRDefault="00E542B4">
      <w:pPr>
        <w:pStyle w:val="BodyText"/>
        <w:widowControl w:val="0"/>
        <w:numPr>
          <w:ilvl w:val="0"/>
          <w:numId w:val="30"/>
        </w:numPr>
        <w:autoSpaceDE w:val="0"/>
        <w:autoSpaceDN w:val="0"/>
        <w:spacing w:before="160" w:line="240" w:lineRule="auto"/>
        <w:contextualSpacing/>
        <w:rPr>
          <w:szCs w:val="24"/>
        </w:rPr>
      </w:pPr>
      <w:r>
        <w:rPr>
          <w:szCs w:val="24"/>
        </w:rPr>
        <w:t>A</w:t>
      </w:r>
      <w:r>
        <w:rPr>
          <w:spacing w:val="-1"/>
          <w:szCs w:val="24"/>
        </w:rPr>
        <w:t xml:space="preserve"> </w:t>
      </w:r>
      <w:r>
        <w:rPr>
          <w:szCs w:val="24"/>
        </w:rPr>
        <w:t>vulnerability</w:t>
      </w:r>
      <w:r>
        <w:rPr>
          <w:spacing w:val="-1"/>
          <w:szCs w:val="24"/>
        </w:rPr>
        <w:t xml:space="preserve"> </w:t>
      </w:r>
      <w:r>
        <w:rPr>
          <w:szCs w:val="24"/>
        </w:rPr>
        <w:t>assessment</w:t>
      </w:r>
      <w:r>
        <w:rPr>
          <w:spacing w:val="-1"/>
          <w:szCs w:val="24"/>
        </w:rPr>
        <w:t xml:space="preserve"> </w:t>
      </w:r>
      <w:r>
        <w:rPr>
          <w:szCs w:val="24"/>
        </w:rPr>
        <w:t>identifying</w:t>
      </w:r>
      <w:r>
        <w:rPr>
          <w:spacing w:val="-1"/>
          <w:szCs w:val="24"/>
        </w:rPr>
        <w:t xml:space="preserve"> </w:t>
      </w:r>
      <w:r>
        <w:rPr>
          <w:szCs w:val="24"/>
        </w:rPr>
        <w:t>the</w:t>
      </w:r>
      <w:r>
        <w:rPr>
          <w:spacing w:val="-1"/>
          <w:szCs w:val="24"/>
        </w:rPr>
        <w:t xml:space="preserve"> </w:t>
      </w:r>
      <w:r>
        <w:rPr>
          <w:szCs w:val="24"/>
        </w:rPr>
        <w:t>risks</w:t>
      </w:r>
      <w:r>
        <w:rPr>
          <w:spacing w:val="-1"/>
          <w:szCs w:val="24"/>
        </w:rPr>
        <w:t xml:space="preserve"> </w:t>
      </w:r>
      <w:r>
        <w:rPr>
          <w:szCs w:val="24"/>
        </w:rPr>
        <w:t>that</w:t>
      </w:r>
      <w:r>
        <w:rPr>
          <w:spacing w:val="-1"/>
          <w:szCs w:val="24"/>
        </w:rPr>
        <w:t xml:space="preserve"> </w:t>
      </w:r>
      <w:r>
        <w:rPr>
          <w:szCs w:val="24"/>
        </w:rPr>
        <w:t>climate</w:t>
      </w:r>
      <w:r>
        <w:rPr>
          <w:spacing w:val="-1"/>
          <w:szCs w:val="24"/>
        </w:rPr>
        <w:t xml:space="preserve"> </w:t>
      </w:r>
      <w:r>
        <w:rPr>
          <w:szCs w:val="24"/>
        </w:rPr>
        <w:t>change</w:t>
      </w:r>
      <w:r>
        <w:rPr>
          <w:spacing w:val="-1"/>
          <w:szCs w:val="24"/>
        </w:rPr>
        <w:t xml:space="preserve"> </w:t>
      </w:r>
      <w:r>
        <w:rPr>
          <w:szCs w:val="24"/>
        </w:rPr>
        <w:t>poses</w:t>
      </w:r>
      <w:r>
        <w:rPr>
          <w:spacing w:val="-1"/>
          <w:szCs w:val="24"/>
        </w:rPr>
        <w:t xml:space="preserve"> </w:t>
      </w:r>
      <w:r>
        <w:rPr>
          <w:szCs w:val="24"/>
        </w:rPr>
        <w:t>to</w:t>
      </w:r>
      <w:r>
        <w:rPr>
          <w:spacing w:val="-1"/>
          <w:szCs w:val="24"/>
        </w:rPr>
        <w:t xml:space="preserve"> </w:t>
      </w:r>
      <w:r>
        <w:rPr>
          <w:szCs w:val="24"/>
        </w:rPr>
        <w:t>the local jurisdiction</w:t>
      </w:r>
    </w:p>
    <w:p w14:paraId="1485278E" w14:textId="77777777" w:rsidR="00E542B4" w:rsidRPr="00692137" w:rsidRDefault="00E542B4">
      <w:pPr>
        <w:pStyle w:val="BodyText"/>
        <w:widowControl w:val="0"/>
        <w:numPr>
          <w:ilvl w:val="0"/>
          <w:numId w:val="29"/>
        </w:numPr>
        <w:autoSpaceDE w:val="0"/>
        <w:autoSpaceDN w:val="0"/>
        <w:spacing w:before="160" w:line="240" w:lineRule="auto"/>
        <w:contextualSpacing/>
        <w:rPr>
          <w:szCs w:val="24"/>
        </w:rPr>
      </w:pPr>
      <w:r>
        <w:rPr>
          <w:szCs w:val="24"/>
        </w:rPr>
        <w:t>A</w:t>
      </w:r>
      <w:r>
        <w:rPr>
          <w:spacing w:val="-4"/>
          <w:szCs w:val="24"/>
        </w:rPr>
        <w:t xml:space="preserve"> </w:t>
      </w:r>
      <w:r>
        <w:rPr>
          <w:szCs w:val="24"/>
        </w:rPr>
        <w:t>set</w:t>
      </w:r>
      <w:r>
        <w:rPr>
          <w:spacing w:val="-4"/>
          <w:szCs w:val="24"/>
        </w:rPr>
        <w:t xml:space="preserve"> </w:t>
      </w:r>
      <w:r>
        <w:rPr>
          <w:szCs w:val="24"/>
        </w:rPr>
        <w:t>of</w:t>
      </w:r>
      <w:r>
        <w:rPr>
          <w:spacing w:val="-4"/>
          <w:szCs w:val="24"/>
        </w:rPr>
        <w:t xml:space="preserve"> adaptation and resilience </w:t>
      </w:r>
      <w:r>
        <w:rPr>
          <w:szCs w:val="24"/>
        </w:rPr>
        <w:t>goals,</w:t>
      </w:r>
      <w:r>
        <w:rPr>
          <w:spacing w:val="-4"/>
          <w:szCs w:val="24"/>
        </w:rPr>
        <w:t xml:space="preserve"> </w:t>
      </w:r>
      <w:r>
        <w:rPr>
          <w:szCs w:val="24"/>
        </w:rPr>
        <w:t>policies,</w:t>
      </w:r>
      <w:r>
        <w:rPr>
          <w:spacing w:val="-4"/>
          <w:szCs w:val="24"/>
        </w:rPr>
        <w:t xml:space="preserve"> </w:t>
      </w:r>
      <w:r>
        <w:rPr>
          <w:szCs w:val="24"/>
        </w:rPr>
        <w:t>and</w:t>
      </w:r>
      <w:r>
        <w:rPr>
          <w:spacing w:val="-4"/>
          <w:szCs w:val="24"/>
        </w:rPr>
        <w:t xml:space="preserve"> </w:t>
      </w:r>
      <w:r>
        <w:rPr>
          <w:szCs w:val="24"/>
        </w:rPr>
        <w:t>objectives</w:t>
      </w:r>
      <w:r>
        <w:rPr>
          <w:spacing w:val="-4"/>
          <w:szCs w:val="24"/>
        </w:rPr>
        <w:t xml:space="preserve"> </w:t>
      </w:r>
      <w:r>
        <w:rPr>
          <w:szCs w:val="24"/>
        </w:rPr>
        <w:t>based</w:t>
      </w:r>
      <w:r>
        <w:rPr>
          <w:spacing w:val="-4"/>
          <w:szCs w:val="24"/>
        </w:rPr>
        <w:t xml:space="preserve"> </w:t>
      </w:r>
      <w:r>
        <w:rPr>
          <w:szCs w:val="24"/>
        </w:rPr>
        <w:t>on</w:t>
      </w:r>
      <w:r>
        <w:rPr>
          <w:spacing w:val="-4"/>
          <w:szCs w:val="24"/>
        </w:rPr>
        <w:t xml:space="preserve"> the information identified in the </w:t>
      </w:r>
      <w:r>
        <w:rPr>
          <w:szCs w:val="24"/>
        </w:rPr>
        <w:t>vulnerability</w:t>
      </w:r>
      <w:r>
        <w:rPr>
          <w:spacing w:val="-4"/>
          <w:szCs w:val="24"/>
        </w:rPr>
        <w:t xml:space="preserve"> </w:t>
      </w:r>
      <w:r>
        <w:rPr>
          <w:szCs w:val="24"/>
        </w:rPr>
        <w:t>assessment</w:t>
      </w:r>
      <w:r>
        <w:rPr>
          <w:spacing w:val="-4"/>
          <w:szCs w:val="24"/>
        </w:rPr>
        <w:t xml:space="preserve"> </w:t>
      </w:r>
      <w:r>
        <w:rPr>
          <w:szCs w:val="24"/>
        </w:rPr>
        <w:t>for the protection of the community</w:t>
      </w:r>
    </w:p>
    <w:p w14:paraId="534B2264" w14:textId="77777777" w:rsidR="00E542B4" w:rsidRPr="00E94879" w:rsidRDefault="00E542B4">
      <w:pPr>
        <w:pStyle w:val="BodyText"/>
        <w:widowControl w:val="0"/>
        <w:numPr>
          <w:ilvl w:val="0"/>
          <w:numId w:val="29"/>
        </w:numPr>
        <w:autoSpaceDE w:val="0"/>
        <w:autoSpaceDN w:val="0"/>
        <w:spacing w:before="160" w:line="240" w:lineRule="auto"/>
        <w:rPr>
          <w:spacing w:val="-2"/>
        </w:rPr>
      </w:pPr>
      <w:r>
        <w:t>A</w:t>
      </w:r>
      <w:r>
        <w:rPr>
          <w:spacing w:val="-4"/>
          <w:szCs w:val="24"/>
        </w:rPr>
        <w:t xml:space="preserve"> </w:t>
      </w:r>
      <w:r>
        <w:t>set</w:t>
      </w:r>
      <w:r>
        <w:rPr>
          <w:spacing w:val="-4"/>
          <w:szCs w:val="24"/>
        </w:rPr>
        <w:t xml:space="preserve"> </w:t>
      </w:r>
      <w:r>
        <w:t>of</w:t>
      </w:r>
      <w:r>
        <w:rPr>
          <w:spacing w:val="-4"/>
          <w:szCs w:val="24"/>
        </w:rPr>
        <w:t xml:space="preserve"> </w:t>
      </w:r>
      <w:r>
        <w:t>feasible</w:t>
      </w:r>
      <w:r>
        <w:rPr>
          <w:spacing w:val="-4"/>
          <w:szCs w:val="24"/>
        </w:rPr>
        <w:t xml:space="preserve"> </w:t>
      </w:r>
      <w:r>
        <w:t>measures designed</w:t>
      </w:r>
      <w:r>
        <w:rPr>
          <w:spacing w:val="-4"/>
          <w:szCs w:val="24"/>
        </w:rPr>
        <w:t xml:space="preserve"> </w:t>
      </w:r>
      <w:r>
        <w:t>to</w:t>
      </w:r>
      <w:r>
        <w:rPr>
          <w:spacing w:val="-4"/>
          <w:szCs w:val="24"/>
        </w:rPr>
        <w:t xml:space="preserve"> </w:t>
      </w:r>
      <w:r>
        <w:t>carry</w:t>
      </w:r>
      <w:r>
        <w:rPr>
          <w:spacing w:val="-4"/>
          <w:szCs w:val="24"/>
        </w:rPr>
        <w:t xml:space="preserve"> </w:t>
      </w:r>
      <w:r>
        <w:t>out</w:t>
      </w:r>
      <w:r>
        <w:rPr>
          <w:spacing w:val="-4"/>
          <w:szCs w:val="24"/>
        </w:rPr>
        <w:t xml:space="preserve"> </w:t>
      </w:r>
      <w:r>
        <w:t>the</w:t>
      </w:r>
      <w:r>
        <w:rPr>
          <w:spacing w:val="-4"/>
          <w:szCs w:val="24"/>
        </w:rPr>
        <w:t xml:space="preserve"> </w:t>
      </w:r>
      <w:r>
        <w:t>goals,</w:t>
      </w:r>
      <w:r>
        <w:rPr>
          <w:spacing w:val="-4"/>
          <w:szCs w:val="24"/>
        </w:rPr>
        <w:t xml:space="preserve"> </w:t>
      </w:r>
      <w:r>
        <w:t>policies,</w:t>
      </w:r>
      <w:r>
        <w:rPr>
          <w:spacing w:val="-4"/>
          <w:szCs w:val="24"/>
        </w:rPr>
        <w:t xml:space="preserve"> </w:t>
      </w:r>
      <w:r>
        <w:t xml:space="preserve">and </w:t>
      </w:r>
      <w:r>
        <w:rPr>
          <w:spacing w:val="-2"/>
        </w:rPr>
        <w:t>objectives</w:t>
      </w:r>
    </w:p>
    <w:p w14:paraId="04732BD3" w14:textId="41D10021" w:rsidR="00E542B4" w:rsidRPr="00E94879" w:rsidRDefault="00E542B4" w:rsidP="00C80F8E">
      <w:pPr>
        <w:pStyle w:val="BodyText"/>
        <w:spacing w:before="160" w:line="240" w:lineRule="auto"/>
      </w:pPr>
      <w:hyperlink r:id="rId39">
        <w:r>
          <w:rPr>
            <w:rStyle w:val="Hyperlink"/>
          </w:rPr>
          <w:t>California Government Code §65302(g)(4)</w:t>
        </w:r>
      </w:hyperlink>
      <w:r>
        <w:t xml:space="preserve"> provides flexibility for how jurisdictions may meet climate adaptation and resilience requirements. Local jurisdictions may satisfy Safety Element requirements through an adopted </w:t>
      </w:r>
      <w:r>
        <w:rPr>
          <w:b/>
        </w:rPr>
        <w:t>LHMP</w:t>
      </w:r>
      <w:r>
        <w:rPr>
          <w:szCs w:val="24"/>
        </w:rPr>
        <w:t xml:space="preserve">, </w:t>
      </w:r>
      <w:r>
        <w:rPr>
          <w:b/>
        </w:rPr>
        <w:t>stand-alone climate adaptation plan</w:t>
      </w:r>
      <w:r>
        <w:t xml:space="preserve">, or </w:t>
      </w:r>
      <w:r>
        <w:rPr>
          <w:b/>
        </w:rPr>
        <w:t xml:space="preserve">a similar document. </w:t>
      </w:r>
      <w:r>
        <w:t>To qualify, the similar document must</w:t>
      </w:r>
      <w:r>
        <w:rPr>
          <w:b/>
        </w:rPr>
        <w:t xml:space="preserve"> “</w:t>
      </w:r>
      <w:r>
        <w:t>fulfill commensurate</w:t>
      </w:r>
      <w:r>
        <w:rPr>
          <w:spacing w:val="-6"/>
          <w:szCs w:val="24"/>
        </w:rPr>
        <w:t xml:space="preserve"> </w:t>
      </w:r>
      <w:r>
        <w:t>goals</w:t>
      </w:r>
      <w:r>
        <w:rPr>
          <w:spacing w:val="-6"/>
          <w:szCs w:val="24"/>
        </w:rPr>
        <w:t xml:space="preserve"> </w:t>
      </w:r>
      <w:r>
        <w:t>and</w:t>
      </w:r>
      <w:r>
        <w:rPr>
          <w:spacing w:val="-6"/>
          <w:szCs w:val="24"/>
        </w:rPr>
        <w:t xml:space="preserve"> </w:t>
      </w:r>
      <w:r>
        <w:t>objectives,” and include required components (e.g., Vulnerability Assessment, goals/policies, and implementation measures).</w:t>
      </w:r>
    </w:p>
    <w:p w14:paraId="5164FACB" w14:textId="0F3771AF" w:rsidR="00E542B4" w:rsidRDefault="00E542B4" w:rsidP="00E542B4">
      <w:pPr>
        <w:pStyle w:val="BodyText"/>
        <w:spacing w:before="160" w:line="240" w:lineRule="auto"/>
      </w:pPr>
      <w:r>
        <w:t xml:space="preserve">As further amended by </w:t>
      </w:r>
      <w:hyperlink r:id="rId40" w:history="1">
        <w:r>
          <w:rPr>
            <w:rStyle w:val="Hyperlink"/>
          </w:rPr>
          <w:t>SB 1035</w:t>
        </w:r>
      </w:hyperlink>
      <w:r>
        <w:t xml:space="preserve"> (Jackson, 2018), after January 1, 2022, the Safety Element must be reviewed</w:t>
      </w:r>
      <w:r>
        <w:rPr>
          <w:spacing w:val="-6"/>
          <w:szCs w:val="24"/>
        </w:rPr>
        <w:t xml:space="preserve"> </w:t>
      </w:r>
      <w:r>
        <w:t>and</w:t>
      </w:r>
      <w:r>
        <w:rPr>
          <w:spacing w:val="-6"/>
          <w:szCs w:val="24"/>
        </w:rPr>
        <w:t xml:space="preserve"> </w:t>
      </w:r>
      <w:r>
        <w:t>updated</w:t>
      </w:r>
      <w:r>
        <w:rPr>
          <w:spacing w:val="-6"/>
          <w:szCs w:val="24"/>
        </w:rPr>
        <w:t xml:space="preserve"> </w:t>
      </w:r>
      <w:r>
        <w:t>upon</w:t>
      </w:r>
      <w:r>
        <w:rPr>
          <w:spacing w:val="-6"/>
          <w:szCs w:val="24"/>
        </w:rPr>
        <w:t xml:space="preserve"> </w:t>
      </w:r>
      <w:r>
        <w:t>each</w:t>
      </w:r>
      <w:r>
        <w:rPr>
          <w:spacing w:val="-6"/>
          <w:szCs w:val="24"/>
        </w:rPr>
        <w:t xml:space="preserve"> </w:t>
      </w:r>
      <w:r>
        <w:t>revision</w:t>
      </w:r>
      <w:r>
        <w:rPr>
          <w:spacing w:val="-6"/>
          <w:szCs w:val="24"/>
        </w:rPr>
        <w:t xml:space="preserve"> </w:t>
      </w:r>
      <w:r>
        <w:t>of</w:t>
      </w:r>
      <w:r>
        <w:rPr>
          <w:spacing w:val="-6"/>
          <w:szCs w:val="24"/>
        </w:rPr>
        <w:t xml:space="preserve"> </w:t>
      </w:r>
      <w:r>
        <w:t>the</w:t>
      </w:r>
      <w:r>
        <w:rPr>
          <w:spacing w:val="-6"/>
          <w:szCs w:val="24"/>
        </w:rPr>
        <w:t xml:space="preserve"> </w:t>
      </w:r>
      <w:r>
        <w:t>Housing</w:t>
      </w:r>
      <w:r>
        <w:rPr>
          <w:spacing w:val="-6"/>
          <w:szCs w:val="24"/>
        </w:rPr>
        <w:t xml:space="preserve"> </w:t>
      </w:r>
      <w:r>
        <w:t>Element</w:t>
      </w:r>
      <w:r>
        <w:rPr>
          <w:spacing w:val="-6"/>
          <w:szCs w:val="24"/>
        </w:rPr>
        <w:t xml:space="preserve"> </w:t>
      </w:r>
      <w:r>
        <w:t>or</w:t>
      </w:r>
      <w:r>
        <w:rPr>
          <w:spacing w:val="-6"/>
          <w:szCs w:val="24"/>
        </w:rPr>
        <w:t xml:space="preserve"> </w:t>
      </w:r>
      <w:r>
        <w:t>LHMP,</w:t>
      </w:r>
      <w:r>
        <w:rPr>
          <w:spacing w:val="-6"/>
        </w:rPr>
        <w:t xml:space="preserve"> and </w:t>
      </w:r>
      <w:r>
        <w:t>no</w:t>
      </w:r>
      <w:r>
        <w:rPr>
          <w:spacing w:val="-6"/>
          <w:szCs w:val="24"/>
        </w:rPr>
        <w:t xml:space="preserve"> </w:t>
      </w:r>
      <w:r>
        <w:t>less than</w:t>
      </w:r>
      <w:r>
        <w:rPr>
          <w:spacing w:val="-4"/>
          <w:szCs w:val="24"/>
        </w:rPr>
        <w:t xml:space="preserve"> </w:t>
      </w:r>
      <w:r>
        <w:t>once</w:t>
      </w:r>
      <w:r>
        <w:rPr>
          <w:spacing w:val="-4"/>
          <w:szCs w:val="24"/>
        </w:rPr>
        <w:t xml:space="preserve"> </w:t>
      </w:r>
      <w:r>
        <w:t>every</w:t>
      </w:r>
      <w:r>
        <w:rPr>
          <w:spacing w:val="-4"/>
          <w:szCs w:val="24"/>
        </w:rPr>
        <w:t xml:space="preserve"> </w:t>
      </w:r>
      <w:r>
        <w:t>eight</w:t>
      </w:r>
      <w:r>
        <w:rPr>
          <w:spacing w:val="-4"/>
          <w:szCs w:val="24"/>
        </w:rPr>
        <w:t xml:space="preserve"> </w:t>
      </w:r>
      <w:r>
        <w:t>years. Updates must continue</w:t>
      </w:r>
      <w:r>
        <w:rPr>
          <w:spacing w:val="-4"/>
          <w:szCs w:val="24"/>
        </w:rPr>
        <w:t xml:space="preserve"> </w:t>
      </w:r>
      <w:r>
        <w:t>to</w:t>
      </w:r>
      <w:r>
        <w:rPr>
          <w:spacing w:val="-4"/>
          <w:szCs w:val="24"/>
        </w:rPr>
        <w:t xml:space="preserve"> </w:t>
      </w:r>
      <w:r>
        <w:t>address</w:t>
      </w:r>
      <w:r>
        <w:rPr>
          <w:spacing w:val="-4"/>
          <w:szCs w:val="24"/>
        </w:rPr>
        <w:t xml:space="preserve"> </w:t>
      </w:r>
      <w:r>
        <w:t>climate</w:t>
      </w:r>
      <w:r>
        <w:rPr>
          <w:spacing w:val="-4"/>
          <w:szCs w:val="24"/>
        </w:rPr>
        <w:t xml:space="preserve"> </w:t>
      </w:r>
      <w:r>
        <w:t>adaptation</w:t>
      </w:r>
      <w:r>
        <w:rPr>
          <w:spacing w:val="-4"/>
          <w:szCs w:val="24"/>
        </w:rPr>
        <w:t xml:space="preserve"> </w:t>
      </w:r>
      <w:r>
        <w:t>and</w:t>
      </w:r>
      <w:r>
        <w:rPr>
          <w:spacing w:val="-4"/>
          <w:szCs w:val="24"/>
        </w:rPr>
        <w:t xml:space="preserve"> </w:t>
      </w:r>
      <w:r>
        <w:t>resilience, identify new information related to resilience, and identify new information related to flood and fire hazards</w:t>
      </w:r>
      <w:r>
        <w:rPr>
          <w:szCs w:val="24"/>
        </w:rPr>
        <w:t>.</w:t>
      </w:r>
    </w:p>
    <w:p w14:paraId="29F61FFB" w14:textId="77777777" w:rsidR="00E542B4" w:rsidRPr="00692137" w:rsidRDefault="00E542B4" w:rsidP="00E542B4">
      <w:pPr>
        <w:pStyle w:val="BodyText"/>
        <w:spacing w:before="160" w:line="240" w:lineRule="auto"/>
      </w:pPr>
      <w:r>
        <w:t>The statute identifies relevant resources to support compliance, including the Adaptation Planning Guide, which provides guidance on conducting vulnerability assessments and developing adaptation strategies.</w:t>
      </w:r>
    </w:p>
    <w:p w14:paraId="3077B805" w14:textId="77777777" w:rsidR="006D5AD4" w:rsidRDefault="006D5AD4" w:rsidP="006D5AD4">
      <w:pPr>
        <w:pStyle w:val="Heading2"/>
      </w:pPr>
      <w:bookmarkStart w:id="18" w:name="_Toc235802662"/>
      <w:r>
        <w:t>Pathways to Action</w:t>
      </w:r>
      <w:bookmarkEnd w:id="18"/>
    </w:p>
    <w:p w14:paraId="7BDB72DA" w14:textId="16D6AB51" w:rsidR="006D5AD4" w:rsidRDefault="006D5AD4" w:rsidP="006D5AD4">
      <w:pPr>
        <w:pStyle w:val="BodyText"/>
      </w:pPr>
      <w:r>
        <w:t>Communities</w:t>
      </w:r>
      <w:r>
        <w:rPr>
          <w:spacing w:val="-3"/>
        </w:rPr>
        <w:t xml:space="preserve"> in California </w:t>
      </w:r>
      <w:r>
        <w:t>have</w:t>
      </w:r>
      <w:r>
        <w:rPr>
          <w:spacing w:val="-3"/>
          <w:szCs w:val="24"/>
        </w:rPr>
        <w:t xml:space="preserve"> </w:t>
      </w:r>
      <w:r>
        <w:t>a</w:t>
      </w:r>
      <w:r>
        <w:rPr>
          <w:spacing w:val="-3"/>
          <w:szCs w:val="24"/>
        </w:rPr>
        <w:t xml:space="preserve"> </w:t>
      </w:r>
      <w:r>
        <w:t>range</w:t>
      </w:r>
      <w:r>
        <w:rPr>
          <w:spacing w:val="-3"/>
          <w:szCs w:val="24"/>
        </w:rPr>
        <w:t xml:space="preserve"> </w:t>
      </w:r>
      <w:r>
        <w:t>of</w:t>
      </w:r>
      <w:r>
        <w:rPr>
          <w:spacing w:val="-3"/>
          <w:szCs w:val="24"/>
        </w:rPr>
        <w:t xml:space="preserve"> </w:t>
      </w:r>
      <w:r>
        <w:t>possibilities</w:t>
      </w:r>
      <w:r>
        <w:rPr>
          <w:spacing w:val="-3"/>
          <w:szCs w:val="24"/>
        </w:rPr>
        <w:t xml:space="preserve"> </w:t>
      </w:r>
      <w:r>
        <w:t>for</w:t>
      </w:r>
      <w:r>
        <w:rPr>
          <w:spacing w:val="-3"/>
          <w:szCs w:val="24"/>
        </w:rPr>
        <w:t xml:space="preserve"> </w:t>
      </w:r>
      <w:r>
        <w:t>taking</w:t>
      </w:r>
      <w:r>
        <w:rPr>
          <w:spacing w:val="-3"/>
          <w:szCs w:val="24"/>
        </w:rPr>
        <w:t xml:space="preserve"> </w:t>
      </w:r>
      <w:r>
        <w:t>action</w:t>
      </w:r>
      <w:r>
        <w:rPr>
          <w:szCs w:val="24"/>
        </w:rPr>
        <w:t xml:space="preserve"> </w:t>
      </w:r>
      <w:r>
        <w:t xml:space="preserve">to adapt to climate change, and intended </w:t>
      </w:r>
      <w:r w:rsidR="003A1C42">
        <w:t>outcomes extend</w:t>
      </w:r>
      <w:r>
        <w:t xml:space="preserve"> beyond a plan itself to include investment decisions, implementation programs, project screening, funding strategies, and monitoring.</w:t>
      </w:r>
    </w:p>
    <w:p w14:paraId="2CD209A3" w14:textId="77777777" w:rsidR="006D5AD4" w:rsidRPr="003B0C75" w:rsidRDefault="006D5AD4" w:rsidP="006D5AD4">
      <w:pPr>
        <w:pStyle w:val="BodyText"/>
      </w:pPr>
      <w:r>
        <w:lastRenderedPageBreak/>
        <w:t>In meeting requirements for General Plan Safety Elements, communities may take advantage of a planned update of their jurisdiction’s general plan or Local Hazard Mitigation Plans (LHMP). Local jurisdictions may also choose to develop a  stand-alone climate action or adaptation plan to elevate the importance of the issue and reflect community values. Standalone plans can also support strategic implementation and provide guidance for implementation across other plans, programs, and policies, or to provide more in-depth analysis than required in the general plan or LHMP.</w:t>
      </w:r>
    </w:p>
    <w:p w14:paraId="10C8702F" w14:textId="77777777" w:rsidR="006D5AD4" w:rsidRDefault="006D5AD4" w:rsidP="006D5AD4">
      <w:pPr>
        <w:pStyle w:val="BodyText"/>
        <w:spacing w:before="160" w:line="240" w:lineRule="auto"/>
      </w:pPr>
      <w:r>
        <w:t>Communities may also determine that a single plan, implementation mechanism, or outcome is insufficient to meet their vision and goals and opt to integrate adaptation across multiple plans.</w:t>
      </w:r>
    </w:p>
    <w:p w14:paraId="748476DD" w14:textId="77777777" w:rsidR="006D5AD4" w:rsidRDefault="006D5AD4" w:rsidP="006D5AD4">
      <w:pPr>
        <w:pStyle w:val="BodyText"/>
        <w:spacing w:before="160" w:line="240" w:lineRule="auto"/>
      </w:pPr>
      <w:r>
        <w:t>A challenge in developing climate adaptation strategies is addressing the broad and varied impacts across community systems, including public safety, services, equity, energy reliability, public health, economic vitality, ecosystem health, and water supply. Fortunately, many existing local and regional plans, such as general plan safety elements and LHMPs, already address some of these impacts. As a result, communities often have a solid foundation for identifying effective strategies. In many cases, developing climate adaptation policy involves integrating and strengthening existing policies through regular plan updates, rather than starting from scratch.</w:t>
      </w:r>
    </w:p>
    <w:p w14:paraId="18D0FA8B" w14:textId="77777777" w:rsidR="006D5AD4" w:rsidRPr="00B57886" w:rsidRDefault="006D5AD4" w:rsidP="006D5AD4">
      <w:pPr>
        <w:pStyle w:val="BodyText"/>
        <w:spacing w:before="160" w:line="240" w:lineRule="auto"/>
      </w:pPr>
      <w:r w:rsidRPr="00675FC3">
        <w:rPr>
          <w:b/>
          <w:bCs/>
        </w:rPr>
        <w:t>The APG focuses on plans as the primary outcome.</w:t>
      </w:r>
      <w:r>
        <w:t xml:space="preserve"> It focuses on three main types of plans:</w:t>
      </w:r>
    </w:p>
    <w:p w14:paraId="24285C85" w14:textId="77777777" w:rsidR="006D5AD4" w:rsidRPr="00B57886" w:rsidRDefault="006D5AD4">
      <w:pPr>
        <w:pStyle w:val="BodyText"/>
        <w:widowControl w:val="0"/>
        <w:numPr>
          <w:ilvl w:val="0"/>
          <w:numId w:val="32"/>
        </w:numPr>
        <w:spacing w:before="160" w:line="240" w:lineRule="auto"/>
        <w:contextualSpacing/>
      </w:pPr>
      <w:r>
        <w:t>Updates to the safety element and/or other elements of the general plan</w:t>
      </w:r>
    </w:p>
    <w:p w14:paraId="3B7232BB" w14:textId="77777777" w:rsidR="006D5AD4" w:rsidRPr="00B57886" w:rsidRDefault="006D5AD4">
      <w:pPr>
        <w:pStyle w:val="BodyText"/>
        <w:widowControl w:val="0"/>
        <w:numPr>
          <w:ilvl w:val="0"/>
          <w:numId w:val="32"/>
        </w:numPr>
        <w:spacing w:before="160" w:line="240" w:lineRule="auto"/>
        <w:contextualSpacing/>
      </w:pPr>
      <w:r>
        <w:t>Development of a stand-alone climate action or adaptation plan</w:t>
      </w:r>
      <w:r>
        <w:rPr>
          <w:rStyle w:val="FootnoteReference"/>
        </w:rPr>
        <w:footnoteReference w:id="1"/>
      </w:r>
    </w:p>
    <w:p w14:paraId="271116AA" w14:textId="77777777" w:rsidR="006D5AD4" w:rsidRDefault="006D5AD4">
      <w:pPr>
        <w:pStyle w:val="BodyText"/>
        <w:widowControl w:val="0"/>
        <w:numPr>
          <w:ilvl w:val="0"/>
          <w:numId w:val="32"/>
        </w:numPr>
        <w:spacing w:before="160" w:line="240" w:lineRule="auto"/>
        <w:contextualSpacing/>
        <w:rPr>
          <w:b/>
          <w:szCs w:val="24"/>
        </w:rPr>
      </w:pPr>
      <w:r>
        <w:t>Preparation of a Local or Tribal Hazard Mitigation Plan (LHMP/THMP)</w:t>
      </w:r>
    </w:p>
    <w:p w14:paraId="559F2C5B" w14:textId="77777777" w:rsidR="006D5AD4" w:rsidRPr="00C0012E" w:rsidRDefault="006D5AD4" w:rsidP="006D5AD4">
      <w:pPr>
        <w:pStyle w:val="ListParagraph"/>
        <w:widowControl w:val="0"/>
        <w:spacing w:before="160" w:line="240" w:lineRule="auto"/>
        <w:ind w:left="0"/>
      </w:pPr>
      <w:r w:rsidRPr="55DEB025">
        <w:rPr>
          <w:color w:val="000000" w:themeColor="text1"/>
          <w:u w:val="single"/>
        </w:rPr>
        <w:fldChar w:fldCharType="begin"/>
      </w:r>
      <w:r w:rsidRPr="55DEB025">
        <w:rPr>
          <w:color w:val="000000" w:themeColor="text1"/>
          <w:u w:val="single"/>
        </w:rPr>
        <w:instrText xml:space="preserve"> \* MERGEFORMAT  \* MERGEFORMAT </w:instrText>
      </w:r>
      <w:r w:rsidRPr="55DEB025">
        <w:rPr>
          <w:color w:val="000000" w:themeColor="text1"/>
          <w:u w:val="single"/>
        </w:rPr>
        <w:fldChar w:fldCharType="separate"/>
      </w:r>
      <w:r w:rsidRPr="55DEB025">
        <w:rPr>
          <w:u w:val="single"/>
        </w:rPr>
        <w:t>Table 3</w:t>
      </w:r>
      <w:r w:rsidRPr="55DEB025">
        <w:rPr>
          <w:color w:val="000000" w:themeColor="text1"/>
          <w:u w:val="single"/>
        </w:rPr>
        <w:fldChar w:fldCharType="end"/>
      </w:r>
      <w:r w:rsidRPr="55DEB025">
        <w:rPr>
          <w:color w:val="000000" w:themeColor="text1"/>
        </w:rPr>
        <w:t xml:space="preserve"> outlines the relationship between these three plans and statutory requirements, as well as potential opportunities for integration and alignment</w:t>
      </w:r>
      <w:r>
        <w:t xml:space="preserve">. </w:t>
      </w:r>
    </w:p>
    <w:p w14:paraId="56758C87" w14:textId="77777777" w:rsidR="006D5AD4" w:rsidRPr="005E5EA2" w:rsidRDefault="006D5AD4" w:rsidP="006D5AD4">
      <w:pPr>
        <w:pStyle w:val="ListParagraph"/>
        <w:widowControl w:val="0"/>
        <w:spacing w:before="160" w:line="240" w:lineRule="auto"/>
        <w:ind w:left="0"/>
        <w:rPr>
          <w:color w:val="000000" w:themeColor="text1"/>
        </w:rPr>
      </w:pPr>
    </w:p>
    <w:p w14:paraId="769CFF57" w14:textId="072245FD" w:rsidR="006D5AD4" w:rsidRDefault="006D5AD4" w:rsidP="006D5AD4">
      <w:pPr>
        <w:pStyle w:val="ListParagraph"/>
        <w:widowControl w:val="0"/>
        <w:spacing w:before="160" w:line="240" w:lineRule="auto"/>
        <w:ind w:left="0"/>
        <w:rPr>
          <w:rFonts w:eastAsia="Century Gothic" w:cs="Century Gothic"/>
          <w:color w:val="000000" w:themeColor="text1"/>
        </w:rPr>
      </w:pPr>
      <w:r w:rsidRPr="55DEB025">
        <w:rPr>
          <w:color w:val="000000" w:themeColor="text1"/>
        </w:rPr>
        <w:t>Each of these plans may operate on different timeframes. The crosswalk identifies different triggers and timing considerations. While some plans have shorter time frames, like hazard mitigation plans, it is important to remember</w:t>
      </w:r>
      <w:r w:rsidRPr="55DEB025">
        <w:rPr>
          <w:rFonts w:eastAsia="Century Gothic" w:cs="Century Gothic"/>
          <w:color w:val="000000" w:themeColor="text1"/>
        </w:rPr>
        <w:t xml:space="preserve"> that projects will most likely exceed the lifetime of the plan itself, and it is important to consider long-term climate risks to ensure that </w:t>
      </w:r>
      <w:r w:rsidRPr="55DEB025">
        <w:rPr>
          <w:color w:val="000000" w:themeColor="text1"/>
        </w:rPr>
        <w:t xml:space="preserve">communities </w:t>
      </w:r>
      <w:r w:rsidRPr="55DEB025">
        <w:rPr>
          <w:rFonts w:eastAsia="Century Gothic" w:cs="Century Gothic"/>
          <w:color w:val="000000" w:themeColor="text1"/>
        </w:rPr>
        <w:t xml:space="preserve">are making wise investments. For example, for a General Plan adopted in 2015 that expires in </w:t>
      </w:r>
      <w:r w:rsidRPr="55DEB025">
        <w:rPr>
          <w:rFonts w:eastAsia="Century Gothic" w:cs="Century Gothic"/>
          <w:color w:val="000000" w:themeColor="text1"/>
        </w:rPr>
        <w:lastRenderedPageBreak/>
        <w:t>2040, a subdivision permitted in 2026 may still be in place in 2075, long after the general plan expires and possibly even longer after the standards, codes, guidelines, and policies governing its construction were written.</w:t>
      </w:r>
    </w:p>
    <w:p w14:paraId="069C9931" w14:textId="77777777" w:rsidR="00C07B37" w:rsidRPr="005E5EA2" w:rsidRDefault="00C07B37" w:rsidP="006D5AD4">
      <w:pPr>
        <w:pStyle w:val="ListParagraph"/>
        <w:widowControl w:val="0"/>
        <w:spacing w:before="160" w:line="240" w:lineRule="auto"/>
        <w:ind w:left="0"/>
        <w:rPr>
          <w:rFonts w:eastAsia="Century Gothic" w:cs="Century Gothic"/>
          <w:color w:val="000000" w:themeColor="text1"/>
        </w:rPr>
      </w:pPr>
    </w:p>
    <w:p w14:paraId="7FFCA6CF" w14:textId="77777777" w:rsidR="006D5AD4" w:rsidRPr="005E5EA2" w:rsidRDefault="006D5AD4" w:rsidP="006D5AD4">
      <w:pPr>
        <w:pStyle w:val="ListParagraph"/>
        <w:widowControl w:val="0"/>
        <w:autoSpaceDE w:val="0"/>
        <w:autoSpaceDN w:val="0"/>
        <w:spacing w:before="56" w:after="0" w:line="240" w:lineRule="auto"/>
        <w:ind w:left="0"/>
        <w:rPr>
          <w:b/>
          <w:szCs w:val="24"/>
        </w:rPr>
      </w:pPr>
    </w:p>
    <w:p w14:paraId="14D2EA64" w14:textId="3B62C4C4" w:rsidR="00E072EB" w:rsidRDefault="00E072EB">
      <w:pPr>
        <w:rPr>
          <w:b/>
          <w:bCs/>
          <w:szCs w:val="24"/>
        </w:rPr>
      </w:pPr>
      <w:r>
        <w:rPr>
          <w:b/>
          <w:bCs/>
          <w:szCs w:val="24"/>
        </w:rPr>
        <w:br w:type="page"/>
      </w:r>
    </w:p>
    <w:p w14:paraId="57235763" w14:textId="77777777" w:rsidR="00E072EB" w:rsidRDefault="00E072EB" w:rsidP="006D5AD4">
      <w:pPr>
        <w:spacing w:line="240" w:lineRule="auto"/>
        <w:rPr>
          <w:b/>
          <w:bCs/>
          <w:szCs w:val="24"/>
        </w:rPr>
        <w:sectPr w:rsidR="00E072EB" w:rsidSect="006D5AD4">
          <w:pgSz w:w="12240" w:h="15840"/>
          <w:pgMar w:top="1440" w:right="1440" w:bottom="1584" w:left="1440" w:header="0" w:footer="994" w:gutter="0"/>
          <w:cols w:space="720"/>
        </w:sectPr>
      </w:pPr>
    </w:p>
    <w:p w14:paraId="623FD718" w14:textId="662A934D" w:rsidR="006D5AD4" w:rsidRPr="00692137" w:rsidRDefault="006D5AD4" w:rsidP="006D5AD4">
      <w:pPr>
        <w:spacing w:after="0" w:line="240" w:lineRule="auto"/>
        <w:ind w:left="-270" w:right="-90"/>
        <w:rPr>
          <w:b/>
          <w:bCs/>
        </w:rPr>
      </w:pPr>
      <w:bookmarkStart w:id="19" w:name="_Ref229729962"/>
      <w:r w:rsidRPr="55DEB025">
        <w:rPr>
          <w:b/>
          <w:bCs/>
        </w:rPr>
        <w:lastRenderedPageBreak/>
        <w:t xml:space="preserve">Table </w:t>
      </w:r>
      <w:r w:rsidRPr="55DEB025">
        <w:rPr>
          <w:b/>
          <w:bCs/>
        </w:rPr>
        <w:fldChar w:fldCharType="begin"/>
      </w:r>
      <w:r w:rsidRPr="55DEB025">
        <w:rPr>
          <w:b/>
          <w:bCs/>
        </w:rPr>
        <w:instrText xml:space="preserve"> SEQ Table \* ARABIC </w:instrText>
      </w:r>
      <w:r w:rsidRPr="55DEB025">
        <w:rPr>
          <w:b/>
          <w:bCs/>
        </w:rPr>
        <w:fldChar w:fldCharType="separate"/>
      </w:r>
      <w:r w:rsidR="00517691">
        <w:rPr>
          <w:b/>
          <w:bCs/>
          <w:noProof/>
        </w:rPr>
        <w:t>3</w:t>
      </w:r>
      <w:r w:rsidRPr="55DEB025">
        <w:rPr>
          <w:b/>
          <w:bCs/>
        </w:rPr>
        <w:fldChar w:fldCharType="end"/>
      </w:r>
      <w:bookmarkEnd w:id="19"/>
      <w:r w:rsidRPr="55DEB025">
        <w:rPr>
          <w:b/>
          <w:bCs/>
        </w:rPr>
        <w:t>. Crosswalk of required local, regional, and Tribal plans: LHMP, Safety Element, and Climate Action/Adaptation Plans (CAPs)</w:t>
      </w:r>
    </w:p>
    <w:tbl>
      <w:tblPr>
        <w:tblStyle w:val="TableGrid"/>
        <w:tblW w:w="18180" w:type="dxa"/>
        <w:tblInd w:w="-1175" w:type="dxa"/>
        <w:tblLayout w:type="fixed"/>
        <w:tblLook w:val="04A0" w:firstRow="1" w:lastRow="0" w:firstColumn="1" w:lastColumn="0" w:noHBand="0" w:noVBand="1"/>
        <w:tblDescription w:val="Similarities and differences between Local Hazard Mitigation Plans, Tribal Hazard Mitigation Plans, General Plans' Safety Elements, and Climate Action/Adaptation Plans"/>
      </w:tblPr>
      <w:tblGrid>
        <w:gridCol w:w="3060"/>
        <w:gridCol w:w="1890"/>
        <w:gridCol w:w="3330"/>
        <w:gridCol w:w="2520"/>
        <w:gridCol w:w="2520"/>
        <w:gridCol w:w="4860"/>
      </w:tblGrid>
      <w:tr w:rsidR="0009019C" w:rsidRPr="00041D7A" w14:paraId="00FB4A71" w14:textId="77777777" w:rsidTr="00375E61">
        <w:trPr>
          <w:cantSplit/>
          <w:trHeight w:val="864"/>
          <w:tblHeader/>
        </w:trPr>
        <w:tc>
          <w:tcPr>
            <w:tcW w:w="3060" w:type="dxa"/>
            <w:shd w:val="clear" w:color="auto" w:fill="000000" w:themeFill="text1"/>
            <w:vAlign w:val="center"/>
            <w:hideMark/>
          </w:tcPr>
          <w:p w14:paraId="462B8D2F" w14:textId="77777777" w:rsidR="006D5AD4" w:rsidRPr="009E163D" w:rsidRDefault="006D5AD4" w:rsidP="00527A68">
            <w:pPr>
              <w:jc w:val="center"/>
              <w:rPr>
                <w:b/>
              </w:rPr>
            </w:pPr>
            <w:r w:rsidRPr="009E163D">
              <w:rPr>
                <w:b/>
              </w:rPr>
              <w:t>Plan</w:t>
            </w:r>
          </w:p>
        </w:tc>
        <w:tc>
          <w:tcPr>
            <w:tcW w:w="1890" w:type="dxa"/>
            <w:shd w:val="clear" w:color="auto" w:fill="000000" w:themeFill="text1"/>
            <w:vAlign w:val="center"/>
            <w:hideMark/>
          </w:tcPr>
          <w:p w14:paraId="0FD41945" w14:textId="77777777" w:rsidR="006D5AD4" w:rsidRPr="009E163D" w:rsidRDefault="006D5AD4" w:rsidP="00527A68">
            <w:pPr>
              <w:jc w:val="center"/>
              <w:rPr>
                <w:b/>
              </w:rPr>
            </w:pPr>
            <w:r w:rsidRPr="009E163D">
              <w:rPr>
                <w:b/>
              </w:rPr>
              <w:t>Lead</w:t>
            </w:r>
          </w:p>
        </w:tc>
        <w:tc>
          <w:tcPr>
            <w:tcW w:w="3330" w:type="dxa"/>
            <w:shd w:val="clear" w:color="auto" w:fill="000000" w:themeFill="text1"/>
            <w:vAlign w:val="center"/>
          </w:tcPr>
          <w:p w14:paraId="56DA33B2" w14:textId="77777777" w:rsidR="006D5AD4" w:rsidRPr="009E163D" w:rsidRDefault="006D5AD4" w:rsidP="00527A68">
            <w:pPr>
              <w:jc w:val="center"/>
              <w:rPr>
                <w:b/>
              </w:rPr>
            </w:pPr>
            <w:r w:rsidRPr="009E163D">
              <w:rPr>
                <w:b/>
              </w:rPr>
              <w:t>Required?</w:t>
            </w:r>
          </w:p>
        </w:tc>
        <w:tc>
          <w:tcPr>
            <w:tcW w:w="2520" w:type="dxa"/>
            <w:shd w:val="clear" w:color="auto" w:fill="000000" w:themeFill="text1"/>
            <w:vAlign w:val="center"/>
            <w:hideMark/>
          </w:tcPr>
          <w:p w14:paraId="0BFE2662" w14:textId="77777777" w:rsidR="006D5AD4" w:rsidRPr="009E163D" w:rsidRDefault="006D5AD4" w:rsidP="00527A68">
            <w:pPr>
              <w:jc w:val="center"/>
              <w:rPr>
                <w:b/>
              </w:rPr>
            </w:pPr>
            <w:r w:rsidRPr="009E163D">
              <w:rPr>
                <w:b/>
              </w:rPr>
              <w:t>Legislative and Statutory References</w:t>
            </w:r>
          </w:p>
        </w:tc>
        <w:tc>
          <w:tcPr>
            <w:tcW w:w="2520" w:type="dxa"/>
            <w:shd w:val="clear" w:color="auto" w:fill="000000" w:themeFill="text1"/>
            <w:vAlign w:val="center"/>
            <w:hideMark/>
          </w:tcPr>
          <w:p w14:paraId="3013349A" w14:textId="77777777" w:rsidR="006D5AD4" w:rsidRPr="009E163D" w:rsidRDefault="006D5AD4" w:rsidP="00527A68">
            <w:pPr>
              <w:jc w:val="center"/>
              <w:rPr>
                <w:b/>
              </w:rPr>
            </w:pPr>
            <w:r w:rsidRPr="009E163D">
              <w:rPr>
                <w:b/>
              </w:rPr>
              <w:t>Triggers and Timing</w:t>
            </w:r>
          </w:p>
        </w:tc>
        <w:tc>
          <w:tcPr>
            <w:tcW w:w="4860" w:type="dxa"/>
            <w:shd w:val="clear" w:color="auto" w:fill="000000" w:themeFill="text1"/>
            <w:vAlign w:val="center"/>
            <w:hideMark/>
          </w:tcPr>
          <w:p w14:paraId="6BD5B7DB" w14:textId="77777777" w:rsidR="006D5AD4" w:rsidRPr="009E163D" w:rsidRDefault="006D5AD4" w:rsidP="00527A68">
            <w:pPr>
              <w:jc w:val="center"/>
              <w:rPr>
                <w:b/>
              </w:rPr>
            </w:pPr>
            <w:r w:rsidRPr="009E163D">
              <w:rPr>
                <w:b/>
              </w:rPr>
              <w:t>Alignment Opportunities/</w:t>
            </w:r>
            <w:r w:rsidRPr="009E163D">
              <w:rPr>
                <w:b/>
              </w:rPr>
              <w:br/>
              <w:t>Interrelationships</w:t>
            </w:r>
          </w:p>
        </w:tc>
      </w:tr>
      <w:tr w:rsidR="0009019C" w:rsidRPr="00041D7A" w14:paraId="02A90094" w14:textId="77777777" w:rsidTr="00375E61">
        <w:trPr>
          <w:cantSplit/>
          <w:trHeight w:val="4235"/>
        </w:trPr>
        <w:tc>
          <w:tcPr>
            <w:tcW w:w="3060" w:type="dxa"/>
            <w:hideMark/>
          </w:tcPr>
          <w:p w14:paraId="43638A85" w14:textId="77777777" w:rsidR="006D5AD4" w:rsidRPr="00DA6D38" w:rsidRDefault="006D5AD4" w:rsidP="00527A68">
            <w:pPr>
              <w:spacing w:after="160"/>
            </w:pPr>
            <w:r w:rsidRPr="00DA6D38">
              <w:rPr>
                <w:b/>
              </w:rPr>
              <w:t>Local Hazard Mitigation Plan (LHMP):</w:t>
            </w:r>
            <w:r w:rsidRPr="00DA6D38">
              <w:t xml:space="preserve"> Identifies natural hazard risks and vulnerabilities, as well as long-term strategies to protect people, property, and the environment.</w:t>
            </w:r>
          </w:p>
          <w:p w14:paraId="5CC5F65E" w14:textId="77777777" w:rsidR="006D5AD4" w:rsidRPr="00DA6D38" w:rsidRDefault="006D5AD4" w:rsidP="00527A68">
            <w:pPr>
              <w:spacing w:after="160"/>
            </w:pPr>
            <w:r w:rsidRPr="00DA6D38">
              <w:t>May be multi-jurisdictional (e.g., county-wide) and must include jurisdiction-specific content.</w:t>
            </w:r>
          </w:p>
        </w:tc>
        <w:tc>
          <w:tcPr>
            <w:tcW w:w="1890" w:type="dxa"/>
            <w:hideMark/>
          </w:tcPr>
          <w:p w14:paraId="31896897" w14:textId="77777777" w:rsidR="006D5AD4" w:rsidRPr="00DA6D38" w:rsidRDefault="006D5AD4" w:rsidP="00527A68">
            <w:pPr>
              <w:spacing w:after="160"/>
            </w:pPr>
            <w:r w:rsidRPr="00DA6D38">
              <w:t>Local governments, including special districts, and Tribes.</w:t>
            </w:r>
            <w:r w:rsidRPr="00DA6D38">
              <w:rPr>
                <w:rStyle w:val="FootnoteReference"/>
              </w:rPr>
              <w:footnoteReference w:id="2"/>
            </w:r>
          </w:p>
          <w:p w14:paraId="7F7E26AB" w14:textId="77777777" w:rsidR="006D5AD4" w:rsidRPr="00DA6D38" w:rsidRDefault="006D5AD4" w:rsidP="00527A68">
            <w:pPr>
              <w:spacing w:after="160"/>
            </w:pPr>
          </w:p>
        </w:tc>
        <w:tc>
          <w:tcPr>
            <w:tcW w:w="3330" w:type="dxa"/>
          </w:tcPr>
          <w:p w14:paraId="259E68B5" w14:textId="77777777" w:rsidR="006D5AD4" w:rsidRPr="00DA6D38" w:rsidRDefault="006D5AD4" w:rsidP="00527A68">
            <w:pPr>
              <w:spacing w:after="160"/>
            </w:pPr>
            <w:r w:rsidRPr="00DA6D38">
              <w:t>Required for FEMA Hazard Mitigation Assistance eligibility.</w:t>
            </w:r>
          </w:p>
        </w:tc>
        <w:tc>
          <w:tcPr>
            <w:tcW w:w="2520" w:type="dxa"/>
            <w:hideMark/>
          </w:tcPr>
          <w:p w14:paraId="4923A186" w14:textId="685A54F1" w:rsidR="006D5AD4" w:rsidRPr="00DA6D38" w:rsidRDefault="006D5AD4" w:rsidP="00527A68">
            <w:pPr>
              <w:spacing w:after="160"/>
            </w:pPr>
            <w:hyperlink r:id="rId41" w:history="1">
              <w:r w:rsidRPr="00DA6D38">
                <w:rPr>
                  <w:rStyle w:val="Hyperlink"/>
                </w:rPr>
                <w:t>44 CFR § 201.6</w:t>
              </w:r>
            </w:hyperlink>
            <w:r w:rsidRPr="00DA6D38">
              <w:t>,</w:t>
            </w:r>
          </w:p>
          <w:p w14:paraId="76F86D3D" w14:textId="107323F8" w:rsidR="006D5AD4" w:rsidRPr="00DA6D38" w:rsidRDefault="006D5AD4" w:rsidP="00527A68">
            <w:pPr>
              <w:spacing w:after="160"/>
            </w:pPr>
            <w:hyperlink r:id="rId42" w:history="1">
              <w:r w:rsidRPr="00DA6D38">
                <w:rPr>
                  <w:rStyle w:val="Hyperlink"/>
                </w:rPr>
                <w:t>Local Mitigation Planning Policy Guide</w:t>
              </w:r>
            </w:hyperlink>
            <w:r w:rsidRPr="00DA6D38">
              <w:t>,</w:t>
            </w:r>
          </w:p>
          <w:p w14:paraId="3383BC04" w14:textId="6ED7CDD7" w:rsidR="006D5AD4" w:rsidRPr="00DA6D38" w:rsidRDefault="006D5AD4" w:rsidP="00527A68">
            <w:pPr>
              <w:spacing w:after="160"/>
            </w:pPr>
            <w:hyperlink r:id="rId43" w:history="1">
              <w:r w:rsidRPr="00DA6D38">
                <w:rPr>
                  <w:rStyle w:val="Hyperlink"/>
                </w:rPr>
                <w:t>California Gov’t Code §65302(g)(4)</w:t>
              </w:r>
            </w:hyperlink>
            <w:r w:rsidRPr="00DA6D38">
              <w:t>,</w:t>
            </w:r>
          </w:p>
          <w:p w14:paraId="5FD0ACDC" w14:textId="7DDE3299" w:rsidR="006D5AD4" w:rsidRPr="00DA6D38" w:rsidRDefault="006D5AD4" w:rsidP="00527A68">
            <w:pPr>
              <w:spacing w:after="160"/>
            </w:pPr>
            <w:hyperlink r:id="rId44" w:history="1">
              <w:r w:rsidRPr="00DA6D38">
                <w:rPr>
                  <w:rStyle w:val="Hyperlink"/>
                </w:rPr>
                <w:t>AB 2140</w:t>
              </w:r>
            </w:hyperlink>
            <w:r w:rsidRPr="00DA6D38">
              <w:t xml:space="preserve"> (Hancock, 2006)</w:t>
            </w:r>
          </w:p>
          <w:p w14:paraId="638451BB" w14:textId="77777777" w:rsidR="006D5AD4" w:rsidRPr="00DA6D38" w:rsidRDefault="006D5AD4" w:rsidP="00527A68">
            <w:pPr>
              <w:spacing w:after="160"/>
            </w:pPr>
          </w:p>
        </w:tc>
        <w:tc>
          <w:tcPr>
            <w:tcW w:w="2520" w:type="dxa"/>
            <w:hideMark/>
          </w:tcPr>
          <w:p w14:paraId="66405CA8" w14:textId="77777777" w:rsidR="006D5AD4" w:rsidRPr="00DA6D38" w:rsidRDefault="006D5AD4" w:rsidP="00527A68">
            <w:pPr>
              <w:spacing w:after="160"/>
            </w:pPr>
            <w:r w:rsidRPr="00DA6D38">
              <w:t>Must be updated every 5 years (they are generally valid for 5 years. It must be updated and reapproved to maintain eligibility.</w:t>
            </w:r>
          </w:p>
        </w:tc>
        <w:tc>
          <w:tcPr>
            <w:tcW w:w="4860" w:type="dxa"/>
            <w:hideMark/>
          </w:tcPr>
          <w:p w14:paraId="4E2F7E2F" w14:textId="77777777" w:rsidR="006D5AD4" w:rsidRPr="00DA6D38" w:rsidRDefault="006D5AD4" w:rsidP="00527A68">
            <w:pPr>
              <w:spacing w:after="160"/>
            </w:pPr>
            <w:r w:rsidRPr="00DA6D38">
              <w:t xml:space="preserve">Can be used to meet </w:t>
            </w:r>
            <w:r w:rsidRPr="00DA6D38">
              <w:rPr>
                <w:b/>
              </w:rPr>
              <w:t>the Safety Element</w:t>
            </w:r>
            <w:r w:rsidRPr="00DA6D38">
              <w:t xml:space="preserve"> climate adaptation requirements (among other requirements).</w:t>
            </w:r>
          </w:p>
          <w:p w14:paraId="0F08B329" w14:textId="77A8B87E" w:rsidR="006D5AD4" w:rsidRPr="00DA6D38" w:rsidRDefault="006D5AD4" w:rsidP="00527A68">
            <w:pPr>
              <w:pStyle w:val="ListParagraph"/>
              <w:spacing w:after="160"/>
              <w:ind w:left="0"/>
            </w:pPr>
            <w:r w:rsidRPr="00DA6D38">
              <w:t xml:space="preserve">When the LHMP is incorporated into </w:t>
            </w:r>
            <w:r w:rsidRPr="00DA6D38">
              <w:rPr>
                <w:b/>
              </w:rPr>
              <w:t xml:space="preserve">Safety Element, </w:t>
            </w:r>
            <w:r w:rsidRPr="00DA6D38">
              <w:t xml:space="preserve">cities and counties are eligible for increased cost sharing for FEMA Public Assistance (PA) under the California Disaster Assistance Act (CDAA) per California Assembly Bill (AB) 2140. For more information, see the Cal OES </w:t>
            </w:r>
            <w:hyperlink r:id="rId45" w:history="1">
              <w:r w:rsidRPr="00DA6D38">
                <w:rPr>
                  <w:rStyle w:val="Hyperlink"/>
                </w:rPr>
                <w:t>AB2140 Fact Sheet</w:t>
              </w:r>
            </w:hyperlink>
            <w:r w:rsidRPr="00DA6D38">
              <w:t>.</w:t>
            </w:r>
          </w:p>
          <w:p w14:paraId="5BCDD674" w14:textId="77777777" w:rsidR="006D5AD4" w:rsidRPr="00DA6D38" w:rsidRDefault="006D5AD4" w:rsidP="00527A68">
            <w:r w:rsidRPr="00DA6D38">
              <w:t xml:space="preserve">Provides hazard data, risk assessments, and mitigation actions that can be integrated into </w:t>
            </w:r>
            <w:r w:rsidRPr="00DA6D38">
              <w:rPr>
                <w:b/>
              </w:rPr>
              <w:t>CAPs/CAAPs.</w:t>
            </w:r>
          </w:p>
        </w:tc>
      </w:tr>
      <w:tr w:rsidR="00DA6D38" w:rsidRPr="00041D7A" w14:paraId="3505813F" w14:textId="77777777" w:rsidTr="00375E61">
        <w:trPr>
          <w:cantSplit/>
          <w:trHeight w:val="4235"/>
        </w:trPr>
        <w:tc>
          <w:tcPr>
            <w:tcW w:w="3060" w:type="dxa"/>
            <w:shd w:val="clear" w:color="auto" w:fill="D9D9D9" w:themeFill="background1" w:themeFillShade="D9"/>
          </w:tcPr>
          <w:p w14:paraId="16B23730" w14:textId="1175CEDB" w:rsidR="00024CAE" w:rsidRPr="00DA6D38" w:rsidRDefault="00024CAE" w:rsidP="00024CAE">
            <w:pPr>
              <w:rPr>
                <w:b/>
              </w:rPr>
            </w:pPr>
            <w:r w:rsidRPr="00DA6D38">
              <w:rPr>
                <w:b/>
                <w:bCs/>
              </w:rPr>
              <w:t xml:space="preserve">Tribal Hazard Mitigation Plan (THMP): </w:t>
            </w:r>
            <w:r w:rsidRPr="00DA6D38">
              <w:t>Identifies the natural hazards that affect Tribes, identify actions to reduce losses from those hazards, and establish a coordinated process to implement the plan.</w:t>
            </w:r>
          </w:p>
        </w:tc>
        <w:tc>
          <w:tcPr>
            <w:tcW w:w="1890" w:type="dxa"/>
            <w:shd w:val="clear" w:color="auto" w:fill="D9D9D9" w:themeFill="background1" w:themeFillShade="D9"/>
          </w:tcPr>
          <w:p w14:paraId="4DFBE1C9" w14:textId="6F8D751B" w:rsidR="00024CAE" w:rsidRPr="00DA6D38" w:rsidRDefault="00024CAE" w:rsidP="00024CAE">
            <w:r w:rsidRPr="00DA6D38">
              <w:t>Typically, Tribal emergency services, fire, or planning/ community development department.</w:t>
            </w:r>
          </w:p>
        </w:tc>
        <w:tc>
          <w:tcPr>
            <w:tcW w:w="3330" w:type="dxa"/>
            <w:shd w:val="clear" w:color="auto" w:fill="D9D9D9" w:themeFill="background1" w:themeFillShade="D9"/>
          </w:tcPr>
          <w:p w14:paraId="20D28CF0" w14:textId="77777777" w:rsidR="00024CAE" w:rsidRPr="00DA6D38" w:rsidRDefault="00024CAE" w:rsidP="00024CAE">
            <w:r w:rsidRPr="00DA6D38">
              <w:t xml:space="preserve">Required as a condition of receiving non-emergency Stafford Act assistance and FEMA mitigation grants including: </w:t>
            </w:r>
          </w:p>
          <w:p w14:paraId="48759E0A" w14:textId="77777777" w:rsidR="00024CAE" w:rsidRPr="00DA6D38" w:rsidRDefault="00024CAE" w:rsidP="00024CAE">
            <w:r w:rsidRPr="00DA6D38">
              <w:t>Public Assistance C-G (PA C-G)</w:t>
            </w:r>
          </w:p>
          <w:p w14:paraId="633CD114" w14:textId="77777777" w:rsidR="00024CAE" w:rsidRPr="00DA6D38" w:rsidRDefault="00024CAE" w:rsidP="00024CAE">
            <w:r w:rsidRPr="00DA6D38">
              <w:t>Fire Management Assistance Grants (FMAG), Hazard Mitigation Grant Program (HMGP), Pre-Disaster Mitigation (PDM), Flood Mitigation Assistance (FMA).</w:t>
            </w:r>
          </w:p>
          <w:p w14:paraId="5311C272" w14:textId="2F2DD83D" w:rsidR="00024CAE" w:rsidRPr="00DA6D38" w:rsidRDefault="00024CAE" w:rsidP="00024CAE">
            <w:r w:rsidRPr="00DA6D38">
              <w:t>The plan must be approved by FEMA before the grant award is made.</w:t>
            </w:r>
          </w:p>
        </w:tc>
        <w:tc>
          <w:tcPr>
            <w:tcW w:w="2520" w:type="dxa"/>
            <w:shd w:val="clear" w:color="auto" w:fill="D9D9D9" w:themeFill="background1" w:themeFillShade="D9"/>
          </w:tcPr>
          <w:p w14:paraId="0CCD6C30" w14:textId="7A52B699" w:rsidR="00024CAE" w:rsidRPr="00DA6D38" w:rsidRDefault="00024CAE" w:rsidP="00024CAE">
            <w:pPr>
              <w:spacing w:after="160"/>
            </w:pPr>
            <w:hyperlink r:id="rId46" w:history="1">
              <w:r w:rsidRPr="00DA6D38">
                <w:rPr>
                  <w:rStyle w:val="Hyperlink"/>
                  <w:color w:val="3333FF"/>
                </w:rPr>
                <w:t>44 CFR § 201.7</w:t>
              </w:r>
            </w:hyperlink>
            <w:r w:rsidRPr="00DA6D38">
              <w:t>,</w:t>
            </w:r>
          </w:p>
          <w:p w14:paraId="6B5D74DD" w14:textId="32308A48" w:rsidR="00024CAE" w:rsidRPr="00DA6D38" w:rsidRDefault="00024CAE" w:rsidP="00024CAE">
            <w:hyperlink r:id="rId47" w:history="1">
              <w:r w:rsidRPr="00DA6D38">
                <w:rPr>
                  <w:rStyle w:val="Hyperlink"/>
                </w:rPr>
                <w:t xml:space="preserve">Tribal Mitigation Plan Review Guide </w:t>
              </w:r>
            </w:hyperlink>
            <w:r w:rsidRPr="00DA6D38">
              <w:t xml:space="preserve"> </w:t>
            </w:r>
          </w:p>
        </w:tc>
        <w:tc>
          <w:tcPr>
            <w:tcW w:w="2520" w:type="dxa"/>
            <w:shd w:val="clear" w:color="auto" w:fill="D9D9D9" w:themeFill="background1" w:themeFillShade="D9"/>
          </w:tcPr>
          <w:p w14:paraId="7B59403C" w14:textId="2F3C0333" w:rsidR="00024CAE" w:rsidRPr="00DA6D38" w:rsidRDefault="00024CAE" w:rsidP="00024CAE">
            <w:r w:rsidRPr="00DA6D38">
              <w:t>Must be updated every 5 years (they are generally valid for 5 years). It must be updated and reapproved to maintain eligibility.</w:t>
            </w:r>
          </w:p>
        </w:tc>
        <w:tc>
          <w:tcPr>
            <w:tcW w:w="4860" w:type="dxa"/>
            <w:shd w:val="clear" w:color="auto" w:fill="D9D9D9" w:themeFill="background1" w:themeFillShade="D9"/>
          </w:tcPr>
          <w:p w14:paraId="2C537F0A" w14:textId="77777777" w:rsidR="00024CAE" w:rsidRPr="00DA6D38" w:rsidRDefault="00024CAE" w:rsidP="00024CAE">
            <w:pPr>
              <w:spacing w:after="160"/>
              <w:rPr>
                <w:b/>
                <w:bCs/>
              </w:rPr>
            </w:pPr>
            <w:r w:rsidRPr="00DA6D38">
              <w:t xml:space="preserve">Provides hazard data, risk assessments, and mitigation actions that can be integrated with </w:t>
            </w:r>
            <w:r w:rsidRPr="00DA6D38">
              <w:rPr>
                <w:b/>
                <w:bCs/>
              </w:rPr>
              <w:t>CAPs</w:t>
            </w:r>
            <w:r w:rsidRPr="00DA6D38">
              <w:t>.</w:t>
            </w:r>
          </w:p>
          <w:p w14:paraId="2A024B0A" w14:textId="1A3D6F5D" w:rsidR="00024CAE" w:rsidRPr="00DA6D38" w:rsidRDefault="00024CAE" w:rsidP="00024CAE">
            <w:r w:rsidRPr="00DA6D38">
              <w:t xml:space="preserve">May be integrated into a multi-jurisdictional hazard mitigation plan (MJHMP) as an annex. </w:t>
            </w:r>
          </w:p>
        </w:tc>
      </w:tr>
      <w:tr w:rsidR="0009019C" w:rsidRPr="00041D7A" w14:paraId="2C86F9BB" w14:textId="77777777" w:rsidTr="00375E61">
        <w:trPr>
          <w:cantSplit/>
          <w:trHeight w:val="4235"/>
        </w:trPr>
        <w:tc>
          <w:tcPr>
            <w:tcW w:w="3060" w:type="dxa"/>
            <w:shd w:val="clear" w:color="auto" w:fill="FFFFFF" w:themeFill="background1"/>
          </w:tcPr>
          <w:p w14:paraId="0FDDF6E4" w14:textId="2DCC3DFB" w:rsidR="00024CAE" w:rsidRPr="00DA6D38" w:rsidRDefault="00024CAE" w:rsidP="00024CAE">
            <w:pPr>
              <w:rPr>
                <w:b/>
                <w:bCs/>
              </w:rPr>
            </w:pPr>
            <w:r w:rsidRPr="00DA6D38">
              <w:rPr>
                <w:b/>
              </w:rPr>
              <w:lastRenderedPageBreak/>
              <w:t xml:space="preserve">General Plan Safety Element: </w:t>
            </w:r>
            <w:r w:rsidRPr="00DA6D38">
              <w:t>Reduces risk of death, injury, property damage, and economic/social disruption from hazards including fire, flood, drought, earthquakes, landslides, climate change, and other hazards. Guides zoning, land use, and development decisions. Must identify hazards and hazard abatement strategies.</w:t>
            </w:r>
          </w:p>
        </w:tc>
        <w:tc>
          <w:tcPr>
            <w:tcW w:w="1890" w:type="dxa"/>
            <w:shd w:val="clear" w:color="auto" w:fill="FFFFFF" w:themeFill="background1"/>
          </w:tcPr>
          <w:p w14:paraId="5155424C" w14:textId="0F729C0E" w:rsidR="00024CAE" w:rsidRPr="00DA6D38" w:rsidRDefault="00024CAE" w:rsidP="00024CAE">
            <w:r w:rsidRPr="00DA6D38">
              <w:t>City or County planning department.</w:t>
            </w:r>
          </w:p>
        </w:tc>
        <w:tc>
          <w:tcPr>
            <w:tcW w:w="3330" w:type="dxa"/>
            <w:shd w:val="clear" w:color="auto" w:fill="FFFFFF" w:themeFill="background1"/>
          </w:tcPr>
          <w:p w14:paraId="4EDD43A9" w14:textId="3AD97EB5" w:rsidR="00024CAE" w:rsidRPr="00DA6D38" w:rsidRDefault="00024CAE" w:rsidP="00024CAE">
            <w:r w:rsidRPr="00DA6D38">
              <w:t>Required</w:t>
            </w:r>
          </w:p>
        </w:tc>
        <w:tc>
          <w:tcPr>
            <w:tcW w:w="2520" w:type="dxa"/>
            <w:shd w:val="clear" w:color="auto" w:fill="FFFFFF" w:themeFill="background1"/>
          </w:tcPr>
          <w:p w14:paraId="44DEB361" w14:textId="276FCB07" w:rsidR="00024CAE" w:rsidRPr="00DA6D38" w:rsidRDefault="00024CAE" w:rsidP="00024CAE">
            <w:pPr>
              <w:spacing w:after="160"/>
            </w:pPr>
            <w:hyperlink r:id="rId48" w:history="1">
              <w:r w:rsidRPr="00DA6D38">
                <w:rPr>
                  <w:rStyle w:val="Hyperlink"/>
                </w:rPr>
                <w:t>California Gov’t Code §65302(g)(4)</w:t>
              </w:r>
            </w:hyperlink>
            <w:r w:rsidRPr="00DA6D38">
              <w:t>,</w:t>
            </w:r>
          </w:p>
          <w:p w14:paraId="2E9470F9" w14:textId="723F65CD" w:rsidR="00024CAE" w:rsidRPr="00DA6D38" w:rsidRDefault="00024CAE" w:rsidP="00024CAE">
            <w:pPr>
              <w:spacing w:after="160"/>
            </w:pPr>
            <w:hyperlink r:id="rId49" w:history="1">
              <w:r w:rsidRPr="00DA6D38">
                <w:rPr>
                  <w:rStyle w:val="Hyperlink"/>
                </w:rPr>
                <w:t>California General Plan Guidelines</w:t>
              </w:r>
            </w:hyperlink>
            <w:r w:rsidRPr="00DA6D38">
              <w:t>,</w:t>
            </w:r>
          </w:p>
          <w:p w14:paraId="0FBEC70B" w14:textId="4F23B80C" w:rsidR="00024CAE" w:rsidRPr="00DA6D38" w:rsidRDefault="00024CAE" w:rsidP="00024CAE">
            <w:pPr>
              <w:spacing w:after="160"/>
            </w:pPr>
            <w:hyperlink r:id="rId50" w:history="1">
              <w:r w:rsidRPr="00DA6D38">
                <w:rPr>
                  <w:rStyle w:val="Hyperlink"/>
                </w:rPr>
                <w:t>SB 379</w:t>
              </w:r>
            </w:hyperlink>
            <w:r w:rsidRPr="00DA6D38">
              <w:t xml:space="preserve"> (Jackson, 2015),</w:t>
            </w:r>
          </w:p>
          <w:p w14:paraId="24E6A885" w14:textId="651C65A3" w:rsidR="00024CAE" w:rsidRPr="00DA6D38" w:rsidRDefault="00024CAE" w:rsidP="00024CAE">
            <w:pPr>
              <w:spacing w:after="160"/>
            </w:pPr>
            <w:hyperlink r:id="rId51" w:history="1">
              <w:r w:rsidRPr="00DA6D38">
                <w:rPr>
                  <w:rStyle w:val="Hyperlink"/>
                </w:rPr>
                <w:t>SB 1035</w:t>
              </w:r>
            </w:hyperlink>
            <w:r w:rsidRPr="00DA6D38">
              <w:t xml:space="preserve"> (Jackson, 2018),</w:t>
            </w:r>
          </w:p>
          <w:p w14:paraId="1979935F" w14:textId="39C5ABCC" w:rsidR="00024CAE" w:rsidRPr="00DA6D38" w:rsidRDefault="00024CAE" w:rsidP="00024CAE">
            <w:hyperlink r:id="rId52" w:history="1">
              <w:r w:rsidRPr="00DA6D38">
                <w:rPr>
                  <w:rStyle w:val="Hyperlink"/>
                </w:rPr>
                <w:t>AB 2140</w:t>
              </w:r>
            </w:hyperlink>
            <w:r w:rsidRPr="00DA6D38">
              <w:t xml:space="preserve"> (Hancock, 2006)</w:t>
            </w:r>
          </w:p>
        </w:tc>
        <w:tc>
          <w:tcPr>
            <w:tcW w:w="2520" w:type="dxa"/>
            <w:shd w:val="clear" w:color="auto" w:fill="FFFFFF" w:themeFill="background1"/>
          </w:tcPr>
          <w:p w14:paraId="6C7A5AF9" w14:textId="77777777" w:rsidR="00024CAE" w:rsidRPr="00DA6D38" w:rsidRDefault="00024CAE" w:rsidP="00024CAE">
            <w:pPr>
              <w:spacing w:after="160"/>
            </w:pPr>
            <w:r w:rsidRPr="00DA6D38">
              <w:t>Upon the next LHMP update after 1/1/2017, or by 1/1/2022 if no LHMP adopted (SB 379).</w:t>
            </w:r>
          </w:p>
          <w:p w14:paraId="2D00E4EA" w14:textId="77777777" w:rsidR="00024CAE" w:rsidRPr="00DA6D38" w:rsidRDefault="00024CAE" w:rsidP="00024CAE">
            <w:pPr>
              <w:spacing w:after="160"/>
            </w:pPr>
            <w:r w:rsidRPr="00DA6D38">
              <w:t>Upon the next General Plan’s Housing Element update + review and update upon future housing element updates (SB 1035).</w:t>
            </w:r>
          </w:p>
          <w:p w14:paraId="68176958" w14:textId="165AB290" w:rsidR="00024CAE" w:rsidRPr="00DA6D38" w:rsidRDefault="00024CAE" w:rsidP="00024CAE">
            <w:r w:rsidRPr="00DA6D38">
              <w:t>Updated with general Plan cycle (varies by jurisdiction).</w:t>
            </w:r>
          </w:p>
        </w:tc>
        <w:tc>
          <w:tcPr>
            <w:tcW w:w="4860" w:type="dxa"/>
            <w:shd w:val="clear" w:color="auto" w:fill="FFFFFF" w:themeFill="background1"/>
          </w:tcPr>
          <w:p w14:paraId="3080F1B7" w14:textId="77777777" w:rsidR="00024CAE" w:rsidRPr="00DA6D38" w:rsidRDefault="00024CAE" w:rsidP="00024CAE">
            <w:pPr>
              <w:spacing w:after="160"/>
            </w:pPr>
            <w:r w:rsidRPr="00DA6D38">
              <w:rPr>
                <w:b/>
              </w:rPr>
              <w:t xml:space="preserve">LHMP </w:t>
            </w:r>
            <w:r w:rsidRPr="00DA6D38">
              <w:t>and/or</w:t>
            </w:r>
            <w:r w:rsidRPr="00DA6D38">
              <w:rPr>
                <w:b/>
              </w:rPr>
              <w:t xml:space="preserve"> CAPs</w:t>
            </w:r>
            <w:r w:rsidRPr="00DA6D38">
              <w:t xml:space="preserve"> can be used to meet </w:t>
            </w:r>
            <w:r w:rsidRPr="00DA6D38">
              <w:rPr>
                <w:b/>
                <w:bCs/>
              </w:rPr>
              <w:t>Safety Element</w:t>
            </w:r>
            <w:r w:rsidRPr="00DA6D38">
              <w:t xml:space="preserve"> climate adaptation requirements.</w:t>
            </w:r>
          </w:p>
          <w:p w14:paraId="5DC5C42F" w14:textId="77777777" w:rsidR="00024CAE" w:rsidRPr="00DA6D38" w:rsidRDefault="00024CAE" w:rsidP="00024CAE">
            <w:pPr>
              <w:spacing w:after="160"/>
            </w:pPr>
            <w:r w:rsidRPr="00DA6D38">
              <w:t>Information on development trends,</w:t>
            </w:r>
            <w:r w:rsidRPr="00DA6D38">
              <w:rPr>
                <w:spacing w:val="-7"/>
              </w:rPr>
              <w:t xml:space="preserve"> </w:t>
            </w:r>
            <w:r w:rsidRPr="00DA6D38">
              <w:t>goals</w:t>
            </w:r>
            <w:r w:rsidRPr="00DA6D38">
              <w:rPr>
                <w:spacing w:val="-7"/>
              </w:rPr>
              <w:t xml:space="preserve"> </w:t>
            </w:r>
            <w:r w:rsidRPr="00DA6D38">
              <w:t>and</w:t>
            </w:r>
            <w:r w:rsidRPr="00DA6D38">
              <w:rPr>
                <w:spacing w:val="-7"/>
              </w:rPr>
              <w:t xml:space="preserve"> </w:t>
            </w:r>
            <w:r w:rsidRPr="00DA6D38">
              <w:t>policies,</w:t>
            </w:r>
            <w:r w:rsidRPr="00DA6D38">
              <w:rPr>
                <w:spacing w:val="-6"/>
              </w:rPr>
              <w:t xml:space="preserve"> </w:t>
            </w:r>
            <w:r w:rsidRPr="00DA6D38">
              <w:t>land</w:t>
            </w:r>
            <w:r w:rsidRPr="00DA6D38">
              <w:rPr>
                <w:spacing w:val="-7"/>
              </w:rPr>
              <w:t xml:space="preserve"> </w:t>
            </w:r>
            <w:r w:rsidRPr="00DA6D38">
              <w:t>use</w:t>
            </w:r>
            <w:r w:rsidRPr="00DA6D38">
              <w:rPr>
                <w:spacing w:val="-8"/>
              </w:rPr>
              <w:t xml:space="preserve"> </w:t>
            </w:r>
            <w:r w:rsidRPr="00DA6D38">
              <w:t xml:space="preserve">plans, and other ordinances that support risk </w:t>
            </w:r>
            <w:r w:rsidRPr="00DA6D38">
              <w:rPr>
                <w:spacing w:val="-2"/>
              </w:rPr>
              <w:t>reduction can be integrated into LHMP.</w:t>
            </w:r>
          </w:p>
          <w:p w14:paraId="07041C97" w14:textId="48772A0D" w:rsidR="00024CAE" w:rsidRPr="00DA6D38" w:rsidRDefault="00024CAE" w:rsidP="00024CAE">
            <w:pPr>
              <w:pStyle w:val="ListParagraph"/>
              <w:spacing w:after="160"/>
              <w:ind w:left="0"/>
            </w:pPr>
            <w:r w:rsidRPr="00DA6D38">
              <w:t xml:space="preserve">When the LHMP is incorporated into </w:t>
            </w:r>
            <w:r w:rsidRPr="00DA6D38">
              <w:rPr>
                <w:b/>
              </w:rPr>
              <w:t xml:space="preserve">Safety Element, </w:t>
            </w:r>
            <w:r w:rsidRPr="00DA6D38">
              <w:t xml:space="preserve">cities and counties are eligible for increased cost sharing for FEMA Public Assistance (PA) under the California Disaster Assistance Act (CDAA) (AB 2140). For more information, see the Cal OES </w:t>
            </w:r>
            <w:hyperlink r:id="rId53" w:history="1">
              <w:r w:rsidRPr="00DA6D38">
                <w:rPr>
                  <w:rStyle w:val="Hyperlink"/>
                </w:rPr>
                <w:t>AB2140 Fact Sheet</w:t>
              </w:r>
            </w:hyperlink>
            <w:r w:rsidRPr="00DA6D38">
              <w:t>.</w:t>
            </w:r>
          </w:p>
          <w:p w14:paraId="653139E5" w14:textId="77777777" w:rsidR="00024CAE" w:rsidRPr="00DA6D38" w:rsidRDefault="00024CAE" w:rsidP="00024CAE"/>
        </w:tc>
      </w:tr>
      <w:tr w:rsidR="0009019C" w:rsidRPr="00041D7A" w14:paraId="1ABE20F6" w14:textId="77777777" w:rsidTr="00375E61">
        <w:trPr>
          <w:cantSplit/>
          <w:trHeight w:val="4235"/>
        </w:trPr>
        <w:tc>
          <w:tcPr>
            <w:tcW w:w="3060" w:type="dxa"/>
            <w:shd w:val="clear" w:color="auto" w:fill="D9D9D9" w:themeFill="background1" w:themeFillShade="D9"/>
          </w:tcPr>
          <w:p w14:paraId="017006F8" w14:textId="5237B041" w:rsidR="00024CAE" w:rsidRPr="00DA6D38" w:rsidRDefault="00024CAE" w:rsidP="00024CAE">
            <w:pPr>
              <w:rPr>
                <w:b/>
                <w:bCs/>
              </w:rPr>
            </w:pPr>
            <w:r w:rsidRPr="00DA6D38">
              <w:rPr>
                <w:b/>
              </w:rPr>
              <w:t xml:space="preserve">Climate Action/Adaptation Plan (CAP or CAAP): </w:t>
            </w:r>
            <w:r w:rsidRPr="00DA6D38">
              <w:t xml:space="preserve">Evaluates and prioritizes actions to prepare for and respond to climate impacts (e.g., sea level rise, extreme heat, wildfire, drought). </w:t>
            </w:r>
          </w:p>
        </w:tc>
        <w:tc>
          <w:tcPr>
            <w:tcW w:w="1890" w:type="dxa"/>
            <w:shd w:val="clear" w:color="auto" w:fill="D9D9D9" w:themeFill="background1" w:themeFillShade="D9"/>
          </w:tcPr>
          <w:p w14:paraId="3D7180DC" w14:textId="77777777" w:rsidR="00024CAE" w:rsidRPr="00DA6D38" w:rsidRDefault="00024CAE" w:rsidP="00024CAE">
            <w:r w:rsidRPr="00DA6D38">
              <w:t xml:space="preserve">Varies. </w:t>
            </w:r>
          </w:p>
          <w:p w14:paraId="41C8055A" w14:textId="46694A31" w:rsidR="00024CAE" w:rsidRPr="00DA6D38" w:rsidRDefault="00024CAE" w:rsidP="00024CAE">
            <w:r w:rsidRPr="00DA6D38">
              <w:t xml:space="preserve">Typically planning department, sustainability office, regional government or Tribe. </w:t>
            </w:r>
          </w:p>
        </w:tc>
        <w:tc>
          <w:tcPr>
            <w:tcW w:w="3330" w:type="dxa"/>
            <w:shd w:val="clear" w:color="auto" w:fill="D9D9D9" w:themeFill="background1" w:themeFillShade="D9"/>
          </w:tcPr>
          <w:p w14:paraId="31821C73" w14:textId="50502493" w:rsidR="00024CAE" w:rsidRPr="00DA6D38" w:rsidRDefault="00024CAE" w:rsidP="00024CAE">
            <w:r w:rsidRPr="00DA6D38">
              <w:t>No</w:t>
            </w:r>
          </w:p>
        </w:tc>
        <w:tc>
          <w:tcPr>
            <w:tcW w:w="2520" w:type="dxa"/>
            <w:shd w:val="clear" w:color="auto" w:fill="D9D9D9" w:themeFill="background1" w:themeFillShade="D9"/>
          </w:tcPr>
          <w:p w14:paraId="2D97EF06" w14:textId="552ED513" w:rsidR="00024CAE" w:rsidRPr="00DA6D38" w:rsidRDefault="00024CAE" w:rsidP="00024CAE">
            <w:pPr>
              <w:spacing w:after="160"/>
            </w:pPr>
            <w:hyperlink r:id="rId54" w:history="1">
              <w:r w:rsidRPr="00DA6D38">
                <w:rPr>
                  <w:rStyle w:val="Hyperlink"/>
                </w:rPr>
                <w:t>SB 379</w:t>
              </w:r>
            </w:hyperlink>
            <w:r w:rsidRPr="00DA6D38">
              <w:t>(Jackson, 2015),</w:t>
            </w:r>
          </w:p>
          <w:p w14:paraId="678A230B" w14:textId="23523D14" w:rsidR="00024CAE" w:rsidRPr="00DA6D38" w:rsidRDefault="00024CAE" w:rsidP="00024CAE">
            <w:hyperlink r:id="rId55" w:history="1">
              <w:r w:rsidRPr="00DA6D38">
                <w:rPr>
                  <w:rStyle w:val="Hyperlink"/>
                </w:rPr>
                <w:t>SB 1035</w:t>
              </w:r>
            </w:hyperlink>
            <w:r w:rsidRPr="00DA6D38">
              <w:t xml:space="preserve"> (Jackson, 2018)</w:t>
            </w:r>
          </w:p>
        </w:tc>
        <w:tc>
          <w:tcPr>
            <w:tcW w:w="2520" w:type="dxa"/>
            <w:shd w:val="clear" w:color="auto" w:fill="D9D9D9" w:themeFill="background1" w:themeFillShade="D9"/>
          </w:tcPr>
          <w:p w14:paraId="396F50D6" w14:textId="40A08BA1" w:rsidR="00024CAE" w:rsidRPr="00DA6D38" w:rsidRDefault="00024CAE" w:rsidP="00024CAE">
            <w:r w:rsidRPr="00DA6D38">
              <w:t>No fixed schedule. Often aligned with general plan or funding cycles (typically 3–5 years).</w:t>
            </w:r>
          </w:p>
        </w:tc>
        <w:tc>
          <w:tcPr>
            <w:tcW w:w="4860" w:type="dxa"/>
            <w:shd w:val="clear" w:color="auto" w:fill="D9D9D9" w:themeFill="background1" w:themeFillShade="D9"/>
          </w:tcPr>
          <w:p w14:paraId="6A1974FB" w14:textId="77777777" w:rsidR="00024CAE" w:rsidRPr="00DA6D38" w:rsidRDefault="00024CAE" w:rsidP="00024CAE">
            <w:pPr>
              <w:spacing w:after="160"/>
            </w:pPr>
            <w:r w:rsidRPr="00DA6D38">
              <w:t xml:space="preserve">Can be used to meet the </w:t>
            </w:r>
            <w:r w:rsidRPr="00DA6D38">
              <w:rPr>
                <w:b/>
              </w:rPr>
              <w:t>Safety Element</w:t>
            </w:r>
            <w:r w:rsidRPr="00DA6D38">
              <w:t xml:space="preserve"> climate adaptation requirements by integrating into the general plan.</w:t>
            </w:r>
          </w:p>
          <w:p w14:paraId="7E7CF489" w14:textId="6DA9A4B0" w:rsidR="00024CAE" w:rsidRPr="00DA6D38" w:rsidRDefault="00024CAE" w:rsidP="00024CAE">
            <w:r w:rsidRPr="00DA6D38">
              <w:t>Detailed</w:t>
            </w:r>
            <w:r w:rsidRPr="00DA6D38">
              <w:rPr>
                <w:spacing w:val="-13"/>
              </w:rPr>
              <w:t xml:space="preserve"> </w:t>
            </w:r>
            <w:r w:rsidRPr="00DA6D38">
              <w:t>climate</w:t>
            </w:r>
            <w:r w:rsidRPr="00DA6D38">
              <w:rPr>
                <w:spacing w:val="-14"/>
              </w:rPr>
              <w:t xml:space="preserve"> </w:t>
            </w:r>
            <w:r w:rsidRPr="00DA6D38">
              <w:t>projections;</w:t>
            </w:r>
            <w:r w:rsidRPr="00DA6D38">
              <w:rPr>
                <w:spacing w:val="-12"/>
              </w:rPr>
              <w:t xml:space="preserve"> </w:t>
            </w:r>
            <w:r w:rsidRPr="00DA6D38">
              <w:t xml:space="preserve">descriptions of climate risks; existing climate-related goals and actions can be integrated into </w:t>
            </w:r>
            <w:r w:rsidRPr="00DA6D38">
              <w:rPr>
                <w:b/>
              </w:rPr>
              <w:t>LHMPs</w:t>
            </w:r>
            <w:r w:rsidRPr="00DA6D38">
              <w:t>.</w:t>
            </w:r>
          </w:p>
        </w:tc>
      </w:tr>
    </w:tbl>
    <w:p w14:paraId="54A70AD2" w14:textId="7639C359" w:rsidR="009E29D3" w:rsidRDefault="009E29D3"/>
    <w:p w14:paraId="29F375E0" w14:textId="77777777" w:rsidR="006D5AD4" w:rsidRDefault="006D5AD4" w:rsidP="007D0D25">
      <w:pPr>
        <w:spacing w:before="160" w:line="240" w:lineRule="auto"/>
        <w:ind w:left="720"/>
      </w:pPr>
    </w:p>
    <w:p w14:paraId="2FF85D87" w14:textId="77777777" w:rsidR="00815985" w:rsidRDefault="00815985">
      <w:pPr>
        <w:rPr>
          <w:rFonts w:eastAsiaTheme="majorEastAsia" w:cstheme="majorBidi"/>
          <w:b/>
          <w:color w:val="0F4761" w:themeColor="accent1" w:themeShade="BF"/>
          <w:sz w:val="36"/>
          <w:szCs w:val="26"/>
        </w:rPr>
      </w:pPr>
      <w:r>
        <w:br w:type="page"/>
      </w:r>
    </w:p>
    <w:p w14:paraId="5503B9F0" w14:textId="77777777" w:rsidR="00DA6D38" w:rsidRDefault="00DA6D38">
      <w:pPr>
        <w:rPr>
          <w:rFonts w:eastAsiaTheme="majorEastAsia" w:cstheme="majorBidi"/>
          <w:b/>
          <w:color w:val="0F4761" w:themeColor="accent1" w:themeShade="BF"/>
          <w:sz w:val="36"/>
          <w:szCs w:val="26"/>
        </w:rPr>
        <w:sectPr w:rsidR="00DA6D38" w:rsidSect="00DA6D38">
          <w:headerReference w:type="default" r:id="rId56"/>
          <w:pgSz w:w="18720" w:h="15840" w:code="1"/>
          <w:pgMar w:top="1440" w:right="1440" w:bottom="1440" w:left="1440" w:header="720" w:footer="720" w:gutter="0"/>
          <w:cols w:space="720"/>
          <w:docGrid w:linePitch="360"/>
        </w:sectPr>
      </w:pPr>
    </w:p>
    <w:p w14:paraId="0FCD1C80" w14:textId="061724F6" w:rsidR="007F0E62" w:rsidRDefault="007F0E62">
      <w:pPr>
        <w:rPr>
          <w:rFonts w:eastAsiaTheme="majorEastAsia" w:cstheme="majorBidi"/>
          <w:b/>
          <w:color w:val="0F4761" w:themeColor="accent1" w:themeShade="BF"/>
          <w:sz w:val="36"/>
          <w:szCs w:val="26"/>
        </w:rPr>
      </w:pPr>
    </w:p>
    <w:p w14:paraId="2805885D" w14:textId="28138474" w:rsidR="000A729A" w:rsidRDefault="003505FA" w:rsidP="008306CF">
      <w:pPr>
        <w:pStyle w:val="Heading2"/>
        <w:spacing w:before="160" w:after="160" w:line="240" w:lineRule="auto"/>
        <w:rPr>
          <w:spacing w:val="-2"/>
        </w:rPr>
      </w:pPr>
      <w:bookmarkStart w:id="20" w:name="_Toc235802663"/>
      <w:r>
        <w:t>What</w:t>
      </w:r>
      <w:r>
        <w:rPr>
          <w:spacing w:val="-15"/>
        </w:rPr>
        <w:t xml:space="preserve"> </w:t>
      </w:r>
      <w:r>
        <w:t>Is</w:t>
      </w:r>
      <w:r>
        <w:rPr>
          <w:spacing w:val="-12"/>
        </w:rPr>
        <w:t xml:space="preserve"> </w:t>
      </w:r>
      <w:r>
        <w:t>Climate</w:t>
      </w:r>
      <w:r>
        <w:rPr>
          <w:spacing w:val="-12"/>
        </w:rPr>
        <w:t xml:space="preserve"> </w:t>
      </w:r>
      <w:r>
        <w:t>Adaptation</w:t>
      </w:r>
      <w:r>
        <w:rPr>
          <w:spacing w:val="-12"/>
        </w:rPr>
        <w:t xml:space="preserve"> </w:t>
      </w:r>
      <w:r>
        <w:rPr>
          <w:spacing w:val="-2"/>
        </w:rPr>
        <w:t>Planning?</w:t>
      </w:r>
      <w:bookmarkEnd w:id="20"/>
    </w:p>
    <w:p w14:paraId="774D2BC7" w14:textId="497819EE" w:rsidR="000A729A" w:rsidRPr="002029C9" w:rsidRDefault="10DB98AC" w:rsidP="008306CF">
      <w:pPr>
        <w:pStyle w:val="BodyText"/>
        <w:spacing w:before="160" w:line="240" w:lineRule="auto"/>
      </w:pPr>
      <w:r>
        <w:t xml:space="preserve">In this guide, </w:t>
      </w:r>
      <w:r>
        <w:rPr>
          <w:b/>
        </w:rPr>
        <w:t>climate adaptation planning</w:t>
      </w:r>
      <w:r>
        <w:t xml:space="preserve"> is a structured process for identifying threats and hazards that could affect a community under current and future climate conditions. It helps communities understand the risks these hazards pose and take steps to avoid or minimize climate-related impacts.</w:t>
      </w:r>
    </w:p>
    <w:p w14:paraId="669562E2" w14:textId="11CE6A46" w:rsidR="000A729A" w:rsidRPr="002029C9" w:rsidRDefault="000A729A" w:rsidP="008306CF">
      <w:pPr>
        <w:pStyle w:val="BodyText"/>
        <w:spacing w:before="160" w:line="240" w:lineRule="auto"/>
      </w:pPr>
      <w:r>
        <w:t>In practice, adaptation means planning for future conditions rather than past trends, reducing vulnerability before disasters occur, and making long-term decisions that protect lives, livelihoods, and community systems.</w:t>
      </w:r>
    </w:p>
    <w:p w14:paraId="0BFF6008" w14:textId="5CDAF5F8" w:rsidR="000A729A" w:rsidRPr="002029C9" w:rsidRDefault="000A729A" w:rsidP="008306CF">
      <w:pPr>
        <w:pStyle w:val="BodyText"/>
        <w:spacing w:before="160" w:line="240" w:lineRule="auto"/>
      </w:pPr>
      <w:r>
        <w:t xml:space="preserve">Climate adaptation planning allows communities to identify </w:t>
      </w:r>
      <w:r>
        <w:rPr>
          <w:spacing w:val="-2"/>
        </w:rPr>
        <w:t xml:space="preserve">risks </w:t>
      </w:r>
      <w:r>
        <w:t>unique</w:t>
      </w:r>
      <w:r>
        <w:rPr>
          <w:spacing w:val="-2"/>
          <w:szCs w:val="24"/>
        </w:rPr>
        <w:t xml:space="preserve"> </w:t>
      </w:r>
      <w:r>
        <w:t>to</w:t>
      </w:r>
      <w:r>
        <w:rPr>
          <w:spacing w:val="-2"/>
          <w:szCs w:val="24"/>
        </w:rPr>
        <w:t xml:space="preserve"> </w:t>
      </w:r>
      <w:r>
        <w:t>their</w:t>
      </w:r>
      <w:r>
        <w:rPr>
          <w:spacing w:val="-2"/>
        </w:rPr>
        <w:t xml:space="preserve"> geography, populations, and built environments</w:t>
      </w:r>
      <w:r>
        <w:rPr>
          <w:spacing w:val="-2"/>
          <w:szCs w:val="24"/>
        </w:rPr>
        <w:t xml:space="preserve"> </w:t>
      </w:r>
      <w:r>
        <w:t>and</w:t>
      </w:r>
      <w:r>
        <w:rPr>
          <w:spacing w:val="-2"/>
          <w:szCs w:val="24"/>
        </w:rPr>
        <w:t xml:space="preserve"> </w:t>
      </w:r>
      <w:r>
        <w:t>to prepare</w:t>
      </w:r>
      <w:r>
        <w:rPr>
          <w:spacing w:val="-2"/>
          <w:szCs w:val="24"/>
        </w:rPr>
        <w:t xml:space="preserve"> </w:t>
      </w:r>
      <w:r>
        <w:t>for</w:t>
      </w:r>
      <w:r>
        <w:rPr>
          <w:spacing w:val="-2"/>
          <w:szCs w:val="24"/>
        </w:rPr>
        <w:t xml:space="preserve"> </w:t>
      </w:r>
      <w:r>
        <w:t>these</w:t>
      </w:r>
      <w:r>
        <w:rPr>
          <w:spacing w:val="-2"/>
          <w:szCs w:val="24"/>
        </w:rPr>
        <w:t xml:space="preserve"> </w:t>
      </w:r>
      <w:r>
        <w:t>conditions</w:t>
      </w:r>
      <w:r>
        <w:rPr>
          <w:spacing w:val="-2"/>
          <w:szCs w:val="24"/>
        </w:rPr>
        <w:t xml:space="preserve"> </w:t>
      </w:r>
      <w:r>
        <w:t>before</w:t>
      </w:r>
      <w:r>
        <w:rPr>
          <w:spacing w:val="-2"/>
          <w:szCs w:val="24"/>
        </w:rPr>
        <w:t xml:space="preserve"> </w:t>
      </w:r>
      <w:r>
        <w:t>they</w:t>
      </w:r>
      <w:r>
        <w:rPr>
          <w:spacing w:val="-2"/>
          <w:szCs w:val="24"/>
        </w:rPr>
        <w:t xml:space="preserve"> </w:t>
      </w:r>
      <w:r>
        <w:t>occur.</w:t>
      </w:r>
    </w:p>
    <w:p w14:paraId="2EFE218F" w14:textId="77777777" w:rsidR="00375E61" w:rsidRDefault="00CC659F" w:rsidP="00375E61">
      <w:pPr>
        <w:pStyle w:val="BodyText"/>
        <w:spacing w:before="160" w:line="240" w:lineRule="auto"/>
      </w:pPr>
      <w:r>
        <w:t>This</w:t>
      </w:r>
      <w:r>
        <w:rPr>
          <w:spacing w:val="-2"/>
          <w:szCs w:val="24"/>
        </w:rPr>
        <w:t xml:space="preserve"> </w:t>
      </w:r>
      <w:r>
        <w:t>planning process</w:t>
      </w:r>
      <w:r>
        <w:rPr>
          <w:spacing w:val="-2"/>
          <w:szCs w:val="24"/>
        </w:rPr>
        <w:t xml:space="preserve"> </w:t>
      </w:r>
      <w:r>
        <w:t xml:space="preserve">can be conducted as a stand-alone effort or integrated across plans, programs, departments, and sectors to support an effective, coordinated approach. </w:t>
      </w:r>
    </w:p>
    <w:p w14:paraId="2E479F7D" w14:textId="77777777" w:rsidR="00375E61" w:rsidRDefault="00375E61" w:rsidP="00375E61">
      <w:pPr>
        <w:pStyle w:val="BodyText"/>
        <w:spacing w:before="160" w:line="240" w:lineRule="auto"/>
      </w:pPr>
    </w:p>
    <w:p w14:paraId="7317845F" w14:textId="7EDFCD30" w:rsidR="00283E56" w:rsidRPr="00375E61" w:rsidRDefault="000D167C" w:rsidP="00375E61">
      <w:pPr>
        <w:pStyle w:val="BodyText"/>
        <w:spacing w:before="160" w:line="240" w:lineRule="auto"/>
        <w:rPr>
          <w:b/>
          <w:bCs/>
          <w:color w:val="0F4761" w:themeColor="accent1" w:themeShade="BF"/>
          <w:sz w:val="36"/>
          <w:szCs w:val="32"/>
        </w:rPr>
      </w:pPr>
      <w:r w:rsidRPr="00375E61">
        <w:rPr>
          <w:b/>
          <w:bCs/>
          <w:color w:val="0F4761" w:themeColor="accent1" w:themeShade="BF"/>
          <w:sz w:val="36"/>
          <w:szCs w:val="32"/>
        </w:rPr>
        <w:t>How is Climate Adaptation Related to Natural Hazard Mitigation?</w:t>
      </w:r>
    </w:p>
    <w:p w14:paraId="0BDFF635" w14:textId="77777777" w:rsidR="009B6527" w:rsidRDefault="009B6527" w:rsidP="009B6527">
      <w:pPr>
        <w:pStyle w:val="BodyText"/>
        <w:spacing w:before="160" w:line="240" w:lineRule="auto"/>
      </w:pPr>
      <w:r>
        <w:t xml:space="preserve">A common framework used in emergency management is the emergency management cycle, which consists of four interconnected phases: </w:t>
      </w:r>
    </w:p>
    <w:p w14:paraId="084D863F" w14:textId="3C6D87F8" w:rsidR="00283E56" w:rsidRDefault="00283E56" w:rsidP="009B6527">
      <w:pPr>
        <w:pStyle w:val="BodyText"/>
        <w:numPr>
          <w:ilvl w:val="0"/>
          <w:numId w:val="5"/>
        </w:numPr>
        <w:spacing w:before="160" w:line="240" w:lineRule="auto"/>
      </w:pPr>
      <w:r>
        <w:rPr>
          <w:b/>
          <w:bCs/>
        </w:rPr>
        <w:t xml:space="preserve">Hazard Mitigation: </w:t>
      </w:r>
      <w:r>
        <w:rPr>
          <w:spacing w:val="-6"/>
        </w:rPr>
        <w:t>Any sustainable action that reduces or eliminates long-term risk to people, property, and the environment from future disasters. Mitigation planning breaks the cycle of disaster damage, reconstruction, and repeated damage. Hazard mitigation can be one component of climate change adaptation (</w:t>
      </w:r>
      <w:hyperlink r:id="rId57" w:tgtFrame="_blank" w:tooltip="https://www.caloes.ca.gov/wp-content/uploads/hazard-mitigation/documents/2025-fema-local-mitigation-planning-policy-guide.pdf" w:history="1">
        <w:r>
          <w:rPr>
            <w:rStyle w:val="Hyperlink"/>
            <w:spacing w:val="-6"/>
          </w:rPr>
          <w:t>FEMA, 2025</w:t>
        </w:r>
      </w:hyperlink>
      <w:r>
        <w:rPr>
          <w:spacing w:val="-6"/>
        </w:rPr>
        <w:t>).</w:t>
      </w:r>
    </w:p>
    <w:p w14:paraId="2123DAAF" w14:textId="38D8781C" w:rsidR="00283E56" w:rsidRDefault="00283E56" w:rsidP="00DB77FE">
      <w:pPr>
        <w:pStyle w:val="ListParagraph"/>
        <w:numPr>
          <w:ilvl w:val="0"/>
          <w:numId w:val="5"/>
        </w:numPr>
        <w:spacing w:before="160" w:line="240" w:lineRule="auto"/>
      </w:pPr>
      <w:r>
        <w:rPr>
          <w:b/>
          <w:bCs/>
        </w:rPr>
        <w:t>Preparedness:</w:t>
      </w:r>
      <w:r>
        <w:rPr>
          <w:b/>
          <w:bCs/>
          <w:spacing w:val="-4"/>
        </w:rPr>
        <w:t xml:space="preserve"> </w:t>
      </w:r>
      <w:r>
        <w:t>Planning</w:t>
      </w:r>
      <w:r>
        <w:rPr>
          <w:spacing w:val="-4"/>
        </w:rPr>
        <w:t xml:space="preserve"> </w:t>
      </w:r>
      <w:r>
        <w:t>to</w:t>
      </w:r>
      <w:r>
        <w:rPr>
          <w:spacing w:val="-4"/>
        </w:rPr>
        <w:t xml:space="preserve"> </w:t>
      </w:r>
      <w:r>
        <w:t>ensure</w:t>
      </w:r>
      <w:r>
        <w:rPr>
          <w:spacing w:val="-4"/>
        </w:rPr>
        <w:t xml:space="preserve"> </w:t>
      </w:r>
      <w:r>
        <w:t>that</w:t>
      </w:r>
      <w:r>
        <w:rPr>
          <w:spacing w:val="-4"/>
        </w:rPr>
        <w:t xml:space="preserve"> </w:t>
      </w:r>
      <w:r>
        <w:t>activities,</w:t>
      </w:r>
      <w:r>
        <w:rPr>
          <w:spacing w:val="-4"/>
        </w:rPr>
        <w:t xml:space="preserve"> </w:t>
      </w:r>
      <w:r>
        <w:t>programs,</w:t>
      </w:r>
      <w:r>
        <w:rPr>
          <w:spacing w:val="-4"/>
        </w:rPr>
        <w:t xml:space="preserve"> </w:t>
      </w:r>
      <w:r>
        <w:t>and</w:t>
      </w:r>
      <w:r>
        <w:rPr>
          <w:spacing w:val="-4"/>
        </w:rPr>
        <w:t xml:space="preserve"> </w:t>
      </w:r>
      <w:r>
        <w:t>resources</w:t>
      </w:r>
      <w:r>
        <w:rPr>
          <w:spacing w:val="-4"/>
        </w:rPr>
        <w:t xml:space="preserve"> </w:t>
      </w:r>
      <w:r>
        <w:t>are</w:t>
      </w:r>
      <w:r>
        <w:rPr>
          <w:spacing w:val="-4"/>
        </w:rPr>
        <w:t xml:space="preserve"> </w:t>
      </w:r>
      <w:r>
        <w:t>in place to support immediate disaster response and long-term recovery</w:t>
      </w:r>
    </w:p>
    <w:p w14:paraId="77891D19" w14:textId="3E4BE578" w:rsidR="00283E56" w:rsidRDefault="00283E56" w:rsidP="00DB77FE">
      <w:pPr>
        <w:pStyle w:val="ListParagraph"/>
        <w:numPr>
          <w:ilvl w:val="0"/>
          <w:numId w:val="5"/>
        </w:numPr>
        <w:spacing w:before="160" w:line="240" w:lineRule="auto"/>
      </w:pPr>
      <w:r>
        <w:rPr>
          <w:b/>
          <w:bCs/>
        </w:rPr>
        <w:t>Response:</w:t>
      </w:r>
      <w:r>
        <w:t xml:space="preserve"> Measures implemented during or immediately after a disaster to minimize harm to people, focusing on short-term needs such as food, water, shelter, and medical care</w:t>
      </w:r>
    </w:p>
    <w:p w14:paraId="178A0062" w14:textId="02C8BDB8" w:rsidR="00F444D0" w:rsidRDefault="00283E56" w:rsidP="00883C53">
      <w:pPr>
        <w:pStyle w:val="ListParagraph"/>
        <w:numPr>
          <w:ilvl w:val="0"/>
          <w:numId w:val="5"/>
        </w:numPr>
        <w:spacing w:line="240" w:lineRule="auto"/>
        <w:contextualSpacing w:val="0"/>
      </w:pPr>
      <w:r>
        <w:rPr>
          <w:b/>
          <w:bCs/>
        </w:rPr>
        <w:t xml:space="preserve">Recovery: </w:t>
      </w:r>
      <w:r>
        <w:t>Actions that occur after a disaster to restore the community to a normal</w:t>
      </w:r>
      <w:r>
        <w:rPr>
          <w:spacing w:val="-6"/>
        </w:rPr>
        <w:t xml:space="preserve"> </w:t>
      </w:r>
      <w:r>
        <w:t>state,</w:t>
      </w:r>
      <w:r>
        <w:rPr>
          <w:spacing w:val="-5"/>
        </w:rPr>
        <w:t xml:space="preserve"> </w:t>
      </w:r>
      <w:r>
        <w:t>ideally</w:t>
      </w:r>
      <w:r>
        <w:rPr>
          <w:spacing w:val="-5"/>
        </w:rPr>
        <w:t xml:space="preserve"> </w:t>
      </w:r>
      <w:r>
        <w:t>improving resilience. Reconstruction</w:t>
      </w:r>
      <w:r>
        <w:rPr>
          <w:spacing w:val="-5"/>
        </w:rPr>
        <w:t xml:space="preserve"> </w:t>
      </w:r>
      <w:r>
        <w:t>activities may occur in this phase</w:t>
      </w:r>
    </w:p>
    <w:p w14:paraId="7D12E381" w14:textId="77777777" w:rsidR="00375E61" w:rsidRDefault="00375E61" w:rsidP="00375E61">
      <w:pPr>
        <w:spacing w:line="240" w:lineRule="auto"/>
      </w:pPr>
    </w:p>
    <w:p w14:paraId="0FF92E3C" w14:textId="77777777" w:rsidR="00375E61" w:rsidRDefault="00375E61" w:rsidP="00375E61">
      <w:pPr>
        <w:spacing w:line="240" w:lineRule="auto"/>
      </w:pPr>
    </w:p>
    <w:tbl>
      <w:tblPr>
        <w:tblStyle w:val="TableGrid"/>
        <w:tblW w:w="0" w:type="auto"/>
        <w:jc w:val="center"/>
        <w:tblLook w:val="04A0" w:firstRow="1" w:lastRow="0" w:firstColumn="1" w:lastColumn="0" w:noHBand="0" w:noVBand="1"/>
      </w:tblPr>
      <w:tblGrid>
        <w:gridCol w:w="6835"/>
      </w:tblGrid>
      <w:tr w:rsidR="00283E56" w14:paraId="2A13D995" w14:textId="77777777" w:rsidTr="007D625E">
        <w:trPr>
          <w:trHeight w:val="432"/>
          <w:jc w:val="center"/>
        </w:trPr>
        <w:tc>
          <w:tcPr>
            <w:tcW w:w="6835" w:type="dxa"/>
            <w:shd w:val="clear" w:color="auto" w:fill="000000" w:themeFill="text1"/>
            <w:vAlign w:val="center"/>
          </w:tcPr>
          <w:p w14:paraId="24F6C5ED" w14:textId="3DBF54EC" w:rsidR="00283E56" w:rsidRDefault="00DA2258" w:rsidP="00BB5ACB">
            <w:r>
              <w:rPr>
                <w:b/>
                <w:bCs/>
                <w:color w:val="FFFFFF" w:themeColor="background1"/>
              </w:rPr>
              <w:t xml:space="preserve">Figure </w:t>
            </w:r>
            <w:r>
              <w:rPr>
                <w:b/>
                <w:bCs/>
                <w:color w:val="FFFFFF" w:themeColor="background1"/>
              </w:rPr>
              <w:fldChar w:fldCharType="begin"/>
            </w:r>
            <w:r>
              <w:rPr>
                <w:b/>
                <w:bCs/>
                <w:color w:val="FFFFFF" w:themeColor="background1"/>
              </w:rPr>
              <w:instrText xml:space="preserve"> SEQ Figure \* ARABIC </w:instrText>
            </w:r>
            <w:r>
              <w:rPr>
                <w:b/>
                <w:bCs/>
                <w:color w:val="FFFFFF" w:themeColor="background1"/>
              </w:rPr>
              <w:fldChar w:fldCharType="separate"/>
            </w:r>
            <w:r w:rsidR="00517691">
              <w:rPr>
                <w:b/>
                <w:bCs/>
                <w:noProof/>
                <w:color w:val="FFFFFF" w:themeColor="background1"/>
              </w:rPr>
              <w:t>3</w:t>
            </w:r>
            <w:r>
              <w:rPr>
                <w:b/>
                <w:bCs/>
                <w:color w:val="FFFFFF" w:themeColor="background1"/>
              </w:rPr>
              <w:fldChar w:fldCharType="end"/>
            </w:r>
            <w:r>
              <w:rPr>
                <w:b/>
                <w:bCs/>
                <w:color w:val="FFFFFF" w:themeColor="background1"/>
              </w:rPr>
              <w:t>. The emergency management cycle</w:t>
            </w:r>
          </w:p>
        </w:tc>
      </w:tr>
      <w:tr w:rsidR="00283E56" w14:paraId="3F171C80" w14:textId="77777777" w:rsidTr="009E61A6">
        <w:trPr>
          <w:trHeight w:val="4176"/>
          <w:jc w:val="center"/>
        </w:trPr>
        <w:tc>
          <w:tcPr>
            <w:tcW w:w="6835" w:type="dxa"/>
          </w:tcPr>
          <w:p w14:paraId="520FBE01" w14:textId="77777777" w:rsidR="008433A3" w:rsidRPr="008433A3" w:rsidRDefault="008433A3" w:rsidP="00011E5C">
            <w:pPr>
              <w:pStyle w:val="ListParagraph"/>
              <w:ind w:left="0"/>
              <w:rPr>
                <w:sz w:val="12"/>
                <w:szCs w:val="12"/>
              </w:rPr>
            </w:pPr>
          </w:p>
          <w:p w14:paraId="478E7479" w14:textId="08F18BE7" w:rsidR="00283E56" w:rsidRPr="00011E5C" w:rsidRDefault="00283E56" w:rsidP="008433A3">
            <w:pPr>
              <w:pStyle w:val="ListParagraph"/>
              <w:spacing w:after="120"/>
              <w:ind w:left="0" w:right="-101"/>
              <w:rPr>
                <w:spacing w:val="-16"/>
              </w:rPr>
            </w:pPr>
            <w:r>
              <w:rPr>
                <w:noProof/>
              </w:rPr>
              <w:drawing>
                <wp:anchor distT="0" distB="0" distL="114300" distR="114300" simplePos="0" relativeHeight="251658245" behindDoc="0" locked="0" layoutInCell="1" allowOverlap="1" wp14:anchorId="78C4A785" wp14:editId="519A9048">
                  <wp:simplePos x="0" y="0"/>
                  <wp:positionH relativeFrom="column">
                    <wp:posOffset>655154</wp:posOffset>
                  </wp:positionH>
                  <wp:positionV relativeFrom="paragraph">
                    <wp:posOffset>63610</wp:posOffset>
                  </wp:positionV>
                  <wp:extent cx="3059967" cy="2366009"/>
                  <wp:effectExtent l="0" t="0" r="7620" b="0"/>
                  <wp:wrapTopAndBottom/>
                  <wp:docPr id="305274647" name="Image 29" descr="A continuous loop of the cyclical nature of emergency management, which progresses repeatedly through preparedness, disaster, response and recovery. Mitigation is at the center, showing that it can be done at any part of the cy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274647" name="Image 29" descr="A continuous loop of the cyclical nature of emergency management, which progresses repeatedly through preparedness, disaster, response and recovery. Mitigation is at the center, showing that it can be done at any part of the cycl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59967" cy="2366009"/>
                          </a:xfrm>
                          <a:prstGeom prst="rect">
                            <a:avLst/>
                          </a:prstGeom>
                        </pic:spPr>
                      </pic:pic>
                    </a:graphicData>
                  </a:graphic>
                </wp:anchor>
              </w:drawing>
            </w:r>
            <w:r>
              <w:t xml:space="preserve">Source: </w:t>
            </w:r>
            <w:hyperlink r:id="rId59" w:history="1">
              <w:r>
                <w:rPr>
                  <w:rStyle w:val="Hyperlink"/>
                  <w:szCs w:val="22"/>
                </w:rPr>
                <w:t>Local Mitigation Planning Handbook</w:t>
              </w:r>
            </w:hyperlink>
            <w:r>
              <w:rPr>
                <w:spacing w:val="-16"/>
              </w:rPr>
              <w:t xml:space="preserve"> </w:t>
            </w:r>
            <w:r>
              <w:t>(FEMA, 2025)</w:t>
            </w:r>
          </w:p>
        </w:tc>
      </w:tr>
    </w:tbl>
    <w:p w14:paraId="328FECDC" w14:textId="4A2B1958" w:rsidR="00283E56" w:rsidRPr="009B7797" w:rsidRDefault="00AE2CA9" w:rsidP="008306CF">
      <w:pPr>
        <w:pStyle w:val="BodyText"/>
        <w:spacing w:before="160" w:line="240" w:lineRule="auto"/>
      </w:pPr>
      <w:r>
        <w:t>Various planning mechanisms support different phases of the emergency management cycle. Some examples include:</w:t>
      </w:r>
    </w:p>
    <w:p w14:paraId="567E71BD" w14:textId="51F87EC4" w:rsidR="00283E56" w:rsidRPr="009B7797" w:rsidRDefault="00283E56" w:rsidP="00DB77FE">
      <w:pPr>
        <w:pStyle w:val="BodyText"/>
        <w:numPr>
          <w:ilvl w:val="0"/>
          <w:numId w:val="4"/>
        </w:numPr>
        <w:spacing w:before="160" w:line="240" w:lineRule="auto"/>
        <w:ind w:left="720"/>
        <w:contextualSpacing/>
      </w:pPr>
      <w:r>
        <w:rPr>
          <w:b/>
          <w:bCs/>
        </w:rPr>
        <w:t xml:space="preserve">Hazard Mitigation Plans </w:t>
      </w:r>
      <w:r>
        <w:t>primarily address the mitigation phase but</w:t>
      </w:r>
      <w:r>
        <w:rPr>
          <w:spacing w:val="-3"/>
        </w:rPr>
        <w:t xml:space="preserve"> may include </w:t>
      </w:r>
      <w:r>
        <w:t>some</w:t>
      </w:r>
      <w:r>
        <w:rPr>
          <w:spacing w:val="-3"/>
        </w:rPr>
        <w:t xml:space="preserve"> </w:t>
      </w:r>
      <w:r>
        <w:t>preparedness</w:t>
      </w:r>
      <w:r>
        <w:rPr>
          <w:spacing w:val="-3"/>
        </w:rPr>
        <w:t xml:space="preserve"> </w:t>
      </w:r>
      <w:r>
        <w:t>strategies</w:t>
      </w:r>
    </w:p>
    <w:p w14:paraId="4BDE33E1" w14:textId="5FF1ABB2" w:rsidR="00283E56" w:rsidRPr="009B7797" w:rsidRDefault="00283E56" w:rsidP="00DB77FE">
      <w:pPr>
        <w:pStyle w:val="BodyText"/>
        <w:numPr>
          <w:ilvl w:val="0"/>
          <w:numId w:val="4"/>
        </w:numPr>
        <w:spacing w:before="160" w:line="240" w:lineRule="auto"/>
        <w:ind w:left="720"/>
        <w:contextualSpacing/>
      </w:pPr>
      <w:r>
        <w:rPr>
          <w:b/>
          <w:bCs/>
        </w:rPr>
        <w:t>Emergency Operations Plans</w:t>
      </w:r>
      <w:r>
        <w:t xml:space="preserve"> guide response activities and sometimes address recovery</w:t>
      </w:r>
    </w:p>
    <w:p w14:paraId="2F05D798" w14:textId="77777777" w:rsidR="009B6527" w:rsidRDefault="00283E56" w:rsidP="007751CA">
      <w:pPr>
        <w:pStyle w:val="BodyText"/>
        <w:numPr>
          <w:ilvl w:val="0"/>
          <w:numId w:val="4"/>
        </w:numPr>
        <w:spacing w:before="160" w:line="240" w:lineRule="auto"/>
        <w:ind w:left="720"/>
      </w:pPr>
      <w:r w:rsidRPr="009B6527">
        <w:rPr>
          <w:b/>
          <w:bCs/>
        </w:rPr>
        <w:t xml:space="preserve">Disaster Recovery Plans </w:t>
      </w:r>
      <w:r w:rsidR="009B6527" w:rsidRPr="009B6527">
        <w:t xml:space="preserve">direct and coordinate recovery and reconstruction </w:t>
      </w:r>
    </w:p>
    <w:p w14:paraId="3A71DC04" w14:textId="6AFAB530" w:rsidR="00283E56" w:rsidRDefault="00283E56" w:rsidP="009B6527">
      <w:pPr>
        <w:pStyle w:val="BodyText"/>
        <w:spacing w:before="160" w:line="240" w:lineRule="auto"/>
      </w:pPr>
      <w:r>
        <w:t>Adaptation planning efforts can support all four phases of the emergency management cycle, depending on community needs and characteristics. For many communities, most strategies will focus on hazard mitigation. Adaptation planning and hazard mitigation planning share a common goal: reducing risk and increasing community resilience in the face of future hazards. Given their common goal, there are opportunities to integrate adaptation into hazard mitigation planning process or build on hazard mitigation for a stand-alone adaptation plan. While adaptation planners are not required to use the emergency management cycle as a framework, it can be a useful tool to consider the full range of strategies and topics that adaptation efforts can address.</w:t>
      </w:r>
    </w:p>
    <w:p w14:paraId="2F7F7735" w14:textId="77777777" w:rsidR="00436ACA" w:rsidRPr="00692137" w:rsidRDefault="00436ACA" w:rsidP="008306CF">
      <w:pPr>
        <w:pStyle w:val="BodyText"/>
        <w:spacing w:before="160" w:line="240" w:lineRule="auto"/>
      </w:pPr>
    </w:p>
    <w:p w14:paraId="144F938B" w14:textId="7FC48D57" w:rsidR="000A729A" w:rsidRPr="003D51E2" w:rsidRDefault="000D167C" w:rsidP="00B54EBA">
      <w:pPr>
        <w:pStyle w:val="Heading3"/>
        <w:spacing w:after="160" w:line="240" w:lineRule="auto"/>
      </w:pPr>
      <w:bookmarkStart w:id="21" w:name="_Toc235802664"/>
      <w:r>
        <w:rPr>
          <w:rStyle w:val="Heading4Char"/>
          <w:b/>
          <w:iCs/>
          <w:sz w:val="32"/>
        </w:rPr>
        <w:lastRenderedPageBreak/>
        <w:t>Climate Change Mitigation and Adaptation</w:t>
      </w:r>
      <w:bookmarkEnd w:id="21"/>
    </w:p>
    <w:p w14:paraId="4BDC036D" w14:textId="619A8603" w:rsidR="000A729A" w:rsidRPr="002029C9" w:rsidRDefault="000A729A" w:rsidP="00B54EBA">
      <w:pPr>
        <w:pStyle w:val="BodyText"/>
        <w:spacing w:before="160" w:line="240" w:lineRule="auto"/>
      </w:pPr>
      <w:r>
        <w:t>Addressing climate change requires a coordinated approach that includes climate mitigation and adaptation. These strategies are closely related but serve different purposes. Together, they support a comprehensive framework for reducing risk and building resilience.</w:t>
      </w:r>
    </w:p>
    <w:p w14:paraId="2C8E01E9" w14:textId="7CB0FEA8" w:rsidR="00367605" w:rsidRPr="00367605" w:rsidRDefault="000A729A">
      <w:pPr>
        <w:pStyle w:val="BodyText"/>
        <w:widowControl w:val="0"/>
        <w:numPr>
          <w:ilvl w:val="0"/>
          <w:numId w:val="31"/>
        </w:numPr>
        <w:autoSpaceDE w:val="0"/>
        <w:autoSpaceDN w:val="0"/>
        <w:spacing w:before="160" w:line="240" w:lineRule="auto"/>
        <w:ind w:left="720"/>
        <w:contextualSpacing/>
      </w:pPr>
      <w:r>
        <w:rPr>
          <w:b/>
          <w:szCs w:val="24"/>
        </w:rPr>
        <w:t>Climate change mitigation</w:t>
      </w:r>
      <w:r>
        <w:rPr>
          <w:szCs w:val="24"/>
        </w:rPr>
        <w:t xml:space="preserve"> focuses on reducing greenhouse gas emissions to limit the severity of future climate impacts.</w:t>
      </w:r>
    </w:p>
    <w:p w14:paraId="6500701C" w14:textId="713ADE98" w:rsidR="003F3F8E" w:rsidRDefault="000A729A">
      <w:pPr>
        <w:pStyle w:val="BodyText"/>
        <w:widowControl w:val="0"/>
        <w:numPr>
          <w:ilvl w:val="0"/>
          <w:numId w:val="31"/>
        </w:numPr>
        <w:autoSpaceDE w:val="0"/>
        <w:autoSpaceDN w:val="0"/>
        <w:spacing w:line="240" w:lineRule="auto"/>
        <w:ind w:left="720"/>
      </w:pPr>
      <w:r>
        <w:rPr>
          <w:b/>
        </w:rPr>
        <w:t>Climate adaptation</w:t>
      </w:r>
      <w:r>
        <w:t xml:space="preserve"> is an action or set of actions that reduces physical climate risk.</w:t>
      </w:r>
    </w:p>
    <w:p w14:paraId="3FA33D57" w14:textId="59093830" w:rsidR="00847006" w:rsidRDefault="00EB7827" w:rsidP="002B205F">
      <w:pPr>
        <w:pStyle w:val="BodyText"/>
        <w:spacing w:before="160" w:line="240" w:lineRule="auto"/>
        <w:rPr>
          <w:spacing w:val="-8"/>
          <w:szCs w:val="24"/>
        </w:rPr>
      </w:pPr>
      <w:r>
        <w:rPr>
          <w:color w:val="000000" w:themeColor="text1"/>
          <w:u w:val="single"/>
        </w:rPr>
        <w:fldChar w:fldCharType="begin"/>
      </w:r>
      <w:r>
        <w:rPr>
          <w:color w:val="000000" w:themeColor="text1"/>
          <w:u w:val="single"/>
        </w:rPr>
        <w:instrText xml:space="preserve"> REF _Ref229406606 \h  \* MERGEFORMAT </w:instrText>
      </w:r>
      <w:r>
        <w:rPr>
          <w:color w:val="000000" w:themeColor="text1"/>
          <w:u w:val="single"/>
        </w:rPr>
      </w:r>
      <w:r>
        <w:rPr>
          <w:color w:val="000000" w:themeColor="text1"/>
          <w:u w:val="single"/>
        </w:rPr>
        <w:fldChar w:fldCharType="separate"/>
      </w:r>
      <w:r w:rsidR="00517691" w:rsidRPr="00517691">
        <w:rPr>
          <w:szCs w:val="24"/>
          <w:u w:val="single"/>
        </w:rPr>
        <w:t>Figure 4</w:t>
      </w:r>
      <w:r>
        <w:rPr>
          <w:color w:val="000000" w:themeColor="text1"/>
          <w:u w:val="single"/>
        </w:rPr>
        <w:fldChar w:fldCharType="end"/>
      </w:r>
      <w:r>
        <w:rPr>
          <w:color w:val="000000" w:themeColor="text1"/>
        </w:rPr>
        <w:t xml:space="preserve"> illustrates the relationship between these approaches. Communities should take advantage of strategies that support multiple goals. For example, homes that install solar panels and battery storage systems are better protected against climate-related disruptions to the electricity supply (an adaptation </w:t>
      </w:r>
      <w:r>
        <w:t>effort), but solar panels also generate electricity without any greenhouse gases (GHG) and allow homes to use less energy from</w:t>
      </w:r>
      <w:r>
        <w:rPr>
          <w:spacing w:val="-8"/>
          <w:szCs w:val="24"/>
        </w:rPr>
        <w:t xml:space="preserve"> </w:t>
      </w:r>
      <w:r>
        <w:t>GHG-emitting</w:t>
      </w:r>
      <w:r>
        <w:rPr>
          <w:spacing w:val="-8"/>
          <w:szCs w:val="24"/>
        </w:rPr>
        <w:t xml:space="preserve"> </w:t>
      </w:r>
      <w:r>
        <w:t>power</w:t>
      </w:r>
      <w:r>
        <w:rPr>
          <w:spacing w:val="-8"/>
          <w:szCs w:val="24"/>
        </w:rPr>
        <w:t xml:space="preserve"> </w:t>
      </w:r>
      <w:r>
        <w:t>plants</w:t>
      </w:r>
      <w:r>
        <w:rPr>
          <w:spacing w:val="-8"/>
          <w:szCs w:val="24"/>
        </w:rPr>
        <w:t xml:space="preserve"> </w:t>
      </w:r>
      <w:r>
        <w:t>(a</w:t>
      </w:r>
      <w:r>
        <w:rPr>
          <w:spacing w:val="-8"/>
          <w:szCs w:val="24"/>
        </w:rPr>
        <w:t xml:space="preserve"> </w:t>
      </w:r>
      <w:r>
        <w:rPr>
          <w:color w:val="000000" w:themeColor="text1"/>
        </w:rPr>
        <w:t>climate change mitigation</w:t>
      </w:r>
      <w:r>
        <w:rPr>
          <w:spacing w:val="-8"/>
          <w:szCs w:val="24"/>
        </w:rPr>
        <w:t xml:space="preserve"> </w:t>
      </w:r>
      <w:r>
        <w:t>effort).</w:t>
      </w:r>
      <w:r>
        <w:rPr>
          <w:spacing w:val="-8"/>
          <w:szCs w:val="24"/>
        </w:rPr>
        <w:t xml:space="preserve"> </w:t>
      </w:r>
    </w:p>
    <w:p w14:paraId="512E42B8" w14:textId="3EC250D1" w:rsidR="000A729A" w:rsidRPr="00847006" w:rsidRDefault="000A729A" w:rsidP="002B205F">
      <w:pPr>
        <w:pStyle w:val="BodyText"/>
        <w:spacing w:before="160" w:line="240" w:lineRule="auto"/>
        <w:rPr>
          <w:spacing w:val="-8"/>
          <w:szCs w:val="24"/>
        </w:rPr>
      </w:pPr>
      <w:r>
        <w:t>However,</w:t>
      </w:r>
      <w:r>
        <w:rPr>
          <w:spacing w:val="-8"/>
          <w:szCs w:val="24"/>
        </w:rPr>
        <w:t xml:space="preserve"> </w:t>
      </w:r>
      <w:r>
        <w:t>there</w:t>
      </w:r>
      <w:r>
        <w:rPr>
          <w:spacing w:val="-8"/>
          <w:szCs w:val="24"/>
        </w:rPr>
        <w:t xml:space="preserve"> </w:t>
      </w:r>
      <w:r>
        <w:t>is</w:t>
      </w:r>
      <w:r>
        <w:rPr>
          <w:spacing w:val="-8"/>
          <w:szCs w:val="24"/>
        </w:rPr>
        <w:t xml:space="preserve"> </w:t>
      </w:r>
      <w:r>
        <w:t>potential</w:t>
      </w:r>
      <w:r>
        <w:rPr>
          <w:spacing w:val="-9"/>
          <w:szCs w:val="24"/>
        </w:rPr>
        <w:t xml:space="preserve"> </w:t>
      </w:r>
      <w:r>
        <w:t>for conflict.</w:t>
      </w:r>
      <w:r>
        <w:rPr>
          <w:spacing w:val="-1"/>
          <w:szCs w:val="24"/>
        </w:rPr>
        <w:t xml:space="preserve"> </w:t>
      </w:r>
      <w:r>
        <w:t>Consider</w:t>
      </w:r>
      <w:r>
        <w:rPr>
          <w:spacing w:val="-1"/>
          <w:szCs w:val="24"/>
        </w:rPr>
        <w:t xml:space="preserve"> </w:t>
      </w:r>
      <w:r>
        <w:t>a</w:t>
      </w:r>
      <w:r>
        <w:rPr>
          <w:spacing w:val="-1"/>
          <w:szCs w:val="24"/>
        </w:rPr>
        <w:t xml:space="preserve"> </w:t>
      </w:r>
      <w:r>
        <w:t>program</w:t>
      </w:r>
      <w:r>
        <w:rPr>
          <w:spacing w:val="-1"/>
          <w:szCs w:val="24"/>
        </w:rPr>
        <w:t xml:space="preserve"> </w:t>
      </w:r>
      <w:r>
        <w:t>to</w:t>
      </w:r>
      <w:r>
        <w:rPr>
          <w:spacing w:val="-1"/>
          <w:szCs w:val="24"/>
        </w:rPr>
        <w:t xml:space="preserve"> </w:t>
      </w:r>
      <w:r>
        <w:t>install</w:t>
      </w:r>
      <w:r>
        <w:rPr>
          <w:spacing w:val="-2"/>
          <w:szCs w:val="24"/>
        </w:rPr>
        <w:t xml:space="preserve"> </w:t>
      </w:r>
      <w:r>
        <w:t>air</w:t>
      </w:r>
      <w:r>
        <w:rPr>
          <w:spacing w:val="-1"/>
          <w:szCs w:val="24"/>
        </w:rPr>
        <w:t xml:space="preserve"> </w:t>
      </w:r>
      <w:r>
        <w:t>conditioning</w:t>
      </w:r>
      <w:r>
        <w:rPr>
          <w:spacing w:val="-1"/>
          <w:szCs w:val="24"/>
        </w:rPr>
        <w:t xml:space="preserve"> </w:t>
      </w:r>
      <w:r>
        <w:t>systems</w:t>
      </w:r>
      <w:r>
        <w:rPr>
          <w:spacing w:val="-1"/>
          <w:szCs w:val="24"/>
        </w:rPr>
        <w:t xml:space="preserve"> </w:t>
      </w:r>
      <w:r>
        <w:t>in</w:t>
      </w:r>
      <w:r>
        <w:rPr>
          <w:spacing w:val="-1"/>
          <w:szCs w:val="24"/>
        </w:rPr>
        <w:t xml:space="preserve"> </w:t>
      </w:r>
      <w:r>
        <w:t>homes.</w:t>
      </w:r>
      <w:r>
        <w:rPr>
          <w:spacing w:val="-1"/>
          <w:szCs w:val="24"/>
        </w:rPr>
        <w:t xml:space="preserve"> </w:t>
      </w:r>
      <w:r>
        <w:t>While</w:t>
      </w:r>
      <w:r>
        <w:rPr>
          <w:spacing w:val="-1"/>
          <w:szCs w:val="24"/>
        </w:rPr>
        <w:t xml:space="preserve"> </w:t>
      </w:r>
      <w:r>
        <w:t>this</w:t>
      </w:r>
      <w:r>
        <w:rPr>
          <w:spacing w:val="-1"/>
          <w:szCs w:val="24"/>
        </w:rPr>
        <w:t xml:space="preserve"> </w:t>
      </w:r>
      <w:r>
        <w:t>will help protect residents against extreme heat (an adaptation effort), these systems will require</w:t>
      </w:r>
      <w:r>
        <w:rPr>
          <w:spacing w:val="-2"/>
          <w:szCs w:val="24"/>
        </w:rPr>
        <w:t xml:space="preserve"> </w:t>
      </w:r>
      <w:r>
        <w:t>more</w:t>
      </w:r>
      <w:r>
        <w:rPr>
          <w:spacing w:val="-2"/>
          <w:szCs w:val="24"/>
        </w:rPr>
        <w:t xml:space="preserve"> </w:t>
      </w:r>
      <w:r>
        <w:t>energy</w:t>
      </w:r>
      <w:r>
        <w:rPr>
          <w:spacing w:val="-2"/>
          <w:szCs w:val="24"/>
        </w:rPr>
        <w:t xml:space="preserve"> </w:t>
      </w:r>
      <w:r>
        <w:t>to</w:t>
      </w:r>
      <w:r>
        <w:rPr>
          <w:spacing w:val="-2"/>
          <w:szCs w:val="24"/>
        </w:rPr>
        <w:t xml:space="preserve"> </w:t>
      </w:r>
      <w:r>
        <w:t>run</w:t>
      </w:r>
      <w:r>
        <w:rPr>
          <w:spacing w:val="-2"/>
          <w:szCs w:val="24"/>
        </w:rPr>
        <w:t xml:space="preserve"> </w:t>
      </w:r>
      <w:r>
        <w:t>and</w:t>
      </w:r>
      <w:r>
        <w:rPr>
          <w:spacing w:val="-2"/>
          <w:szCs w:val="24"/>
        </w:rPr>
        <w:t xml:space="preserve"> </w:t>
      </w:r>
      <w:r>
        <w:t>could</w:t>
      </w:r>
      <w:r>
        <w:rPr>
          <w:spacing w:val="-2"/>
          <w:szCs w:val="24"/>
        </w:rPr>
        <w:t xml:space="preserve"> </w:t>
      </w:r>
      <w:r>
        <w:t>increase</w:t>
      </w:r>
      <w:r>
        <w:rPr>
          <w:spacing w:val="-2"/>
          <w:szCs w:val="24"/>
        </w:rPr>
        <w:t xml:space="preserve"> </w:t>
      </w:r>
      <w:r>
        <w:t>GHG</w:t>
      </w:r>
      <w:r>
        <w:rPr>
          <w:spacing w:val="-2"/>
          <w:szCs w:val="24"/>
        </w:rPr>
        <w:t xml:space="preserve"> </w:t>
      </w:r>
      <w:r>
        <w:t>emissions</w:t>
      </w:r>
      <w:r>
        <w:rPr>
          <w:spacing w:val="-2"/>
          <w:szCs w:val="24"/>
        </w:rPr>
        <w:t xml:space="preserve"> </w:t>
      </w:r>
      <w:r>
        <w:t>if</w:t>
      </w:r>
      <w:r>
        <w:rPr>
          <w:spacing w:val="-2"/>
          <w:szCs w:val="24"/>
        </w:rPr>
        <w:t xml:space="preserve"> </w:t>
      </w:r>
      <w:r>
        <w:t>the</w:t>
      </w:r>
      <w:r>
        <w:rPr>
          <w:spacing w:val="-2"/>
          <w:szCs w:val="24"/>
        </w:rPr>
        <w:t xml:space="preserve"> </w:t>
      </w:r>
      <w:r>
        <w:t>energy</w:t>
      </w:r>
      <w:r>
        <w:rPr>
          <w:spacing w:val="-2"/>
          <w:szCs w:val="24"/>
        </w:rPr>
        <w:t xml:space="preserve"> </w:t>
      </w:r>
      <w:r>
        <w:t>source</w:t>
      </w:r>
      <w:r>
        <w:rPr>
          <w:spacing w:val="-2"/>
          <w:szCs w:val="24"/>
        </w:rPr>
        <w:t xml:space="preserve"> </w:t>
      </w:r>
      <w:r>
        <w:t xml:space="preserve">is not carbon-free (working against </w:t>
      </w:r>
      <w:r>
        <w:rPr>
          <w:color w:val="000000" w:themeColor="text1"/>
        </w:rPr>
        <w:t>climate change mitigation</w:t>
      </w:r>
      <w:r>
        <w:t xml:space="preserve"> efforts).</w:t>
      </w:r>
    </w:p>
    <w:tbl>
      <w:tblPr>
        <w:tblStyle w:val="TableGrid"/>
        <w:tblW w:w="10800" w:type="dxa"/>
        <w:tblInd w:w="-725" w:type="dxa"/>
        <w:tblLook w:val="04A0" w:firstRow="1" w:lastRow="0" w:firstColumn="1" w:lastColumn="0" w:noHBand="0" w:noVBand="1"/>
      </w:tblPr>
      <w:tblGrid>
        <w:gridCol w:w="10800"/>
      </w:tblGrid>
      <w:tr w:rsidR="00D10F3C" w14:paraId="67379CFE" w14:textId="77777777" w:rsidTr="55DEB025">
        <w:trPr>
          <w:trHeight w:val="720"/>
        </w:trPr>
        <w:tc>
          <w:tcPr>
            <w:tcW w:w="10800" w:type="dxa"/>
            <w:shd w:val="clear" w:color="auto" w:fill="000000" w:themeFill="text1"/>
            <w:vAlign w:val="center"/>
          </w:tcPr>
          <w:p w14:paraId="1B4CAA8D" w14:textId="574E7B36" w:rsidR="00D10F3C" w:rsidRPr="005A0929" w:rsidRDefault="00630F6E" w:rsidP="00BB5ACB">
            <w:pPr>
              <w:pStyle w:val="Heading7"/>
              <w:spacing w:before="0"/>
              <w:rPr>
                <w:rFonts w:ascii="Century Gothic" w:hAnsi="Century Gothic"/>
                <w:b/>
                <w:bCs/>
                <w:color w:val="auto"/>
              </w:rPr>
            </w:pPr>
            <w:bookmarkStart w:id="22" w:name="_Ref229406606"/>
            <w:bookmarkStart w:id="23" w:name="Figure_3"/>
            <w:r>
              <w:rPr>
                <w:rFonts w:ascii="Century Gothic" w:hAnsi="Century Gothic"/>
                <w:b/>
                <w:bCs/>
                <w:color w:val="auto"/>
              </w:rPr>
              <w:lastRenderedPageBreak/>
              <w:t xml:space="preserve">Figure </w:t>
            </w:r>
            <w:r>
              <w:rPr>
                <w:rFonts w:ascii="Century Gothic" w:hAnsi="Century Gothic"/>
                <w:b/>
                <w:bCs/>
                <w:color w:val="auto"/>
              </w:rPr>
              <w:fldChar w:fldCharType="begin"/>
            </w:r>
            <w:r>
              <w:rPr>
                <w:rFonts w:ascii="Century Gothic" w:hAnsi="Century Gothic"/>
                <w:b/>
                <w:bCs/>
                <w:color w:val="auto"/>
              </w:rPr>
              <w:instrText xml:space="preserve"> SEQ Figure \* ARABIC </w:instrText>
            </w:r>
            <w:r>
              <w:rPr>
                <w:rFonts w:ascii="Century Gothic" w:hAnsi="Century Gothic"/>
                <w:b/>
                <w:bCs/>
                <w:color w:val="auto"/>
              </w:rPr>
              <w:fldChar w:fldCharType="separate"/>
            </w:r>
            <w:r w:rsidR="00517691">
              <w:rPr>
                <w:rFonts w:ascii="Century Gothic" w:hAnsi="Century Gothic"/>
                <w:b/>
                <w:bCs/>
                <w:noProof/>
                <w:color w:val="auto"/>
              </w:rPr>
              <w:t>4</w:t>
            </w:r>
            <w:r>
              <w:rPr>
                <w:rFonts w:ascii="Century Gothic" w:hAnsi="Century Gothic"/>
                <w:b/>
                <w:bCs/>
                <w:color w:val="auto"/>
              </w:rPr>
              <w:fldChar w:fldCharType="end"/>
            </w:r>
            <w:bookmarkEnd w:id="22"/>
            <w:r>
              <w:rPr>
                <w:rFonts w:ascii="Century Gothic" w:hAnsi="Century Gothic"/>
                <w:b/>
                <w:bCs/>
                <w:color w:val="auto"/>
              </w:rPr>
              <w:t>.</w:t>
            </w:r>
            <w:bookmarkEnd w:id="23"/>
            <w:r>
              <w:rPr>
                <w:rFonts w:ascii="Century Gothic" w:hAnsi="Century Gothic"/>
                <w:b/>
                <w:bCs/>
                <w:color w:val="auto"/>
                <w:spacing w:val="80"/>
              </w:rPr>
              <w:t xml:space="preserve"> </w:t>
            </w:r>
            <w:r>
              <w:rPr>
                <w:rFonts w:ascii="Century Gothic" w:hAnsi="Century Gothic"/>
                <w:b/>
                <w:bCs/>
                <w:color w:val="auto"/>
              </w:rPr>
              <w:t>Roles of GHG emissions reduction and climate adaptation in combating the sources and effects of climate change</w:t>
            </w:r>
          </w:p>
        </w:tc>
      </w:tr>
      <w:tr w:rsidR="00D10F3C" w14:paraId="60B5E0EF" w14:textId="77777777" w:rsidTr="55DEB025">
        <w:trPr>
          <w:trHeight w:val="8414"/>
        </w:trPr>
        <w:tc>
          <w:tcPr>
            <w:tcW w:w="10800" w:type="dxa"/>
          </w:tcPr>
          <w:p w14:paraId="5B8E97D6" w14:textId="54B86628" w:rsidR="00D10F3C" w:rsidRDefault="00D10F3C" w:rsidP="00BB5ACB">
            <w:r>
              <w:rPr>
                <w:noProof/>
              </w:rPr>
              <mc:AlternateContent>
                <mc:Choice Requires="wpg">
                  <w:drawing>
                    <wp:anchor distT="0" distB="0" distL="0" distR="0" simplePos="0" relativeHeight="251658240" behindDoc="1" locked="0" layoutInCell="1" allowOverlap="1" wp14:anchorId="3C831C92" wp14:editId="6858AA1E">
                      <wp:simplePos x="0" y="0"/>
                      <wp:positionH relativeFrom="page">
                        <wp:posOffset>1577389</wp:posOffset>
                      </wp:positionH>
                      <wp:positionV relativeFrom="paragraph">
                        <wp:posOffset>95250</wp:posOffset>
                      </wp:positionV>
                      <wp:extent cx="3929141" cy="5132717"/>
                      <wp:effectExtent l="0" t="0" r="0" b="0"/>
                      <wp:wrapNone/>
                      <wp:docPr id="514844261" name="Group 514844261" descr="Cycle with 2 arrows going back and forth between the atmosphere and a city. The first two text boxes go from the city to the atmosphere, and the last 2 text boxes go from the atmosphere to the c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9141" cy="5132717"/>
                                <a:chOff x="1131671" y="567438"/>
                                <a:chExt cx="4105275" cy="5105430"/>
                              </a:xfrm>
                            </wpg:grpSpPr>
                            <wps:wsp>
                              <wps:cNvPr id="507191733" name="Graphic 182"/>
                              <wps:cNvSpPr/>
                              <wps:spPr>
                                <a:xfrm>
                                  <a:off x="2348408" y="703211"/>
                                  <a:ext cx="999490" cy="579120"/>
                                </a:xfrm>
                                <a:custGeom>
                                  <a:avLst/>
                                  <a:gdLst/>
                                  <a:ahLst/>
                                  <a:cxnLst/>
                                  <a:rect l="l" t="t" r="r" b="b"/>
                                  <a:pathLst>
                                    <a:path w="999490" h="579120">
                                      <a:moveTo>
                                        <a:pt x="85813" y="31521"/>
                                      </a:moveTo>
                                      <a:lnTo>
                                        <a:pt x="0" y="31584"/>
                                      </a:lnTo>
                                      <a:lnTo>
                                        <a:pt x="43205" y="354761"/>
                                      </a:lnTo>
                                      <a:lnTo>
                                        <a:pt x="85813" y="31521"/>
                                      </a:lnTo>
                                      <a:close/>
                                    </a:path>
                                    <a:path w="999490" h="579120">
                                      <a:moveTo>
                                        <a:pt x="632802" y="30784"/>
                                      </a:moveTo>
                                      <a:lnTo>
                                        <a:pt x="594652" y="0"/>
                                      </a:lnTo>
                                      <a:lnTo>
                                        <a:pt x="317131" y="382968"/>
                                      </a:lnTo>
                                      <a:lnTo>
                                        <a:pt x="632802" y="30784"/>
                                      </a:lnTo>
                                      <a:close/>
                                    </a:path>
                                    <a:path w="999490" h="579120">
                                      <a:moveTo>
                                        <a:pt x="999236" y="354241"/>
                                      </a:moveTo>
                                      <a:lnTo>
                                        <a:pt x="955471" y="280428"/>
                                      </a:lnTo>
                                      <a:lnTo>
                                        <a:pt x="536841" y="578510"/>
                                      </a:lnTo>
                                      <a:lnTo>
                                        <a:pt x="999236" y="354241"/>
                                      </a:lnTo>
                                      <a:close/>
                                    </a:path>
                                  </a:pathLst>
                                </a:custGeom>
                                <a:solidFill>
                                  <a:srgbClr val="CF8930"/>
                                </a:solidFill>
                              </wps:spPr>
                              <wps:bodyPr wrap="square" lIns="0" tIns="0" rIns="0" bIns="0" rtlCol="0">
                                <a:prstTxWarp prst="textNoShape">
                                  <a:avLst/>
                                </a:prstTxWarp>
                                <a:noAutofit/>
                              </wps:bodyPr>
                            </wps:wsp>
                            <wps:wsp>
                              <wps:cNvPr id="509199009" name="Graphic 183"/>
                              <wps:cNvSpPr/>
                              <wps:spPr>
                                <a:xfrm>
                                  <a:off x="4383392" y="2385745"/>
                                  <a:ext cx="514984" cy="2172335"/>
                                </a:xfrm>
                                <a:custGeom>
                                  <a:avLst/>
                                  <a:gdLst/>
                                  <a:ahLst/>
                                  <a:cxnLst/>
                                  <a:rect l="l" t="t" r="r" b="b"/>
                                  <a:pathLst>
                                    <a:path w="514984" h="2172335">
                                      <a:moveTo>
                                        <a:pt x="514743" y="1029474"/>
                                      </a:moveTo>
                                      <a:lnTo>
                                        <a:pt x="514540" y="980059"/>
                                      </a:lnTo>
                                      <a:lnTo>
                                        <a:pt x="512673" y="930617"/>
                                      </a:lnTo>
                                      <a:lnTo>
                                        <a:pt x="509130" y="881253"/>
                                      </a:lnTo>
                                      <a:lnTo>
                                        <a:pt x="503897" y="832015"/>
                                      </a:lnTo>
                                      <a:lnTo>
                                        <a:pt x="496938" y="782993"/>
                                      </a:lnTo>
                                      <a:lnTo>
                                        <a:pt x="488238" y="734263"/>
                                      </a:lnTo>
                                      <a:lnTo>
                                        <a:pt x="477774" y="685888"/>
                                      </a:lnTo>
                                      <a:lnTo>
                                        <a:pt x="465543" y="637959"/>
                                      </a:lnTo>
                                      <a:lnTo>
                                        <a:pt x="451510" y="590550"/>
                                      </a:lnTo>
                                      <a:lnTo>
                                        <a:pt x="435660" y="543725"/>
                                      </a:lnTo>
                                      <a:lnTo>
                                        <a:pt x="417982" y="497573"/>
                                      </a:lnTo>
                                      <a:lnTo>
                                        <a:pt x="398437" y="452170"/>
                                      </a:lnTo>
                                      <a:lnTo>
                                        <a:pt x="377329" y="407581"/>
                                      </a:lnTo>
                                      <a:lnTo>
                                        <a:pt x="354393" y="363931"/>
                                      </a:lnTo>
                                      <a:lnTo>
                                        <a:pt x="329666" y="321322"/>
                                      </a:lnTo>
                                      <a:lnTo>
                                        <a:pt x="303199" y="279831"/>
                                      </a:lnTo>
                                      <a:lnTo>
                                        <a:pt x="275031" y="239572"/>
                                      </a:lnTo>
                                      <a:lnTo>
                                        <a:pt x="245211" y="200621"/>
                                      </a:lnTo>
                                      <a:lnTo>
                                        <a:pt x="213779" y="163093"/>
                                      </a:lnTo>
                                      <a:lnTo>
                                        <a:pt x="180784" y="127076"/>
                                      </a:lnTo>
                                      <a:lnTo>
                                        <a:pt x="146278" y="92659"/>
                                      </a:lnTo>
                                      <a:lnTo>
                                        <a:pt x="110286" y="59944"/>
                                      </a:lnTo>
                                      <a:lnTo>
                                        <a:pt x="72885" y="29032"/>
                                      </a:lnTo>
                                      <a:lnTo>
                                        <a:pt x="34099" y="0"/>
                                      </a:lnTo>
                                      <a:lnTo>
                                        <a:pt x="70192" y="38277"/>
                                      </a:lnTo>
                                      <a:lnTo>
                                        <a:pt x="104686" y="77736"/>
                                      </a:lnTo>
                                      <a:lnTo>
                                        <a:pt x="137541" y="118300"/>
                                      </a:lnTo>
                                      <a:lnTo>
                                        <a:pt x="168744" y="159931"/>
                                      </a:lnTo>
                                      <a:lnTo>
                                        <a:pt x="198247" y="202577"/>
                                      </a:lnTo>
                                      <a:lnTo>
                                        <a:pt x="226047" y="246189"/>
                                      </a:lnTo>
                                      <a:lnTo>
                                        <a:pt x="252095" y="290715"/>
                                      </a:lnTo>
                                      <a:lnTo>
                                        <a:pt x="276364" y="336118"/>
                                      </a:lnTo>
                                      <a:lnTo>
                                        <a:pt x="298843" y="382320"/>
                                      </a:lnTo>
                                      <a:lnTo>
                                        <a:pt x="319481" y="429298"/>
                                      </a:lnTo>
                                      <a:lnTo>
                                        <a:pt x="338264" y="476999"/>
                                      </a:lnTo>
                                      <a:lnTo>
                                        <a:pt x="355155" y="525335"/>
                                      </a:lnTo>
                                      <a:lnTo>
                                        <a:pt x="370281" y="574192"/>
                                      </a:lnTo>
                                      <a:lnTo>
                                        <a:pt x="383654" y="623506"/>
                                      </a:lnTo>
                                      <a:lnTo>
                                        <a:pt x="395287" y="673227"/>
                                      </a:lnTo>
                                      <a:lnTo>
                                        <a:pt x="405193" y="723303"/>
                                      </a:lnTo>
                                      <a:lnTo>
                                        <a:pt x="413397" y="773684"/>
                                      </a:lnTo>
                                      <a:lnTo>
                                        <a:pt x="419900" y="824306"/>
                                      </a:lnTo>
                                      <a:lnTo>
                                        <a:pt x="424726" y="875131"/>
                                      </a:lnTo>
                                      <a:lnTo>
                                        <a:pt x="427901" y="926084"/>
                                      </a:lnTo>
                                      <a:lnTo>
                                        <a:pt x="429412" y="977125"/>
                                      </a:lnTo>
                                      <a:lnTo>
                                        <a:pt x="429298" y="1028204"/>
                                      </a:lnTo>
                                      <a:lnTo>
                                        <a:pt x="427634" y="1079284"/>
                                      </a:lnTo>
                                      <a:lnTo>
                                        <a:pt x="424408" y="1130312"/>
                                      </a:lnTo>
                                      <a:lnTo>
                                        <a:pt x="419671" y="1181227"/>
                                      </a:lnTo>
                                      <a:lnTo>
                                        <a:pt x="413423" y="1232014"/>
                                      </a:lnTo>
                                      <a:lnTo>
                                        <a:pt x="405701" y="1282636"/>
                                      </a:lnTo>
                                      <a:lnTo>
                                        <a:pt x="396544" y="1333055"/>
                                      </a:lnTo>
                                      <a:lnTo>
                                        <a:pt x="385978" y="1383233"/>
                                      </a:lnTo>
                                      <a:lnTo>
                                        <a:pt x="374027" y="1433156"/>
                                      </a:lnTo>
                                      <a:lnTo>
                                        <a:pt x="360730" y="1482788"/>
                                      </a:lnTo>
                                      <a:lnTo>
                                        <a:pt x="346113" y="1532077"/>
                                      </a:lnTo>
                                      <a:lnTo>
                                        <a:pt x="330200" y="1581010"/>
                                      </a:lnTo>
                                      <a:lnTo>
                                        <a:pt x="313118" y="1629638"/>
                                      </a:lnTo>
                                      <a:lnTo>
                                        <a:pt x="294741" y="1677847"/>
                                      </a:lnTo>
                                      <a:lnTo>
                                        <a:pt x="275120" y="1725625"/>
                                      </a:lnTo>
                                      <a:lnTo>
                                        <a:pt x="254292" y="1772945"/>
                                      </a:lnTo>
                                      <a:lnTo>
                                        <a:pt x="232270" y="1819821"/>
                                      </a:lnTo>
                                      <a:lnTo>
                                        <a:pt x="209105" y="1866239"/>
                                      </a:lnTo>
                                      <a:lnTo>
                                        <a:pt x="184835" y="1912200"/>
                                      </a:lnTo>
                                      <a:lnTo>
                                        <a:pt x="159473" y="1957679"/>
                                      </a:lnTo>
                                      <a:lnTo>
                                        <a:pt x="133083" y="2002675"/>
                                      </a:lnTo>
                                      <a:lnTo>
                                        <a:pt x="105664" y="2047189"/>
                                      </a:lnTo>
                                      <a:lnTo>
                                        <a:pt x="97574" y="2059736"/>
                                      </a:lnTo>
                                      <a:lnTo>
                                        <a:pt x="77609" y="1871560"/>
                                      </a:lnTo>
                                      <a:lnTo>
                                        <a:pt x="0" y="1967661"/>
                                      </a:lnTo>
                                      <a:lnTo>
                                        <a:pt x="21755" y="2172233"/>
                                      </a:lnTo>
                                      <a:lnTo>
                                        <a:pt x="226352" y="2150465"/>
                                      </a:lnTo>
                                      <a:lnTo>
                                        <a:pt x="303961" y="2054377"/>
                                      </a:lnTo>
                                      <a:lnTo>
                                        <a:pt x="113093" y="2074748"/>
                                      </a:lnTo>
                                      <a:lnTo>
                                        <a:pt x="121932" y="2064550"/>
                                      </a:lnTo>
                                      <a:lnTo>
                                        <a:pt x="152666" y="2026945"/>
                                      </a:lnTo>
                                      <a:lnTo>
                                        <a:pt x="182333" y="1988426"/>
                                      </a:lnTo>
                                      <a:lnTo>
                                        <a:pt x="210908" y="1949005"/>
                                      </a:lnTo>
                                      <a:lnTo>
                                        <a:pt x="238366" y="1908733"/>
                                      </a:lnTo>
                                      <a:lnTo>
                                        <a:pt x="264680" y="1867649"/>
                                      </a:lnTo>
                                      <a:lnTo>
                                        <a:pt x="289852" y="1825777"/>
                                      </a:lnTo>
                                      <a:lnTo>
                                        <a:pt x="313842" y="1783168"/>
                                      </a:lnTo>
                                      <a:lnTo>
                                        <a:pt x="336626" y="1739849"/>
                                      </a:lnTo>
                                      <a:lnTo>
                                        <a:pt x="358203" y="1695843"/>
                                      </a:lnTo>
                                      <a:lnTo>
                                        <a:pt x="378523" y="1651215"/>
                                      </a:lnTo>
                                      <a:lnTo>
                                        <a:pt x="397586" y="1605978"/>
                                      </a:lnTo>
                                      <a:lnTo>
                                        <a:pt x="415239" y="1560144"/>
                                      </a:lnTo>
                                      <a:lnTo>
                                        <a:pt x="431546" y="1513751"/>
                                      </a:lnTo>
                                      <a:lnTo>
                                        <a:pt x="446468" y="1466862"/>
                                      </a:lnTo>
                                      <a:lnTo>
                                        <a:pt x="459994" y="1419517"/>
                                      </a:lnTo>
                                      <a:lnTo>
                                        <a:pt x="472084" y="1371752"/>
                                      </a:lnTo>
                                      <a:lnTo>
                                        <a:pt x="482727" y="1323619"/>
                                      </a:lnTo>
                                      <a:lnTo>
                                        <a:pt x="491896" y="1275156"/>
                                      </a:lnTo>
                                      <a:lnTo>
                                        <a:pt x="499567" y="1226400"/>
                                      </a:lnTo>
                                      <a:lnTo>
                                        <a:pt x="505714" y="1177417"/>
                                      </a:lnTo>
                                      <a:lnTo>
                                        <a:pt x="510311" y="1128242"/>
                                      </a:lnTo>
                                      <a:lnTo>
                                        <a:pt x="513321" y="1078903"/>
                                      </a:lnTo>
                                      <a:lnTo>
                                        <a:pt x="514743" y="1029474"/>
                                      </a:lnTo>
                                      <a:close/>
                                    </a:path>
                                  </a:pathLst>
                                </a:custGeom>
                                <a:solidFill>
                                  <a:srgbClr val="BD3C6D"/>
                                </a:solidFill>
                              </wps:spPr>
                              <wps:bodyPr wrap="square" lIns="0" tIns="0" rIns="0" bIns="0" rtlCol="0">
                                <a:prstTxWarp prst="textNoShape">
                                  <a:avLst/>
                                </a:prstTxWarp>
                                <a:noAutofit/>
                              </wps:bodyPr>
                            </wps:wsp>
                            <pic:pic xmlns:pic="http://schemas.openxmlformats.org/drawingml/2006/picture">
                              <pic:nvPicPr>
                                <pic:cNvPr id="724263782" name="Image 184"/>
                                <pic:cNvPicPr/>
                              </pic:nvPicPr>
                              <pic:blipFill>
                                <a:blip r:embed="rId60" cstate="print"/>
                                <a:stretch>
                                  <a:fillRect/>
                                </a:stretch>
                              </pic:blipFill>
                              <pic:spPr>
                                <a:xfrm>
                                  <a:off x="1140950" y="567438"/>
                                  <a:ext cx="3479891" cy="3992678"/>
                                </a:xfrm>
                                <a:prstGeom prst="rect">
                                  <a:avLst/>
                                </a:prstGeom>
                              </pic:spPr>
                            </pic:pic>
                            <wps:wsp>
                              <wps:cNvPr id="1468562447" name="Graphic 185"/>
                              <wps:cNvSpPr/>
                              <wps:spPr>
                                <a:xfrm>
                                  <a:off x="1131671" y="2962477"/>
                                  <a:ext cx="4105275" cy="666750"/>
                                </a:xfrm>
                                <a:custGeom>
                                  <a:avLst/>
                                  <a:gdLst/>
                                  <a:ahLst/>
                                  <a:cxnLst/>
                                  <a:rect l="l" t="t" r="r" b="b"/>
                                  <a:pathLst>
                                    <a:path w="4105275" h="666750">
                                      <a:moveTo>
                                        <a:pt x="284264" y="315798"/>
                                      </a:moveTo>
                                      <a:lnTo>
                                        <a:pt x="0" y="12"/>
                                      </a:lnTo>
                                      <a:lnTo>
                                        <a:pt x="0" y="666153"/>
                                      </a:lnTo>
                                      <a:lnTo>
                                        <a:pt x="284264" y="315798"/>
                                      </a:lnTo>
                                      <a:close/>
                                    </a:path>
                                    <a:path w="4105275" h="666750">
                                      <a:moveTo>
                                        <a:pt x="4105059" y="0"/>
                                      </a:moveTo>
                                      <a:lnTo>
                                        <a:pt x="3820807" y="315785"/>
                                      </a:lnTo>
                                      <a:lnTo>
                                        <a:pt x="4105059" y="666165"/>
                                      </a:lnTo>
                                      <a:lnTo>
                                        <a:pt x="4105059" y="0"/>
                                      </a:lnTo>
                                      <a:close/>
                                    </a:path>
                                  </a:pathLst>
                                </a:custGeom>
                                <a:solidFill>
                                  <a:schemeClr val="tx1"/>
                                </a:solidFill>
                                <a:ln>
                                  <a:noFill/>
                                </a:ln>
                              </wps:spPr>
                              <wps:bodyPr wrap="square" lIns="0" tIns="0" rIns="0" bIns="0" rtlCol="0">
                                <a:prstTxWarp prst="textNoShape">
                                  <a:avLst/>
                                </a:prstTxWarp>
                                <a:noAutofit/>
                              </wps:bodyPr>
                            </wps:wsp>
                            <pic:pic xmlns:pic="http://schemas.openxmlformats.org/drawingml/2006/picture">
                              <pic:nvPicPr>
                                <pic:cNvPr id="763709406" name="Image 186"/>
                                <pic:cNvPicPr/>
                              </pic:nvPicPr>
                              <pic:blipFill>
                                <a:blip r:embed="rId61" cstate="print"/>
                                <a:stretch>
                                  <a:fillRect/>
                                </a:stretch>
                              </pic:blipFill>
                              <pic:spPr>
                                <a:xfrm>
                                  <a:off x="2008841" y="4093395"/>
                                  <a:ext cx="2247381" cy="15794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C26B0D" id="Group 514844261" o:spid="_x0000_s1026" alt="Cycle with 2 arrows going back and forth between the atmosphere and a city. The first two text boxes go from the city to the atmosphere, and the last 2 text boxes go from the atmosphere to the city." style="position:absolute;margin-left:124.2pt;margin-top:7.5pt;width:309.4pt;height:404.15pt;z-index:-251658240;mso-wrap-distance-left:0;mso-wrap-distance-right:0;mso-position-horizontal-relative:page;mso-width-relative:margin;mso-height-relative:margin" coordorigin="11316,5674" coordsize="41052,5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">
                      <v:shape id="Graphic 182" o:spid="_x0000_s1027" style="position:absolute;left:23484;top:7032;width:9994;height:5791;visibility:visible;mso-wrap-style:square;v-text-anchor:top" coordsize="99949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" path="m85813,31521l,31584,43205,354761,85813,31521xem632802,30784l594652,,317131,382968,632802,30784xem999236,354241l955471,280428,536841,578510,999236,354241xe" fillcolor="#cf8930" stroked="f">
                        <v:path arrowok="t"/>
                      </v:shape>
                      <v:shape id="Graphic 183" o:spid="_x0000_s1028" style="position:absolute;left:43833;top:23857;width:5150;height:21723;visibility:visible;mso-wrap-style:square;v-text-anchor:top" coordsize="514984,217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" path="m514743,1029474r-203,-49415l512673,930617r-3543,-49364l503897,832015r-6959,-49022l488238,734263,477774,685888,465543,637959,451510,590550,435660,543725,417982,497573,398437,452170,377329,407581,354393,363931,329666,321322,303199,279831,275031,239572,245211,200621,213779,163093,180784,127076,146278,92659,110286,59944,72885,29032,34099,,70192,38277r34494,39459l137541,118300r31203,41631l198247,202577r27800,43612l252095,290715r24269,45403l298843,382320r20638,46978l338264,476999r16891,48336l370281,574192r13373,49314l395287,673227r9906,50076l413397,773684r6503,50622l424726,875131r3175,50953l429412,977125r-114,51079l427634,1079284r-3226,51028l419671,1181227r-6248,50787l405701,1282636r-9157,50419l385978,1383233r-11951,49923l360730,1482788r-14617,49289l330200,1581010r-17082,48628l294741,1677847r-19621,47778l254292,1772945r-22022,46876l209105,1866239r-24270,45961l159473,1957679r-26390,44996l105664,2047189r-8090,12547l77609,1871560,,1967661r21755,204572l226352,2150465r77609,-96088l113093,2074748r8839,-10198l152666,2026945r29667,-38519l210908,1949005r27458,-40272l264680,1867649r25172,-41872l313842,1783168r22784,-43319l358203,1695843r20320,-44628l397586,1605978r17653,-45834l431546,1513751r14922,-46889l459994,1419517r12090,-47765l482727,1323619r9169,-48463l499567,1226400r6147,-48983l510311,1128242r3010,-49339l514743,1029474xe" fillcolor="#bd3c6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4" o:spid="_x0000_s1029" type="#_x0000_t75" style="position:absolute;left:11409;top:5674;width:34799;height:39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">
                        <v:imagedata r:id="rId62" o:title=""/>
                      </v:shape>
                      <v:shape id="Graphic 185" o:spid="_x0000_s1030" style="position:absolute;left:11316;top:29624;width:41053;height:6668;visibility:visible;mso-wrap-style:square;v-text-anchor:top" coordsize="4105275,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" path="m284264,315798l,12,,666153,284264,315798xem4105059,l3820807,315785r284252,350380l4105059,xe" fillcolor="black [3213]" stroked="f">
                        <v:path arrowok="t"/>
                      </v:shape>
                      <v:shape id="Image 186" o:spid="_x0000_s1031" type="#_x0000_t75" style="position:absolute;left:20088;top:40933;width:22474;height:15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">
                        <v:imagedata r:id="rId63" o:title=""/>
                      </v:shape>
                      <w10:wrap anchorx="page"/>
                    </v:group>
                  </w:pict>
                </mc:Fallback>
              </mc:AlternateContent>
            </w:r>
          </w:p>
          <w:p w14:paraId="0863C53C" w14:textId="555B492B" w:rsidR="00D10F3C" w:rsidRDefault="00D10F3C" w:rsidP="00BB5ACB"/>
          <w:p w14:paraId="76925620" w14:textId="77777777" w:rsidR="00D10F3C" w:rsidRDefault="00D10F3C" w:rsidP="00BB5ACB"/>
          <w:p w14:paraId="66FF06D4" w14:textId="10111C41" w:rsidR="00D10F3C" w:rsidRPr="005A0929" w:rsidRDefault="00A77CE7" w:rsidP="00BB5ACB">
            <w:pPr>
              <w:rPr>
                <w:b/>
                <w:bCs/>
              </w:rPr>
            </w:pPr>
            <w:r>
              <w:rPr>
                <w:b/>
                <w:bCs/>
                <w:noProof/>
              </w:rPr>
              <mc:AlternateContent>
                <mc:Choice Requires="wps">
                  <w:drawing>
                    <wp:anchor distT="45720" distB="45720" distL="114300" distR="114300" simplePos="0" relativeHeight="251658244" behindDoc="0" locked="0" layoutInCell="1" allowOverlap="1" wp14:anchorId="0B037AAE" wp14:editId="3408FC6E">
                      <wp:simplePos x="0" y="0"/>
                      <wp:positionH relativeFrom="column">
                        <wp:posOffset>5195570</wp:posOffset>
                      </wp:positionH>
                      <wp:positionV relativeFrom="paragraph">
                        <wp:posOffset>1591945</wp:posOffset>
                      </wp:positionV>
                      <wp:extent cx="1428750" cy="1404620"/>
                      <wp:effectExtent l="0" t="0" r="0" b="0"/>
                      <wp:wrapSquare wrapText="bothSides"/>
                      <wp:docPr id="2092655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noFill/>
                              <a:ln w="9525">
                                <a:noFill/>
                                <a:miter lim="800000"/>
                                <a:headEnd/>
                                <a:tailEnd/>
                              </a:ln>
                            </wps:spPr>
                            <wps:txbx>
                              <w:txbxContent>
                                <w:p w14:paraId="28754703" w14:textId="77777777" w:rsidR="00A77CE7" w:rsidRPr="00A77CE7" w:rsidRDefault="00A77CE7" w:rsidP="00A77CE7">
                                  <w:pPr>
                                    <w:pStyle w:val="BodyText"/>
                                    <w:widowControl w:val="0"/>
                                    <w:autoSpaceDE w:val="0"/>
                                    <w:autoSpaceDN w:val="0"/>
                                    <w:spacing w:line="240" w:lineRule="auto"/>
                                    <w:ind w:left="720"/>
                                    <w:jc w:val="center"/>
                                    <w:rPr>
                                      <w:sz w:val="20"/>
                                      <w:szCs w:val="18"/>
                                    </w:rPr>
                                  </w:pPr>
                                  <w:r w:rsidRPr="00A77CE7">
                                    <w:rPr>
                                      <w:b/>
                                      <w:sz w:val="20"/>
                                      <w:szCs w:val="18"/>
                                    </w:rPr>
                                    <w:t>Climate adaptation</w:t>
                                  </w:r>
                                  <w:r w:rsidRPr="00A77CE7">
                                    <w:rPr>
                                      <w:sz w:val="20"/>
                                      <w:szCs w:val="18"/>
                                    </w:rPr>
                                    <w:t xml:space="preserve"> is an action or set of actions that reduces physical climate risk.</w:t>
                                  </w:r>
                                </w:p>
                                <w:p w14:paraId="5B921056" w14:textId="388D86B3" w:rsidR="00D10F3C" w:rsidRPr="004341B5" w:rsidRDefault="00D10F3C" w:rsidP="00D23318">
                                  <w:pPr>
                                    <w:spacing w:line="240" w:lineRule="auto"/>
                                    <w:ind w:left="90" w:right="-210"/>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037AAE" id="_x0000_t202" coordsize="21600,21600" o:spt="202" path="m,l,21600r21600,l21600,xe">
                      <v:stroke joinstyle="miter"/>
                      <v:path gradientshapeok="t" o:connecttype="rect"/>
                    </v:shapetype>
                    <v:shape id="Text Box 2" o:spid="_x0000_s1026" type="#_x0000_t202" style="position:absolute;margin-left:409.1pt;margin-top:125.35pt;width:112.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cl+QEAAM4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" filled="f" stroked="f">
                      <v:textbox style="mso-fit-shape-to-text:t">
                        <w:txbxContent>
                          <w:p w14:paraId="28754703" w14:textId="77777777" w:rsidR="00A77CE7" w:rsidRPr="00A77CE7" w:rsidRDefault="00A77CE7" w:rsidP="00A77CE7">
                            <w:pPr>
                              <w:pStyle w:val="BodyText"/>
                              <w:widowControl w:val="0"/>
                              <w:autoSpaceDE w:val="0"/>
                              <w:autoSpaceDN w:val="0"/>
                              <w:spacing w:line="240" w:lineRule="auto"/>
                              <w:ind w:left="720"/>
                              <w:jc w:val="center"/>
                              <w:rPr>
                                <w:sz w:val="20"/>
                                <w:szCs w:val="18"/>
                              </w:rPr>
                            </w:pPr>
                            <w:r w:rsidRPr="00A77CE7">
                              <w:rPr>
                                <w:b/>
                                <w:sz w:val="20"/>
                                <w:szCs w:val="18"/>
                              </w:rPr>
                              <w:t>Climate adaptation</w:t>
                            </w:r>
                            <w:r w:rsidRPr="00A77CE7">
                              <w:rPr>
                                <w:sz w:val="20"/>
                                <w:szCs w:val="18"/>
                              </w:rPr>
                              <w:t xml:space="preserve"> is an action or set of actions that reduces physical climate risk.</w:t>
                            </w:r>
                          </w:p>
                          <w:p w14:paraId="5B921056" w14:textId="388D86B3" w:rsidR="00D10F3C" w:rsidRPr="004341B5" w:rsidRDefault="00D10F3C" w:rsidP="00D23318">
                            <w:pPr>
                              <w:spacing w:line="240" w:lineRule="auto"/>
                              <w:ind w:left="90" w:right="-210"/>
                              <w:rPr>
                                <w:sz w:val="20"/>
                                <w:szCs w:val="20"/>
                              </w:rPr>
                            </w:pPr>
                          </w:p>
                        </w:txbxContent>
                      </v:textbox>
                      <w10:wrap type="square"/>
                    </v:shape>
                  </w:pict>
                </mc:Fallback>
              </mc:AlternateContent>
            </w:r>
            <w:r w:rsidR="004C0743">
              <w:rPr>
                <w:b/>
                <w:bCs/>
                <w:noProof/>
              </w:rPr>
              <mc:AlternateContent>
                <mc:Choice Requires="wps">
                  <w:drawing>
                    <wp:anchor distT="45720" distB="45720" distL="114300" distR="114300" simplePos="0" relativeHeight="251658242" behindDoc="0" locked="0" layoutInCell="1" allowOverlap="1" wp14:anchorId="17487319" wp14:editId="22430EE9">
                      <wp:simplePos x="0" y="0"/>
                      <wp:positionH relativeFrom="column">
                        <wp:posOffset>2068830</wp:posOffset>
                      </wp:positionH>
                      <wp:positionV relativeFrom="paragraph">
                        <wp:posOffset>1662430</wp:posOffset>
                      </wp:positionV>
                      <wp:extent cx="1428750" cy="1404620"/>
                      <wp:effectExtent l="0" t="0" r="0" b="0"/>
                      <wp:wrapSquare wrapText="bothSides"/>
                      <wp:docPr id="393121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noFill/>
                              <a:ln w="9525">
                                <a:noFill/>
                                <a:miter lim="800000"/>
                                <a:headEnd/>
                                <a:tailEnd/>
                              </a:ln>
                            </wps:spPr>
                            <wps:txbx>
                              <w:txbxContent>
                                <w:p w14:paraId="3647694F" w14:textId="77777777" w:rsidR="004341B5" w:rsidRPr="004341B5" w:rsidRDefault="004341B5" w:rsidP="004341B5">
                                  <w:pPr>
                                    <w:spacing w:line="240" w:lineRule="auto"/>
                                    <w:rPr>
                                      <w:spacing w:val="-4"/>
                                      <w:sz w:val="20"/>
                                      <w:szCs w:val="20"/>
                                    </w:rPr>
                                  </w:pPr>
                                  <w:r w:rsidRPr="004341B5">
                                    <w:rPr>
                                      <w:spacing w:val="-4"/>
                                      <w:sz w:val="20"/>
                                      <w:szCs w:val="20"/>
                                    </w:rPr>
                                    <w:t xml:space="preserve">Human activities, including energy use, land use changes, and industry, release GHGs that trap heat and contribute to global warming and climate change. </w:t>
                                  </w:r>
                                </w:p>
                                <w:p w14:paraId="74F2A263" w14:textId="359CF9F6" w:rsidR="00D10F3C" w:rsidRPr="001931E3" w:rsidRDefault="00D10F3C" w:rsidP="00D10F3C">
                                  <w:pPr>
                                    <w:spacing w:line="240" w:lineRule="auto"/>
                                    <w:rPr>
                                      <w:szCs w:val="24"/>
                                    </w:rPr>
                                  </w:pPr>
                                  <w:r>
                                    <w:rPr>
                                      <w:spacing w:val="-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7319" id="_x0000_s1027" type="#_x0000_t202" style="position:absolute;margin-left:162.9pt;margin-top:130.9pt;width:11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zK/AEAANU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" filled="f" stroked="f">
                      <v:textbox style="mso-fit-shape-to-text:t">
                        <w:txbxContent>
                          <w:p w14:paraId="3647694F" w14:textId="77777777" w:rsidR="004341B5" w:rsidRPr="004341B5" w:rsidRDefault="004341B5" w:rsidP="004341B5">
                            <w:pPr>
                              <w:spacing w:line="240" w:lineRule="auto"/>
                              <w:rPr>
                                <w:spacing w:val="-4"/>
                                <w:sz w:val="20"/>
                                <w:szCs w:val="20"/>
                              </w:rPr>
                            </w:pPr>
                            <w:r w:rsidRPr="004341B5">
                              <w:rPr>
                                <w:spacing w:val="-4"/>
                                <w:sz w:val="20"/>
                                <w:szCs w:val="20"/>
                              </w:rPr>
                              <w:t xml:space="preserve">Human activities, including energy use, land use changes, and industry, release GHGs that trap heat and contribute to global warming and climate change. </w:t>
                            </w:r>
                          </w:p>
                          <w:p w14:paraId="74F2A263" w14:textId="359CF9F6" w:rsidR="00D10F3C" w:rsidRPr="001931E3" w:rsidRDefault="00D10F3C" w:rsidP="00D10F3C">
                            <w:pPr>
                              <w:spacing w:line="240" w:lineRule="auto"/>
                              <w:rPr>
                                <w:szCs w:val="24"/>
                              </w:rPr>
                            </w:pPr>
                            <w:r>
                              <w:rPr>
                                <w:spacing w:val="-4"/>
                                <w:szCs w:val="24"/>
                              </w:rPr>
                              <w:t>.</w:t>
                            </w:r>
                          </w:p>
                        </w:txbxContent>
                      </v:textbox>
                      <w10:wrap type="square"/>
                    </v:shape>
                  </w:pict>
                </mc:Fallback>
              </mc:AlternateContent>
            </w:r>
            <w:r w:rsidR="004C0743">
              <w:rPr>
                <w:b/>
                <w:bCs/>
                <w:noProof/>
              </w:rPr>
              <mc:AlternateContent>
                <mc:Choice Requires="wps">
                  <w:drawing>
                    <wp:anchor distT="45720" distB="45720" distL="114300" distR="114300" simplePos="0" relativeHeight="251658243" behindDoc="0" locked="0" layoutInCell="1" allowOverlap="1" wp14:anchorId="77FA97C2" wp14:editId="6BAF2743">
                      <wp:simplePos x="0" y="0"/>
                      <wp:positionH relativeFrom="column">
                        <wp:posOffset>3364865</wp:posOffset>
                      </wp:positionH>
                      <wp:positionV relativeFrom="paragraph">
                        <wp:posOffset>1443990</wp:posOffset>
                      </wp:positionV>
                      <wp:extent cx="1537335" cy="1404620"/>
                      <wp:effectExtent l="0" t="0" r="0" b="0"/>
                      <wp:wrapSquare wrapText="bothSides"/>
                      <wp:docPr id="125623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404620"/>
                              </a:xfrm>
                              <a:prstGeom prst="rect">
                                <a:avLst/>
                              </a:prstGeom>
                              <a:noFill/>
                              <a:ln w="9525">
                                <a:noFill/>
                                <a:miter lim="800000"/>
                                <a:headEnd/>
                                <a:tailEnd/>
                              </a:ln>
                            </wps:spPr>
                            <wps:txbx>
                              <w:txbxContent>
                                <w:p w14:paraId="0D89A7AF" w14:textId="7F8B10E0" w:rsidR="00D10F3C" w:rsidRPr="004341B5" w:rsidRDefault="004C0743" w:rsidP="00D10F3C">
                                  <w:pPr>
                                    <w:spacing w:line="240" w:lineRule="auto"/>
                                    <w:jc w:val="right"/>
                                    <w:rPr>
                                      <w:sz w:val="20"/>
                                      <w:szCs w:val="20"/>
                                    </w:rPr>
                                  </w:pPr>
                                  <w:r w:rsidRPr="004C0743">
                                    <w:rPr>
                                      <w:sz w:val="20"/>
                                      <w:szCs w:val="20"/>
                                    </w:rPr>
                                    <w:t xml:space="preserve">Climate change </w:t>
                                  </w:r>
                                  <w:r>
                                    <w:rPr>
                                      <w:sz w:val="20"/>
                                      <w:szCs w:val="20"/>
                                    </w:rPr>
                                    <w:t xml:space="preserve">increases </w:t>
                                  </w:r>
                                  <w:r w:rsidRPr="004C0743">
                                    <w:rPr>
                                      <w:sz w:val="20"/>
                                      <w:szCs w:val="20"/>
                                    </w:rPr>
                                    <w:t>the frequency and severity of impacts such as extreme heat, drought, flooding, wildfire, changing precipitation patterns, and sea level rise.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A97C2" id="_x0000_s1028" type="#_x0000_t202" style="position:absolute;margin-left:264.95pt;margin-top:113.7pt;width:121.0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" filled="f" stroked="f">
                      <v:textbox style="mso-fit-shape-to-text:t">
                        <w:txbxContent>
                          <w:p w14:paraId="0D89A7AF" w14:textId="7F8B10E0" w:rsidR="00D10F3C" w:rsidRPr="004341B5" w:rsidRDefault="004C0743" w:rsidP="00D10F3C">
                            <w:pPr>
                              <w:spacing w:line="240" w:lineRule="auto"/>
                              <w:jc w:val="right"/>
                              <w:rPr>
                                <w:sz w:val="20"/>
                                <w:szCs w:val="20"/>
                              </w:rPr>
                            </w:pPr>
                            <w:r w:rsidRPr="004C0743">
                              <w:rPr>
                                <w:sz w:val="20"/>
                                <w:szCs w:val="20"/>
                              </w:rPr>
                              <w:t xml:space="preserve">Climate change </w:t>
                            </w:r>
                            <w:r>
                              <w:rPr>
                                <w:sz w:val="20"/>
                                <w:szCs w:val="20"/>
                              </w:rPr>
                              <w:t xml:space="preserve">increases </w:t>
                            </w:r>
                            <w:r w:rsidRPr="004C0743">
                              <w:rPr>
                                <w:sz w:val="20"/>
                                <w:szCs w:val="20"/>
                              </w:rPr>
                              <w:t>the frequency and severity of impacts such as extreme heat, drought, flooding, wildfire, changing precipitation patterns, and sea level rise.</w:t>
                            </w:r>
                          </w:p>
                        </w:txbxContent>
                      </v:textbox>
                      <w10:wrap type="square"/>
                    </v:shape>
                  </w:pict>
                </mc:Fallback>
              </mc:AlternateContent>
            </w:r>
            <w:r w:rsidR="00D23318">
              <w:rPr>
                <w:b/>
                <w:bCs/>
                <w:noProof/>
              </w:rPr>
              <mc:AlternateContent>
                <mc:Choice Requires="wps">
                  <w:drawing>
                    <wp:anchor distT="45720" distB="45720" distL="114300" distR="114300" simplePos="0" relativeHeight="251658241" behindDoc="0" locked="0" layoutInCell="1" allowOverlap="1" wp14:anchorId="522A4A38" wp14:editId="5E098B44">
                      <wp:simplePos x="0" y="0"/>
                      <wp:positionH relativeFrom="column">
                        <wp:posOffset>-27256</wp:posOffset>
                      </wp:positionH>
                      <wp:positionV relativeFrom="paragraph">
                        <wp:posOffset>1588770</wp:posOffset>
                      </wp:positionV>
                      <wp:extent cx="1551305" cy="1404620"/>
                      <wp:effectExtent l="0" t="0" r="0" b="0"/>
                      <wp:wrapSquare wrapText="bothSides"/>
                      <wp:docPr id="20476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404620"/>
                              </a:xfrm>
                              <a:prstGeom prst="rect">
                                <a:avLst/>
                              </a:prstGeom>
                              <a:noFill/>
                              <a:ln w="9525">
                                <a:noFill/>
                                <a:miter lim="800000"/>
                                <a:headEnd/>
                                <a:tailEnd/>
                              </a:ln>
                            </wps:spPr>
                            <wps:txbx>
                              <w:txbxContent>
                                <w:p w14:paraId="0E2C7BB2" w14:textId="017149CD" w:rsidR="00D10F3C" w:rsidRPr="00A77CE7" w:rsidRDefault="00A77CE7" w:rsidP="00D10F3C">
                                  <w:pPr>
                                    <w:spacing w:line="240" w:lineRule="auto"/>
                                    <w:ind w:left="-180"/>
                                    <w:jc w:val="right"/>
                                    <w:rPr>
                                      <w:sz w:val="20"/>
                                      <w:szCs w:val="20"/>
                                    </w:rPr>
                                  </w:pPr>
                                  <w:r w:rsidRPr="00A77CE7">
                                    <w:rPr>
                                      <w:bCs/>
                                      <w:sz w:val="20"/>
                                      <w:szCs w:val="20"/>
                                    </w:rPr>
                                    <w:t>Climate change</w:t>
                                  </w:r>
                                  <w:r w:rsidRPr="00A77CE7">
                                    <w:rPr>
                                      <w:b/>
                                      <w:sz w:val="20"/>
                                      <w:szCs w:val="20"/>
                                    </w:rPr>
                                    <w:t xml:space="preserve"> mitigation</w:t>
                                  </w:r>
                                  <w:r w:rsidRPr="00A77CE7">
                                    <w:rPr>
                                      <w:sz w:val="20"/>
                                      <w:szCs w:val="20"/>
                                    </w:rPr>
                                    <w:t xml:space="preserve"> focuses on reducing greenhouse gas emissions to limit the severity of future climate impacts</w:t>
                                  </w:r>
                                  <w:r>
                                    <w:rPr>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2A4A38" id="_x0000_s1029" type="#_x0000_t202" style="position:absolute;margin-left:-2.15pt;margin-top:125.1pt;width:122.1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" filled="f" stroked="f">
                      <v:textbox style="mso-fit-shape-to-text:t">
                        <w:txbxContent>
                          <w:p w14:paraId="0E2C7BB2" w14:textId="017149CD" w:rsidR="00D10F3C" w:rsidRPr="00A77CE7" w:rsidRDefault="00A77CE7" w:rsidP="00D10F3C">
                            <w:pPr>
                              <w:spacing w:line="240" w:lineRule="auto"/>
                              <w:ind w:left="-180"/>
                              <w:jc w:val="right"/>
                              <w:rPr>
                                <w:sz w:val="20"/>
                                <w:szCs w:val="20"/>
                              </w:rPr>
                            </w:pPr>
                            <w:r w:rsidRPr="00A77CE7">
                              <w:rPr>
                                <w:bCs/>
                                <w:sz w:val="20"/>
                                <w:szCs w:val="20"/>
                              </w:rPr>
                              <w:t>Climate change</w:t>
                            </w:r>
                            <w:r w:rsidRPr="00A77CE7">
                              <w:rPr>
                                <w:b/>
                                <w:sz w:val="20"/>
                                <w:szCs w:val="20"/>
                              </w:rPr>
                              <w:t xml:space="preserve"> mitigation</w:t>
                            </w:r>
                            <w:r w:rsidRPr="00A77CE7">
                              <w:rPr>
                                <w:sz w:val="20"/>
                                <w:szCs w:val="20"/>
                              </w:rPr>
                              <w:t xml:space="preserve"> focuses on reducing greenhouse gas emissions to limit the severity of future climate impacts</w:t>
                            </w:r>
                            <w:r>
                              <w:rPr>
                                <w:sz w:val="20"/>
                                <w:szCs w:val="20"/>
                              </w:rPr>
                              <w:t>.</w:t>
                            </w:r>
                          </w:p>
                        </w:txbxContent>
                      </v:textbox>
                      <w10:wrap type="square"/>
                    </v:shape>
                  </w:pict>
                </mc:Fallback>
              </mc:AlternateContent>
            </w:r>
          </w:p>
        </w:tc>
      </w:tr>
    </w:tbl>
    <w:p w14:paraId="6B3BC739" w14:textId="77777777" w:rsidR="00DA6DC8" w:rsidRDefault="00DA6DC8"/>
    <w:p w14:paraId="76C266FB" w14:textId="546F6B29" w:rsidR="000A729A" w:rsidRDefault="000A729A">
      <w:r>
        <w:t>State</w:t>
      </w:r>
      <w:r>
        <w:rPr>
          <w:spacing w:val="-5"/>
          <w:szCs w:val="24"/>
        </w:rPr>
        <w:t xml:space="preserve"> </w:t>
      </w:r>
      <w:r>
        <w:t>law</w:t>
      </w:r>
      <w:r>
        <w:rPr>
          <w:spacing w:val="-5"/>
          <w:szCs w:val="24"/>
        </w:rPr>
        <w:t xml:space="preserve"> </w:t>
      </w:r>
      <w:r>
        <w:t>requires</w:t>
      </w:r>
      <w:r>
        <w:rPr>
          <w:spacing w:val="-5"/>
          <w:szCs w:val="24"/>
        </w:rPr>
        <w:t xml:space="preserve"> </w:t>
      </w:r>
      <w:r>
        <w:t>communities</w:t>
      </w:r>
      <w:r>
        <w:rPr>
          <w:spacing w:val="-5"/>
          <w:szCs w:val="24"/>
        </w:rPr>
        <w:t xml:space="preserve"> </w:t>
      </w:r>
      <w:r>
        <w:t>to</w:t>
      </w:r>
      <w:r>
        <w:rPr>
          <w:spacing w:val="-5"/>
          <w:szCs w:val="24"/>
        </w:rPr>
        <w:t xml:space="preserve"> </w:t>
      </w:r>
      <w:r>
        <w:t>address</w:t>
      </w:r>
      <w:r>
        <w:rPr>
          <w:spacing w:val="-5"/>
          <w:szCs w:val="24"/>
        </w:rPr>
        <w:t xml:space="preserve"> </w:t>
      </w:r>
      <w:r>
        <w:t>GHG</w:t>
      </w:r>
      <w:r>
        <w:rPr>
          <w:spacing w:val="-5"/>
          <w:szCs w:val="24"/>
        </w:rPr>
        <w:t xml:space="preserve"> </w:t>
      </w:r>
      <w:r>
        <w:t>emissions</w:t>
      </w:r>
      <w:r>
        <w:rPr>
          <w:spacing w:val="-5"/>
          <w:szCs w:val="24"/>
        </w:rPr>
        <w:t xml:space="preserve"> </w:t>
      </w:r>
      <w:r>
        <w:t>(and</w:t>
      </w:r>
      <w:r>
        <w:rPr>
          <w:spacing w:val="-5"/>
          <w:szCs w:val="24"/>
        </w:rPr>
        <w:t xml:space="preserve"> </w:t>
      </w:r>
      <w:r>
        <w:t>climate change mitigation)</w:t>
      </w:r>
      <w:r>
        <w:rPr>
          <w:spacing w:val="-5"/>
          <w:szCs w:val="24"/>
        </w:rPr>
        <w:t xml:space="preserve"> </w:t>
      </w:r>
      <w:r>
        <w:t>in</w:t>
      </w:r>
      <w:r>
        <w:rPr>
          <w:spacing w:val="-6"/>
          <w:szCs w:val="24"/>
        </w:rPr>
        <w:t xml:space="preserve"> </w:t>
      </w:r>
      <w:r>
        <w:t>local planning and environmental review processes and climate adaptation in local long-range</w:t>
      </w:r>
      <w:r>
        <w:rPr>
          <w:spacing w:val="-6"/>
          <w:szCs w:val="24"/>
        </w:rPr>
        <w:t xml:space="preserve"> </w:t>
      </w:r>
      <w:r>
        <w:t>planning</w:t>
      </w:r>
      <w:r>
        <w:rPr>
          <w:spacing w:val="-6"/>
          <w:szCs w:val="24"/>
        </w:rPr>
        <w:t xml:space="preserve"> </w:t>
      </w:r>
      <w:r>
        <w:t>processes,</w:t>
      </w:r>
      <w:r>
        <w:rPr>
          <w:spacing w:val="-6"/>
          <w:szCs w:val="24"/>
        </w:rPr>
        <w:t xml:space="preserve"> </w:t>
      </w:r>
      <w:r>
        <w:t>such</w:t>
      </w:r>
      <w:r>
        <w:rPr>
          <w:spacing w:val="-6"/>
          <w:szCs w:val="24"/>
        </w:rPr>
        <w:t xml:space="preserve"> </w:t>
      </w:r>
      <w:r>
        <w:t>as</w:t>
      </w:r>
      <w:r>
        <w:rPr>
          <w:spacing w:val="-7"/>
          <w:szCs w:val="24"/>
        </w:rPr>
        <w:t xml:space="preserve"> </w:t>
      </w:r>
      <w:r>
        <w:t>general</w:t>
      </w:r>
      <w:r>
        <w:rPr>
          <w:spacing w:val="-6"/>
          <w:szCs w:val="24"/>
        </w:rPr>
        <w:t xml:space="preserve"> </w:t>
      </w:r>
      <w:r>
        <w:t>plans</w:t>
      </w:r>
      <w:r>
        <w:rPr>
          <w:spacing w:val="-6"/>
          <w:szCs w:val="24"/>
        </w:rPr>
        <w:t xml:space="preserve"> </w:t>
      </w:r>
      <w:r>
        <w:t>(or</w:t>
      </w:r>
      <w:r>
        <w:rPr>
          <w:spacing w:val="-6"/>
          <w:szCs w:val="24"/>
        </w:rPr>
        <w:t xml:space="preserve"> </w:t>
      </w:r>
      <w:r>
        <w:t xml:space="preserve">acceptable alternative). These requirements are established through </w:t>
      </w:r>
      <w:hyperlink r:id="rId64" w:history="1">
        <w:r w:rsidR="00DD6AAC">
          <w:rPr>
            <w:rStyle w:val="Hyperlink"/>
          </w:rPr>
          <w:t xml:space="preserve">SB 97 </w:t>
        </w:r>
      </w:hyperlink>
      <w:r>
        <w:t xml:space="preserve"> (Dutton, 2007), which directs consideration of greenhouse gas emissions in environmental review under the </w:t>
      </w:r>
      <w:hyperlink r:id="rId65" w:history="1">
        <w:r>
          <w:rPr>
            <w:rStyle w:val="Hyperlink"/>
          </w:rPr>
          <w:t>California Environmental Quality Act</w:t>
        </w:r>
      </w:hyperlink>
      <w:r>
        <w:t xml:space="preserve"> (CEQA), and </w:t>
      </w:r>
      <w:hyperlink r:id="rId66" w:history="1">
        <w:r>
          <w:rPr>
            <w:rStyle w:val="Hyperlink"/>
          </w:rPr>
          <w:t>SB 379</w:t>
        </w:r>
      </w:hyperlink>
      <w:r>
        <w:t xml:space="preserve"> (Jackson, 2015), which requires cities and counties to address climate adaptation and resiliency through their general plan safety elements or an acceptable alternative. </w:t>
      </w:r>
    </w:p>
    <w:p w14:paraId="247B9642" w14:textId="77777777" w:rsidR="00077D78" w:rsidRPr="00461C13" w:rsidRDefault="00077D78" w:rsidP="00B9378D"/>
    <w:p w14:paraId="61E10133" w14:textId="77777777" w:rsidR="00EF276C" w:rsidRPr="00461C13" w:rsidRDefault="00EF276C" w:rsidP="00EF276C">
      <w:pPr>
        <w:pStyle w:val="BodyText"/>
        <w:spacing w:before="160" w:line="240" w:lineRule="auto"/>
      </w:pPr>
      <w:r>
        <w:lastRenderedPageBreak/>
        <w:t xml:space="preserve">Climate adaptation and mitigation planning should consider the needs of populations that may experience disproportionate impacts from climate-related hazards. Factors such as age, disability, language, income, housing, health, and other social or economic conditions can increase vulnerability to these events. </w:t>
      </w:r>
    </w:p>
    <w:p w14:paraId="78371B03" w14:textId="46EBEDFC" w:rsidR="00F63979" w:rsidRPr="00461C13" w:rsidRDefault="000A729A" w:rsidP="00B54EBA">
      <w:pPr>
        <w:spacing w:before="160" w:line="240" w:lineRule="auto"/>
        <w:rPr>
          <w:szCs w:val="24"/>
        </w:rPr>
      </w:pPr>
      <w:r>
        <w:rPr>
          <w:szCs w:val="24"/>
        </w:rPr>
        <w:t>Communities should evaluate their specific needs and priorities when deciding how best to balance these strategies. Communities can prepare one stand-alone plan to address</w:t>
      </w:r>
      <w:r>
        <w:rPr>
          <w:spacing w:val="-4"/>
          <w:szCs w:val="24"/>
        </w:rPr>
        <w:t xml:space="preserve"> </w:t>
      </w:r>
      <w:r>
        <w:rPr>
          <w:szCs w:val="24"/>
        </w:rPr>
        <w:t>GHG</w:t>
      </w:r>
      <w:r>
        <w:rPr>
          <w:spacing w:val="-4"/>
          <w:szCs w:val="24"/>
        </w:rPr>
        <w:t xml:space="preserve"> </w:t>
      </w:r>
      <w:r>
        <w:rPr>
          <w:szCs w:val="24"/>
        </w:rPr>
        <w:t>reduction</w:t>
      </w:r>
      <w:r>
        <w:rPr>
          <w:spacing w:val="-4"/>
          <w:szCs w:val="24"/>
        </w:rPr>
        <w:t xml:space="preserve"> </w:t>
      </w:r>
      <w:r>
        <w:rPr>
          <w:szCs w:val="24"/>
        </w:rPr>
        <w:t>and</w:t>
      </w:r>
      <w:r>
        <w:rPr>
          <w:spacing w:val="-4"/>
          <w:szCs w:val="24"/>
        </w:rPr>
        <w:t xml:space="preserve"> </w:t>
      </w:r>
      <w:r>
        <w:rPr>
          <w:szCs w:val="24"/>
        </w:rPr>
        <w:t>climate</w:t>
      </w:r>
      <w:r>
        <w:rPr>
          <w:spacing w:val="-4"/>
          <w:szCs w:val="24"/>
        </w:rPr>
        <w:t xml:space="preserve"> </w:t>
      </w:r>
      <w:r>
        <w:rPr>
          <w:szCs w:val="24"/>
        </w:rPr>
        <w:t>adaptation,</w:t>
      </w:r>
      <w:r>
        <w:rPr>
          <w:spacing w:val="-4"/>
          <w:szCs w:val="24"/>
        </w:rPr>
        <w:t xml:space="preserve"> </w:t>
      </w:r>
      <w:r>
        <w:rPr>
          <w:szCs w:val="24"/>
        </w:rPr>
        <w:t>prepare</w:t>
      </w:r>
      <w:r>
        <w:rPr>
          <w:spacing w:val="-4"/>
          <w:szCs w:val="24"/>
        </w:rPr>
        <w:t xml:space="preserve"> </w:t>
      </w:r>
      <w:r>
        <w:rPr>
          <w:szCs w:val="24"/>
        </w:rPr>
        <w:t>separate</w:t>
      </w:r>
      <w:r>
        <w:rPr>
          <w:spacing w:val="-4"/>
          <w:szCs w:val="24"/>
        </w:rPr>
        <w:t xml:space="preserve"> </w:t>
      </w:r>
      <w:r>
        <w:rPr>
          <w:szCs w:val="24"/>
        </w:rPr>
        <w:t>stand-alone</w:t>
      </w:r>
      <w:r>
        <w:rPr>
          <w:spacing w:val="-4"/>
          <w:szCs w:val="24"/>
        </w:rPr>
        <w:t xml:space="preserve"> </w:t>
      </w:r>
      <w:r>
        <w:rPr>
          <w:szCs w:val="24"/>
        </w:rPr>
        <w:t>plans for each topic, or integrate the topics into other plans and planning processes.</w:t>
      </w:r>
    </w:p>
    <w:p w14:paraId="1AF598BB" w14:textId="478DA247" w:rsidR="000A729A" w:rsidRPr="00B57886" w:rsidRDefault="000A729A" w:rsidP="00B54EBA">
      <w:pPr>
        <w:spacing w:before="160" w:line="240" w:lineRule="auto"/>
      </w:pPr>
      <w:r>
        <w:t xml:space="preserve">While there are numerous </w:t>
      </w:r>
      <w:r w:rsidR="00A77CE7">
        <w:t xml:space="preserve">synergies </w:t>
      </w:r>
      <w:r>
        <w:t>between climate adaptation and GHG reduction, there are also instances where there may be trade-offs. These trade-offs should be considered and balanced in the context of a broader planning framework that addresses community goals and needs. It is essential to reduce emissions and plan for impacts simultaneously because efforts to adapt will be overwhelmed by the harm done by climate change if emissions are not reduced.</w:t>
      </w:r>
    </w:p>
    <w:p w14:paraId="36E083EA" w14:textId="2D3ED475" w:rsidR="000A729A" w:rsidRPr="00692137" w:rsidRDefault="00942CF3" w:rsidP="00B54EBA">
      <w:pPr>
        <w:spacing w:before="160" w:line="240" w:lineRule="auto"/>
        <w:rPr>
          <w:szCs w:val="24"/>
        </w:rPr>
      </w:pPr>
      <w:r>
        <w:rPr>
          <w:b/>
        </w:rPr>
        <w:t>Climate Change Mitigation</w:t>
      </w:r>
      <w:r>
        <w:t>,</w:t>
      </w:r>
      <w:r>
        <w:rPr>
          <w:b/>
        </w:rPr>
        <w:t xml:space="preserve"> Adaptation</w:t>
      </w:r>
      <w:r>
        <w:t xml:space="preserve">, and </w:t>
      </w:r>
      <w:r>
        <w:rPr>
          <w:b/>
        </w:rPr>
        <w:t>Hazard Mitigation</w:t>
      </w:r>
      <w:r>
        <w:t xml:space="preserve"> are all crucial resiliency measures that work together to minimize the impacts of hazards expected to become more frequent due to climate change. These approaches reinforce one another and are collectively necessary for a comprehensive climate resilience strategy. Local entities are encouraged to engage in all of these efforts.</w:t>
      </w:r>
    </w:p>
    <w:p w14:paraId="5E2F1873" w14:textId="2403F511" w:rsidR="000A729A" w:rsidRPr="00692137" w:rsidRDefault="000A729A" w:rsidP="00B54EBA">
      <w:pPr>
        <w:pStyle w:val="BodyText"/>
        <w:spacing w:before="160" w:line="240" w:lineRule="auto"/>
      </w:pPr>
      <w:r>
        <w:t>An</w:t>
      </w:r>
      <w:r>
        <w:rPr>
          <w:b/>
        </w:rPr>
        <w:t xml:space="preserve"> integrated approach</w:t>
      </w:r>
      <w:r>
        <w:t xml:space="preserve"> to climate change involves adapting to future climate conditions and reducing GHG emissions. Climate adaptation activities can have several benefits, such as increased public health and safety, greater economic stability, reduced healthcare and infrastructure costs, increased housing resilience, improved air and water quality, and better stormwater management. Climate adaptation strategies can also lead to cost savings (</w:t>
      </w:r>
      <w:hyperlink r:id="rId67">
        <w:r>
          <w:rPr>
            <w:rStyle w:val="Hyperlink"/>
          </w:rPr>
          <w:t>California SHMP, 2023</w:t>
        </w:r>
      </w:hyperlink>
      <w:r>
        <w:t>).</w:t>
      </w:r>
    </w:p>
    <w:p w14:paraId="5723CFA2" w14:textId="77777777" w:rsidR="000A729A" w:rsidRPr="00692137" w:rsidRDefault="000A729A" w:rsidP="00B54EBA">
      <w:pPr>
        <w:pStyle w:val="BodyText"/>
        <w:spacing w:before="160" w:line="240" w:lineRule="auto"/>
        <w:rPr>
          <w:szCs w:val="24"/>
        </w:rPr>
      </w:pPr>
    </w:p>
    <w:p w14:paraId="6D7A7429" w14:textId="19451AB8" w:rsidR="005F38E3" w:rsidRPr="00692137" w:rsidRDefault="005F38E3" w:rsidP="005F38E3">
      <w:pPr>
        <w:pStyle w:val="Heading2"/>
        <w:spacing w:before="160" w:after="160" w:line="240" w:lineRule="auto"/>
      </w:pPr>
      <w:bookmarkStart w:id="24" w:name="_Toc235802665"/>
      <w:r>
        <w:t>How</w:t>
      </w:r>
      <w:r>
        <w:rPr>
          <w:spacing w:val="-16"/>
        </w:rPr>
        <w:t xml:space="preserve"> </w:t>
      </w:r>
      <w:r w:rsidR="3DF6A3A7">
        <w:t>i</w:t>
      </w:r>
      <w:r>
        <w:t>s Equity Integrated into Climate Adaptation</w:t>
      </w:r>
      <w:bookmarkEnd w:id="24"/>
    </w:p>
    <w:p w14:paraId="0033048F" w14:textId="36E7CE99" w:rsidR="005F38E3" w:rsidRPr="000A62FF" w:rsidRDefault="005F38E3" w:rsidP="005F38E3">
      <w:pPr>
        <w:pStyle w:val="BodyText"/>
        <w:spacing w:before="160" w:line="240" w:lineRule="auto"/>
        <w:rPr>
          <w:szCs w:val="24"/>
        </w:rPr>
      </w:pPr>
      <w:r>
        <w:t xml:space="preserve">Communities across California are increasingly prioritizing resilience as climate impacts become more frequent and severe. However, climate change does not affect all communities equally. Low-income Black, Brown, Indigenous, and other historically marginalized communities often face greater exposure to climate hazards while having fewer resources and opportunities to adapt. Historic disinvestment, inequitable land-use decisions, and other structural barriers have constrained adaptive capacity and increased vulnerability to climate-related risks. </w:t>
      </w:r>
      <w:r>
        <w:rPr>
          <w:szCs w:val="24"/>
        </w:rPr>
        <w:t xml:space="preserve">Resilience and adaptation efforts must be rooted in </w:t>
      </w:r>
      <w:r>
        <w:rPr>
          <w:szCs w:val="24"/>
        </w:rPr>
        <w:lastRenderedPageBreak/>
        <w:t>equitable processes and focus on delivering equitable outcomes for those most vulnerable to climate-driven hazards and impacts.</w:t>
      </w:r>
    </w:p>
    <w:p w14:paraId="4042882A" w14:textId="77777777" w:rsidR="005F38E3" w:rsidRPr="000A62FF" w:rsidRDefault="005F38E3" w:rsidP="005F38E3">
      <w:pPr>
        <w:pStyle w:val="BodyText"/>
        <w:spacing w:before="160" w:line="240" w:lineRule="auto"/>
        <w:rPr>
          <w:szCs w:val="24"/>
        </w:rPr>
      </w:pPr>
      <w:r>
        <w:rPr>
          <w:szCs w:val="24"/>
        </w:rPr>
        <w:t>Climate adaptation planning provides a critical opportunity to address both historic and ongoing inequities while investing in climate mitigation, adaptation, and improved outcomes for underserved communities. Without intentional integration of equity, these plans risk worsening the very disparities they aim to address.</w:t>
      </w:r>
    </w:p>
    <w:p w14:paraId="536E7F29" w14:textId="00F91776" w:rsidR="005F38E3" w:rsidRDefault="005F38E3" w:rsidP="005F38E3">
      <w:pPr>
        <w:pStyle w:val="BodyText"/>
        <w:spacing w:before="160" w:line="240" w:lineRule="auto"/>
      </w:pPr>
      <w:r>
        <w:rPr>
          <w:color w:val="000000" w:themeColor="text1"/>
        </w:rPr>
        <w:t xml:space="preserve">In this guide, </w:t>
      </w:r>
      <w:r>
        <w:rPr>
          <w:b/>
          <w:bCs/>
          <w:color w:val="000000" w:themeColor="text1"/>
        </w:rPr>
        <w:t>equity</w:t>
      </w:r>
      <w:r>
        <w:rPr>
          <w:color w:val="000000" w:themeColor="text1"/>
        </w:rPr>
        <w:t xml:space="preserve"> </w:t>
      </w:r>
      <w:r>
        <w:t>means that all</w:t>
      </w:r>
      <w:r>
        <w:rPr>
          <w:spacing w:val="-1"/>
          <w:szCs w:val="24"/>
        </w:rPr>
        <w:t xml:space="preserve"> </w:t>
      </w:r>
      <w:r>
        <w:t>people are fairly included in society and that everyone is able to participate, prosper, and achieve their full potential. It recognizes that individuals and communities experience different advantages and challenges, and that planning processes must account for these differences to ensure fair outcomes</w:t>
      </w:r>
      <w:r w:rsidR="0041687A">
        <w:t xml:space="preserve"> (Adaptation Planning Guide, 2020) </w:t>
      </w:r>
    </w:p>
    <w:p w14:paraId="51113032" w14:textId="6254ED4D" w:rsidR="005F38E3" w:rsidRDefault="005F38E3" w:rsidP="005F38E3">
      <w:pPr>
        <w:pStyle w:val="BodyText"/>
        <w:spacing w:before="160" w:line="240" w:lineRule="auto"/>
        <w:rPr>
          <w:color w:val="000000" w:themeColor="text1"/>
        </w:rPr>
      </w:pPr>
      <w:r>
        <w:rPr>
          <w:color w:val="000000" w:themeColor="text1"/>
        </w:rPr>
        <w:t xml:space="preserve">Building equity into climate resilience planning and implementation means addressing and eliminating the disproportionate impacts affecting frontline communities and working to dismantle barriers that have prevented these communities from thriving. The goal is not only to help communities recover from climate-related hazards, but to create conditions where all communities can thrive before and after disasters. This is an opportunity to improve long-term community well-being and support more resilient communities for future generations. </w:t>
      </w:r>
    </w:p>
    <w:p w14:paraId="1C89AA62" w14:textId="77777777" w:rsidR="005F38E3" w:rsidRPr="00F5372A" w:rsidRDefault="005F38E3" w:rsidP="005F38E3">
      <w:pPr>
        <w:pStyle w:val="BodyText"/>
        <w:spacing w:before="160" w:line="240" w:lineRule="auto"/>
        <w:rPr>
          <w:szCs w:val="24"/>
        </w:rPr>
      </w:pPr>
      <w:r>
        <w:rPr>
          <w:szCs w:val="24"/>
        </w:rPr>
        <w:t>This guide embeds equity throughout the planning process. In practice, this means:</w:t>
      </w:r>
    </w:p>
    <w:p w14:paraId="685A3B67" w14:textId="35084A2C" w:rsidR="005F38E3" w:rsidRDefault="005F38E3">
      <w:pPr>
        <w:pStyle w:val="ListParagraph"/>
        <w:numPr>
          <w:ilvl w:val="0"/>
          <w:numId w:val="57"/>
        </w:numPr>
        <w:spacing w:line="240" w:lineRule="auto"/>
      </w:pPr>
      <w:r>
        <w:rPr>
          <w:b/>
          <w:bCs/>
          <w:color w:val="000000" w:themeColor="text1"/>
        </w:rPr>
        <w:t>Procedural</w:t>
      </w:r>
      <w:r>
        <w:rPr>
          <w:color w:val="000000" w:themeColor="text1"/>
        </w:rPr>
        <w:t xml:space="preserve"> </w:t>
      </w:r>
      <w:r>
        <w:rPr>
          <w:b/>
          <w:bCs/>
          <w:color w:val="000000" w:themeColor="text1"/>
        </w:rPr>
        <w:t>equity</w:t>
      </w:r>
      <w:r>
        <w:rPr>
          <w:color w:val="000000" w:themeColor="text1"/>
        </w:rPr>
        <w:t xml:space="preserve">: Empowering vulnerable communities to influence planning and investment </w:t>
      </w:r>
      <w:r>
        <w:rPr>
          <w:bCs/>
          <w:szCs w:val="24"/>
        </w:rPr>
        <w:t>decisions</w:t>
      </w:r>
      <w:r>
        <w:rPr>
          <w:color w:val="000000" w:themeColor="text1"/>
        </w:rPr>
        <w:t xml:space="preserve"> (</w:t>
      </w:r>
      <w:hyperlink r:id="rId68">
        <w:r>
          <w:rPr>
            <w:rStyle w:val="Hyperlink"/>
          </w:rPr>
          <w:t>California Climate Adaptation Strategy</w:t>
        </w:r>
      </w:hyperlink>
      <w:r>
        <w:t>, 2024).</w:t>
      </w:r>
    </w:p>
    <w:p w14:paraId="68A5DB65" w14:textId="4A12CF40" w:rsidR="005F38E3" w:rsidRDefault="005F38E3">
      <w:pPr>
        <w:pStyle w:val="ListParagraph"/>
        <w:numPr>
          <w:ilvl w:val="0"/>
          <w:numId w:val="57"/>
        </w:numPr>
        <w:spacing w:line="240" w:lineRule="auto"/>
      </w:pPr>
      <w:r>
        <w:rPr>
          <w:b/>
          <w:bCs/>
          <w:color w:val="000000" w:themeColor="text1"/>
        </w:rPr>
        <w:t>Distributional equity</w:t>
      </w:r>
      <w:r>
        <w:rPr>
          <w:color w:val="000000" w:themeColor="text1"/>
        </w:rPr>
        <w:t xml:space="preserve">: Prioritizing vulnerable communities and individuals in adaptation actions to </w:t>
      </w:r>
      <w:r>
        <w:rPr>
          <w:bCs/>
          <w:szCs w:val="24"/>
        </w:rPr>
        <w:t>address</w:t>
      </w:r>
      <w:r>
        <w:rPr>
          <w:color w:val="000000" w:themeColor="text1"/>
        </w:rPr>
        <w:t xml:space="preserve"> past underinvestment (</w:t>
      </w:r>
      <w:hyperlink r:id="rId69">
        <w:r>
          <w:rPr>
            <w:rStyle w:val="Hyperlink"/>
          </w:rPr>
          <w:t>California Climate Adaptation Strategy</w:t>
        </w:r>
      </w:hyperlink>
      <w:r>
        <w:t>, 2024).</w:t>
      </w:r>
    </w:p>
    <w:p w14:paraId="3DDEB0FF" w14:textId="42C8C136" w:rsidR="005F38E3" w:rsidRPr="004533F4" w:rsidRDefault="005F38E3">
      <w:pPr>
        <w:pStyle w:val="ListParagraph"/>
        <w:widowControl w:val="0"/>
        <w:numPr>
          <w:ilvl w:val="0"/>
          <w:numId w:val="33"/>
        </w:numPr>
        <w:autoSpaceDE w:val="0"/>
        <w:autoSpaceDN w:val="0"/>
        <w:spacing w:before="160" w:line="240" w:lineRule="auto"/>
        <w:ind w:left="720"/>
        <w:rPr>
          <w:color w:val="000000" w:themeColor="text1"/>
        </w:rPr>
      </w:pPr>
      <w:r>
        <w:rPr>
          <w:b/>
          <w:bCs/>
        </w:rPr>
        <w:t>Structural equity</w:t>
      </w:r>
      <w:r>
        <w:rPr>
          <w:b/>
        </w:rPr>
        <w:t xml:space="preserve">: </w:t>
      </w:r>
      <w:r>
        <w:t>I</w:t>
      </w:r>
      <w:r>
        <w:rPr>
          <w:color w:val="000000" w:themeColor="text1"/>
        </w:rPr>
        <w:t>mplementing policies and programs that address historic underinvestment in communities (</w:t>
      </w:r>
      <w:hyperlink r:id="rId70" w:history="1">
        <w:r>
          <w:rPr>
            <w:rStyle w:val="Hyperlink"/>
          </w:rPr>
          <w:t>Georgetown Climate Center, 2020</w:t>
        </w:r>
      </w:hyperlink>
      <w:r>
        <w:t>).</w:t>
      </w:r>
    </w:p>
    <w:p w14:paraId="2338F16B" w14:textId="73B00503" w:rsidR="005F38E3" w:rsidRDefault="2443EBC4" w:rsidP="55DEB025">
      <w:pPr>
        <w:pStyle w:val="BodyText"/>
        <w:spacing w:before="160" w:line="240" w:lineRule="auto"/>
        <w:rPr>
          <w:color w:val="000000" w:themeColor="text1"/>
        </w:rPr>
      </w:pPr>
      <w:r w:rsidRPr="55DEB025">
        <w:rPr>
          <w:color w:val="000000" w:themeColor="text1"/>
        </w:rPr>
        <w:t>Procedural, distributional, and structural equity</w:t>
      </w:r>
      <w:r w:rsidR="00AB4F5B" w:rsidRPr="55DEB025">
        <w:rPr>
          <w:color w:val="000000" w:themeColor="text1"/>
        </w:rPr>
        <w:t>,</w:t>
      </w:r>
      <w:r w:rsidR="005F38E3" w:rsidRPr="55DEB025">
        <w:rPr>
          <w:color w:val="000000" w:themeColor="text1"/>
        </w:rPr>
        <w:t xml:space="preserve"> reflect a commitment to ensuring that communities have a voice in decision-making and that adaptation planning and implementation are carried out through inclusive and representative engagement processes.</w:t>
      </w:r>
    </w:p>
    <w:p w14:paraId="5A9253FC" w14:textId="77777777" w:rsidR="005F38E3" w:rsidRPr="00502826" w:rsidRDefault="005F38E3" w:rsidP="005F38E3">
      <w:pPr>
        <w:pStyle w:val="BodyText"/>
        <w:spacing w:before="160" w:line="240" w:lineRule="auto"/>
        <w:rPr>
          <w:szCs w:val="24"/>
        </w:rPr>
      </w:pPr>
      <w:r>
        <w:rPr>
          <w:szCs w:val="24"/>
        </w:rPr>
        <w:t>The APG provides tools and guidance for equitable climate adaptation across all four phases of the planning process, with each phase supporting a different part of planning and implementation.</w:t>
      </w:r>
    </w:p>
    <w:p w14:paraId="42780F71" w14:textId="306629A7" w:rsidR="005F38E3" w:rsidRPr="00502826" w:rsidRDefault="005F38E3" w:rsidP="005F38E3">
      <w:pPr>
        <w:pStyle w:val="BodyText"/>
        <w:spacing w:before="160" w:line="240" w:lineRule="auto"/>
      </w:pPr>
      <w:hyperlink w:anchor="_Toc235190045" w:history="1">
        <w:r>
          <w:rPr>
            <w:b/>
          </w:rPr>
          <w:t>Phase 1</w:t>
        </w:r>
        <w:r>
          <w:rPr>
            <w:b/>
            <w:bCs/>
          </w:rPr>
          <w:t>:</w:t>
        </w:r>
        <w:r>
          <w:rPr>
            <w:b/>
          </w:rPr>
          <w:t xml:space="preserve"> Define, Assess, and Initiate</w:t>
        </w:r>
      </w:hyperlink>
      <w:r>
        <w:br/>
        <w:t xml:space="preserve">Phase 1 focuses on building inclusive and equitable engagement from the start. It provides tools, worksheets, and California case studies that help communities design participatory planning processes grounded in local knowledge and equitable decision making. Recognizing and building upon existing community strengths creates an asset-based approach, which uses knowledge, relationship and cultural practices that communities already possess. </w:t>
      </w:r>
    </w:p>
    <w:p w14:paraId="5A05FAAB" w14:textId="1B7B33F1" w:rsidR="00F040BC" w:rsidRDefault="005F38E3" w:rsidP="005F38E3">
      <w:pPr>
        <w:pStyle w:val="BodyText"/>
        <w:spacing w:before="160" w:line="240" w:lineRule="auto"/>
      </w:pPr>
      <w:hyperlink w:anchor="_Toc235190059" w:history="1">
        <w:r>
          <w:rPr>
            <w:b/>
          </w:rPr>
          <w:t>Phase 2</w:t>
        </w:r>
        <w:r>
          <w:rPr>
            <w:b/>
            <w:bCs/>
          </w:rPr>
          <w:t>:</w:t>
        </w:r>
        <w:r>
          <w:rPr>
            <w:b/>
          </w:rPr>
          <w:t xml:space="preserve"> Assess Vulnerability</w:t>
        </w:r>
      </w:hyperlink>
      <w:r>
        <w:br/>
        <w:t xml:space="preserve">Phase 2 focuses on understanding local </w:t>
      </w:r>
      <w:r w:rsidR="00620E3B">
        <w:t xml:space="preserve">climate hazards and </w:t>
      </w:r>
      <w:r>
        <w:t>conditions</w:t>
      </w:r>
      <w:r w:rsidR="00E56454">
        <w:t>.</w:t>
      </w:r>
      <w:r>
        <w:t xml:space="preserve"> </w:t>
      </w:r>
      <w:r w:rsidR="00620E3B">
        <w:t xml:space="preserve">It offers </w:t>
      </w:r>
      <w:r>
        <w:t>data, mapping, and screening tools that combine exposure with social, economic, environmental, and demographic information. These tools help identify communities most in need of support and prioritize adaptation actions</w:t>
      </w:r>
      <w:r w:rsidR="00063E91">
        <w:t xml:space="preserve">. Qualitative input from </w:t>
      </w:r>
      <w:r>
        <w:t>workshops, surveys, and interviews</w:t>
      </w:r>
      <w:r w:rsidR="0037682A">
        <w:t xml:space="preserve"> should be used to support</w:t>
      </w:r>
      <w:r w:rsidR="00853CB0">
        <w:t xml:space="preserve"> and provide context to these quantit</w:t>
      </w:r>
      <w:r w:rsidR="00F040BC">
        <w:t xml:space="preserve">ative tools. </w:t>
      </w:r>
    </w:p>
    <w:p w14:paraId="4A1C75C1" w14:textId="5450C6C0" w:rsidR="005F38E3" w:rsidRPr="00502826" w:rsidRDefault="49160066" w:rsidP="005F38E3">
      <w:pPr>
        <w:pStyle w:val="BodyText"/>
        <w:spacing w:before="160" w:line="240" w:lineRule="auto"/>
      </w:pPr>
      <w:hyperlink w:anchor="_Toc235190081" w:history="1">
        <w:r>
          <w:rPr>
            <w:b/>
          </w:rPr>
          <w:t>Phase 3: Define Adaptation Framework and Strategies</w:t>
        </w:r>
      </w:hyperlink>
      <w:r w:rsidR="005F38E3">
        <w:br/>
      </w:r>
      <w:r>
        <w:t>Phase 3 focuses on identifying, developing, and prioritizing equitable adaptation strategies and interventions.</w:t>
      </w:r>
    </w:p>
    <w:p w14:paraId="40DE551D" w14:textId="39B46627" w:rsidR="005F38E3" w:rsidRPr="0015109A" w:rsidRDefault="005F38E3" w:rsidP="005F38E3">
      <w:pPr>
        <w:pStyle w:val="BodyText"/>
        <w:spacing w:before="160" w:line="240" w:lineRule="auto"/>
      </w:pPr>
      <w:hyperlink w:anchor="_Toc235190095" w:history="1">
        <w:r>
          <w:rPr>
            <w:b/>
          </w:rPr>
          <w:t>Phase 4: Implement, Monitor, Evaluate, and Adjust</w:t>
        </w:r>
      </w:hyperlink>
      <w:r>
        <w:br/>
        <w:t>Phase 4 focuses on putting strategies into action. It includes financing and implementing tools with equity in mind and monitoring tools to track progress and maintain ongoing public engagement.</w:t>
      </w:r>
    </w:p>
    <w:p w14:paraId="2C7417DF" w14:textId="77777777" w:rsidR="005F38E3" w:rsidRDefault="005F38E3" w:rsidP="005F38E3">
      <w:pPr>
        <w:pStyle w:val="BodyText"/>
        <w:spacing w:before="160" w:line="240" w:lineRule="auto"/>
        <w:rPr>
          <w:rFonts w:eastAsia="Aptos" w:cs="Arial"/>
          <w:color w:val="000000" w:themeColor="text1"/>
          <w:szCs w:val="24"/>
        </w:rPr>
      </w:pPr>
      <w:r>
        <w:rPr>
          <w:rFonts w:eastAsia="Aptos" w:cs="Arial"/>
          <w:color w:val="000000" w:themeColor="text1"/>
          <w:szCs w:val="24"/>
        </w:rPr>
        <w:t>The APG recommends incorporating equity throughout the planning process from start to finish. Equitable climate adaptation planning presents the opportunity to holistically address both the cumulative burden of climate change and systemic socioeconomic disparities.</w:t>
      </w:r>
    </w:p>
    <w:p w14:paraId="48991A15" w14:textId="57B217DB" w:rsidR="005F38E3" w:rsidRDefault="005F38E3" w:rsidP="006D5AD4">
      <w:pPr>
        <w:pStyle w:val="Heading2"/>
        <w:rPr>
          <w:szCs w:val="24"/>
        </w:rPr>
      </w:pPr>
      <w:r>
        <w:br w:type="page"/>
      </w:r>
    </w:p>
    <w:p w14:paraId="2D85519D" w14:textId="79FCBADD" w:rsidR="000A729A" w:rsidRPr="00692137" w:rsidRDefault="00251BFB" w:rsidP="009E4B0B">
      <w:pPr>
        <w:pStyle w:val="Heading2"/>
        <w:spacing w:before="160" w:after="160" w:line="240" w:lineRule="auto"/>
        <w:rPr>
          <w:b w:val="0"/>
        </w:rPr>
      </w:pPr>
      <w:bookmarkStart w:id="25" w:name="_Toc235802666"/>
      <w:r>
        <w:lastRenderedPageBreak/>
        <w:t>What is Plan Alignment?</w:t>
      </w:r>
      <w:bookmarkEnd w:id="25"/>
    </w:p>
    <w:p w14:paraId="6E98B6CB" w14:textId="4ED7BE7F" w:rsidR="000A729A" w:rsidRPr="00E57121" w:rsidRDefault="000A729A" w:rsidP="009E4B0B">
      <w:pPr>
        <w:pStyle w:val="BodyText"/>
        <w:spacing w:before="160" w:line="240" w:lineRule="auto"/>
      </w:pPr>
      <w:r>
        <w:t xml:space="preserve">Plan alignment is the process of leveraging connections, information, and resources to build shared language, data foundations, and processes across multiple planning efforts at any scale. </w:t>
      </w:r>
      <w:r w:rsidR="3BCD99C3" w:rsidRPr="00BB3F62">
        <w:rPr>
          <w:rFonts w:eastAsia="Century Gothic" w:cs="Century Gothic"/>
          <w:color w:val="000000" w:themeColor="text1"/>
          <w:szCs w:val="24"/>
        </w:rPr>
        <w:t>Plan alignment presents an opportunity for a jurisdiction to create a single vision for itself through multiple aligned planning efforts.</w:t>
      </w:r>
      <w:r w:rsidR="3BCD99C3" w:rsidRPr="00BB3F62">
        <w:rPr>
          <w:color w:val="000000" w:themeColor="text1"/>
        </w:rPr>
        <w:t xml:space="preserve"> </w:t>
      </w:r>
      <w:r>
        <w:t>At its core, plan alignment is based on collaboration.</w:t>
      </w:r>
    </w:p>
    <w:p w14:paraId="73A983E0" w14:textId="5F68B03A" w:rsidR="000A729A" w:rsidRPr="00E57121" w:rsidRDefault="000A729A" w:rsidP="009E4B0B">
      <w:pPr>
        <w:pStyle w:val="BodyText"/>
        <w:spacing w:before="160" w:line="240" w:lineRule="auto"/>
      </w:pPr>
      <w:r>
        <w:t>The results of plan alignment include a suite of plans with different scopes and purposes sharing common data, similar underlying assumptions, aligned visions, and complementary goals, strategies, and actions. It also creates a shared understanding, process, and structure that allows multiple entities within a community or region to continue collaborating and aligning efforts over the long term. For example, a county developing a Hazard Mitigation Plan may be able to use shared information and vulnerability data from its Community Wildfire Protection Plan (CWPP) to identify wildfire risks and coordinate investments. Aligning these plans can help prioritize actions, such as fuel reduction projects, emergency preparedness efforts, and infrastructure improvements in areas with the greatest need.</w:t>
      </w:r>
    </w:p>
    <w:p w14:paraId="74F61892" w14:textId="4EE28226" w:rsidR="000A729A" w:rsidRPr="00E57121" w:rsidRDefault="000A729A" w:rsidP="009E4B0B">
      <w:pPr>
        <w:pStyle w:val="BodyText"/>
        <w:spacing w:before="160" w:line="240" w:lineRule="auto"/>
      </w:pPr>
      <w:r>
        <w:t>Other benefits include reduced duplication of effort, lower potential for policy conflicts, streamlined public outreach, and increased eligibility for implementation funding (</w:t>
      </w:r>
      <w:hyperlink r:id="rId71">
        <w:r w:rsidRPr="55DEB025">
          <w:rPr>
            <w:rStyle w:val="Hyperlink"/>
          </w:rPr>
          <w:t>ICARP</w:t>
        </w:r>
      </w:hyperlink>
      <w:r>
        <w:t>). Aligning plans can also demonstrate grant competitiveness by demonstrating need, co-benefits, readiness, partnerships, and consistency with state priorities. Ultimately, plan alignment often helps different departments within the same jurisdiction coordinate efforts and programs at every phase of the planning process. Climate adaptation planning does not occur in isolation. It is closely linked with and can be advanced through existing local and regional planning efforts that may include:</w:t>
      </w:r>
    </w:p>
    <w:p w14:paraId="4399E799" w14:textId="77777777" w:rsidR="00442DA3" w:rsidRPr="00442DA3" w:rsidRDefault="000A729A">
      <w:pPr>
        <w:pStyle w:val="ListParagraph"/>
        <w:widowControl w:val="0"/>
        <w:numPr>
          <w:ilvl w:val="0"/>
          <w:numId w:val="33"/>
        </w:numPr>
        <w:tabs>
          <w:tab w:val="left" w:pos="1620"/>
        </w:tabs>
        <w:autoSpaceDE w:val="0"/>
        <w:autoSpaceDN w:val="0"/>
        <w:spacing w:before="160" w:line="240" w:lineRule="auto"/>
        <w:ind w:left="720"/>
        <w:rPr>
          <w:b/>
          <w:szCs w:val="24"/>
        </w:rPr>
      </w:pPr>
      <w:r>
        <w:rPr>
          <w:b/>
          <w:szCs w:val="24"/>
        </w:rPr>
        <w:t>Local</w:t>
      </w:r>
      <w:r>
        <w:rPr>
          <w:b/>
          <w:spacing w:val="-7"/>
          <w:szCs w:val="24"/>
        </w:rPr>
        <w:t xml:space="preserve"> </w:t>
      </w:r>
      <w:r>
        <w:rPr>
          <w:b/>
          <w:szCs w:val="24"/>
        </w:rPr>
        <w:t>Coastal</w:t>
      </w:r>
      <w:r>
        <w:rPr>
          <w:b/>
          <w:spacing w:val="-7"/>
          <w:szCs w:val="24"/>
        </w:rPr>
        <w:t xml:space="preserve"> </w:t>
      </w:r>
      <w:r>
        <w:rPr>
          <w:b/>
          <w:szCs w:val="24"/>
        </w:rPr>
        <w:t>Programs</w:t>
      </w:r>
      <w:r>
        <w:rPr>
          <w:b/>
          <w:spacing w:val="-7"/>
          <w:szCs w:val="24"/>
        </w:rPr>
        <w:t xml:space="preserve"> </w:t>
      </w:r>
      <w:r>
        <w:rPr>
          <w:b/>
          <w:szCs w:val="24"/>
        </w:rPr>
        <w:t>(LCPs):</w:t>
      </w:r>
      <w:r>
        <w:rPr>
          <w:b/>
          <w:spacing w:val="-7"/>
          <w:szCs w:val="24"/>
        </w:rPr>
        <w:t xml:space="preserve"> </w:t>
      </w:r>
      <w:r>
        <w:rPr>
          <w:szCs w:val="24"/>
        </w:rPr>
        <w:t>Local</w:t>
      </w:r>
      <w:r>
        <w:rPr>
          <w:spacing w:val="-7"/>
          <w:szCs w:val="24"/>
        </w:rPr>
        <w:t xml:space="preserve"> </w:t>
      </w:r>
      <w:r>
        <w:rPr>
          <w:szCs w:val="24"/>
        </w:rPr>
        <w:t>governments</w:t>
      </w:r>
      <w:r>
        <w:rPr>
          <w:spacing w:val="-6"/>
          <w:szCs w:val="24"/>
        </w:rPr>
        <w:t xml:space="preserve"> </w:t>
      </w:r>
      <w:r>
        <w:rPr>
          <w:szCs w:val="24"/>
        </w:rPr>
        <w:t>in</w:t>
      </w:r>
      <w:r>
        <w:rPr>
          <w:spacing w:val="-6"/>
          <w:szCs w:val="24"/>
        </w:rPr>
        <w:t xml:space="preserve"> </w:t>
      </w:r>
      <w:r>
        <w:rPr>
          <w:szCs w:val="24"/>
        </w:rPr>
        <w:t>the</w:t>
      </w:r>
      <w:r>
        <w:rPr>
          <w:spacing w:val="-6"/>
          <w:szCs w:val="24"/>
        </w:rPr>
        <w:t xml:space="preserve"> </w:t>
      </w:r>
      <w:r>
        <w:rPr>
          <w:szCs w:val="24"/>
        </w:rPr>
        <w:t>coastal</w:t>
      </w:r>
      <w:r>
        <w:rPr>
          <w:spacing w:val="-7"/>
          <w:szCs w:val="24"/>
        </w:rPr>
        <w:t xml:space="preserve"> </w:t>
      </w:r>
      <w:r>
        <w:rPr>
          <w:szCs w:val="24"/>
        </w:rPr>
        <w:t>zone</w:t>
      </w:r>
      <w:r>
        <w:rPr>
          <w:spacing w:val="-6"/>
          <w:szCs w:val="24"/>
        </w:rPr>
        <w:t xml:space="preserve"> </w:t>
      </w:r>
      <w:r>
        <w:rPr>
          <w:szCs w:val="24"/>
        </w:rPr>
        <w:t>must</w:t>
      </w:r>
      <w:r>
        <w:rPr>
          <w:spacing w:val="-6"/>
          <w:szCs w:val="24"/>
        </w:rPr>
        <w:t xml:space="preserve"> </w:t>
      </w:r>
      <w:r>
        <w:rPr>
          <w:szCs w:val="24"/>
        </w:rPr>
        <w:t>prepare policies and standards for development in the coastal zone consistent with the Coastal Act and certified by the Coastal Commission. Local coastal programs contain the ground rules for future development and protection of coastal resources. Climate change issues, particularly sea-level rise and associated</w:t>
      </w:r>
      <w:r>
        <w:rPr>
          <w:spacing w:val="40"/>
          <w:szCs w:val="24"/>
        </w:rPr>
        <w:t xml:space="preserve"> </w:t>
      </w:r>
      <w:r>
        <w:rPr>
          <w:szCs w:val="24"/>
        </w:rPr>
        <w:t>effects, should be addressed in the LCP for both the short and long term.</w:t>
      </w:r>
    </w:p>
    <w:p w14:paraId="2EF7B0D2" w14:textId="00E7D71B" w:rsidR="002B06C0" w:rsidRPr="00442DA3" w:rsidRDefault="00BD666F">
      <w:pPr>
        <w:pStyle w:val="ListParagraph"/>
        <w:widowControl w:val="0"/>
        <w:numPr>
          <w:ilvl w:val="0"/>
          <w:numId w:val="33"/>
        </w:numPr>
        <w:tabs>
          <w:tab w:val="left" w:pos="1620"/>
        </w:tabs>
        <w:autoSpaceDE w:val="0"/>
        <w:autoSpaceDN w:val="0"/>
        <w:spacing w:before="160" w:line="240" w:lineRule="auto"/>
        <w:ind w:left="720"/>
        <w:rPr>
          <w:b/>
          <w:szCs w:val="24"/>
        </w:rPr>
      </w:pPr>
      <w:r w:rsidRPr="00442DA3">
        <w:rPr>
          <w:b/>
          <w:bCs/>
        </w:rPr>
        <w:t>Subregional Shoreline Adaptation Plans:</w:t>
      </w:r>
      <w:r>
        <w:t xml:space="preserve"> </w:t>
      </w:r>
      <w:r w:rsidR="00616D93" w:rsidRPr="00442DA3">
        <w:rPr>
          <w:szCs w:val="24"/>
        </w:rPr>
        <w:t xml:space="preserve">Under </w:t>
      </w:r>
      <w:hyperlink r:id="rId72" w:history="1">
        <w:r w:rsidR="00616D93" w:rsidRPr="00442DA3">
          <w:rPr>
            <w:rStyle w:val="Hyperlink"/>
            <w:szCs w:val="24"/>
          </w:rPr>
          <w:t xml:space="preserve">SB 272 </w:t>
        </w:r>
      </w:hyperlink>
      <w:r w:rsidR="00616D93" w:rsidRPr="00442DA3">
        <w:rPr>
          <w:szCs w:val="24"/>
        </w:rPr>
        <w:t xml:space="preserve">(Laird, 2023), </w:t>
      </w:r>
      <w:r w:rsidR="0032786B" w:rsidRPr="00442DA3">
        <w:rPr>
          <w:szCs w:val="24"/>
        </w:rPr>
        <w:t>local governments within the jurisdictions of the California Coastal Commission and the San Francisco Bay Conservation and Development Commission (BCDC) must meet additional sea level rise adaptation planning requirements by following their respective agency guidelines. For jurisdictions within BCDC, this includes preparing subregional shoreline adaptation plans consistent with the </w:t>
      </w:r>
      <w:hyperlink r:id="rId73" w:history="1">
        <w:r w:rsidR="00442DA3" w:rsidRPr="00442DA3">
          <w:rPr>
            <w:rStyle w:val="Hyperlink"/>
            <w:szCs w:val="24"/>
          </w:rPr>
          <w:t>Regional Shoreline Adaptation Plan</w:t>
        </w:r>
      </w:hyperlink>
      <w:r w:rsidR="00442DA3">
        <w:rPr>
          <w:szCs w:val="24"/>
        </w:rPr>
        <w:t xml:space="preserve"> </w:t>
      </w:r>
      <w:r w:rsidR="0032786B" w:rsidRPr="00442DA3">
        <w:rPr>
          <w:szCs w:val="24"/>
        </w:rPr>
        <w:t>(RSAP) Guidelines.</w:t>
      </w:r>
      <w:r w:rsidR="00442DA3" w:rsidRPr="00442DA3">
        <w:rPr>
          <w:szCs w:val="24"/>
        </w:rPr>
        <w:t xml:space="preserve"> </w:t>
      </w:r>
      <w:r>
        <w:t xml:space="preserve">These plans provide an important framework for </w:t>
      </w:r>
      <w:r>
        <w:lastRenderedPageBreak/>
        <w:t>coordinating shoreline adaptation efforts and should be considered for alignment with local climate adaptation planning processes.</w:t>
      </w:r>
      <w:r w:rsidR="002B06C0">
        <w:t xml:space="preserve"> </w:t>
      </w:r>
    </w:p>
    <w:p w14:paraId="2C956185" w14:textId="70F9EAAA" w:rsidR="000A729A" w:rsidRPr="00E57121" w:rsidRDefault="000A729A">
      <w:pPr>
        <w:pStyle w:val="ListParagraph"/>
        <w:widowControl w:val="0"/>
        <w:numPr>
          <w:ilvl w:val="0"/>
          <w:numId w:val="33"/>
        </w:numPr>
        <w:tabs>
          <w:tab w:val="left" w:pos="1620"/>
        </w:tabs>
        <w:autoSpaceDE w:val="0"/>
        <w:autoSpaceDN w:val="0"/>
        <w:spacing w:before="160" w:line="240" w:lineRule="auto"/>
        <w:ind w:left="720"/>
        <w:rPr>
          <w:b/>
          <w:szCs w:val="24"/>
        </w:rPr>
      </w:pPr>
      <w:r>
        <w:rPr>
          <w:b/>
          <w:szCs w:val="24"/>
        </w:rPr>
        <w:t xml:space="preserve">Integrated Regional Water Management Plans (IRWMPs): </w:t>
      </w:r>
      <w:r>
        <w:rPr>
          <w:szCs w:val="24"/>
        </w:rPr>
        <w:t>IRWM</w:t>
      </w:r>
      <w:r>
        <w:rPr>
          <w:spacing w:val="-5"/>
          <w:szCs w:val="24"/>
        </w:rPr>
        <w:t xml:space="preserve"> </w:t>
      </w:r>
      <w:r>
        <w:rPr>
          <w:szCs w:val="24"/>
        </w:rPr>
        <w:t>groups</w:t>
      </w:r>
      <w:r>
        <w:rPr>
          <w:spacing w:val="-5"/>
          <w:szCs w:val="24"/>
        </w:rPr>
        <w:t xml:space="preserve"> </w:t>
      </w:r>
      <w:r>
        <w:rPr>
          <w:szCs w:val="24"/>
        </w:rPr>
        <w:t>(48</w:t>
      </w:r>
      <w:r>
        <w:rPr>
          <w:spacing w:val="-6"/>
          <w:szCs w:val="24"/>
        </w:rPr>
        <w:t xml:space="preserve"> </w:t>
      </w:r>
      <w:r>
        <w:rPr>
          <w:szCs w:val="24"/>
        </w:rPr>
        <w:t>in</w:t>
      </w:r>
      <w:r>
        <w:rPr>
          <w:spacing w:val="-5"/>
          <w:szCs w:val="24"/>
        </w:rPr>
        <w:t xml:space="preserve"> </w:t>
      </w:r>
      <w:r>
        <w:rPr>
          <w:szCs w:val="24"/>
        </w:rPr>
        <w:t>the</w:t>
      </w:r>
      <w:r>
        <w:rPr>
          <w:spacing w:val="-5"/>
          <w:szCs w:val="24"/>
        </w:rPr>
        <w:t xml:space="preserve"> </w:t>
      </w:r>
      <w:r>
        <w:rPr>
          <w:szCs w:val="24"/>
        </w:rPr>
        <w:t>state)</w:t>
      </w:r>
      <w:r>
        <w:rPr>
          <w:spacing w:val="-5"/>
          <w:szCs w:val="24"/>
        </w:rPr>
        <w:t xml:space="preserve"> </w:t>
      </w:r>
      <w:r>
        <w:rPr>
          <w:szCs w:val="24"/>
        </w:rPr>
        <w:t>are</w:t>
      </w:r>
      <w:r>
        <w:rPr>
          <w:spacing w:val="-5"/>
          <w:szCs w:val="24"/>
        </w:rPr>
        <w:t xml:space="preserve"> </w:t>
      </w:r>
      <w:r>
        <w:rPr>
          <w:szCs w:val="24"/>
        </w:rPr>
        <w:t>collaborative</w:t>
      </w:r>
      <w:r>
        <w:rPr>
          <w:spacing w:val="-5"/>
          <w:szCs w:val="24"/>
        </w:rPr>
        <w:t xml:space="preserve"> </w:t>
      </w:r>
      <w:r>
        <w:rPr>
          <w:szCs w:val="24"/>
        </w:rPr>
        <w:t>efforts</w:t>
      </w:r>
      <w:r>
        <w:rPr>
          <w:spacing w:val="-5"/>
          <w:szCs w:val="24"/>
        </w:rPr>
        <w:t xml:space="preserve"> </w:t>
      </w:r>
      <w:r>
        <w:rPr>
          <w:szCs w:val="24"/>
        </w:rPr>
        <w:t>to</w:t>
      </w:r>
      <w:r>
        <w:rPr>
          <w:spacing w:val="-5"/>
          <w:szCs w:val="24"/>
        </w:rPr>
        <w:t xml:space="preserve"> </w:t>
      </w:r>
      <w:r>
        <w:rPr>
          <w:szCs w:val="24"/>
        </w:rPr>
        <w:t>address</w:t>
      </w:r>
      <w:r>
        <w:rPr>
          <w:spacing w:val="-5"/>
          <w:szCs w:val="24"/>
        </w:rPr>
        <w:t xml:space="preserve"> </w:t>
      </w:r>
      <w:r>
        <w:rPr>
          <w:szCs w:val="24"/>
        </w:rPr>
        <w:t>regional water resources. The regional approach supports local jurisdictions by providing coordination and information. The associated grant funding for these programs supports adaptation strategy development and implementation.</w:t>
      </w:r>
    </w:p>
    <w:p w14:paraId="79CAF1AC" w14:textId="3D9EC7A8" w:rsidR="000A729A" w:rsidRPr="00E57121" w:rsidRDefault="000A729A">
      <w:pPr>
        <w:pStyle w:val="ListParagraph"/>
        <w:widowControl w:val="0"/>
        <w:numPr>
          <w:ilvl w:val="0"/>
          <w:numId w:val="33"/>
        </w:numPr>
        <w:tabs>
          <w:tab w:val="left" w:pos="1620"/>
        </w:tabs>
        <w:autoSpaceDE w:val="0"/>
        <w:autoSpaceDN w:val="0"/>
        <w:spacing w:before="160" w:line="240" w:lineRule="auto"/>
        <w:ind w:left="720"/>
        <w:rPr>
          <w:b/>
          <w:szCs w:val="24"/>
        </w:rPr>
      </w:pPr>
      <w:r>
        <w:rPr>
          <w:b/>
          <w:szCs w:val="24"/>
        </w:rPr>
        <w:t>Emergency</w:t>
      </w:r>
      <w:r>
        <w:rPr>
          <w:b/>
          <w:spacing w:val="-3"/>
          <w:szCs w:val="24"/>
        </w:rPr>
        <w:t xml:space="preserve"> </w:t>
      </w:r>
      <w:r>
        <w:rPr>
          <w:b/>
          <w:szCs w:val="24"/>
        </w:rPr>
        <w:t>Operations</w:t>
      </w:r>
      <w:r>
        <w:rPr>
          <w:b/>
          <w:spacing w:val="-3"/>
          <w:szCs w:val="24"/>
        </w:rPr>
        <w:t xml:space="preserve"> P</w:t>
      </w:r>
      <w:r>
        <w:rPr>
          <w:b/>
          <w:szCs w:val="24"/>
        </w:rPr>
        <w:t>lans (EOPs):</w:t>
      </w:r>
      <w:r>
        <w:rPr>
          <w:b/>
          <w:spacing w:val="-3"/>
          <w:szCs w:val="24"/>
        </w:rPr>
        <w:t xml:space="preserve"> </w:t>
      </w:r>
      <w:r>
        <w:rPr>
          <w:szCs w:val="24"/>
        </w:rPr>
        <w:t>Climate</w:t>
      </w:r>
      <w:r>
        <w:rPr>
          <w:spacing w:val="-2"/>
          <w:szCs w:val="24"/>
        </w:rPr>
        <w:t xml:space="preserve"> </w:t>
      </w:r>
      <w:r>
        <w:rPr>
          <w:szCs w:val="24"/>
        </w:rPr>
        <w:t>analyses</w:t>
      </w:r>
      <w:r>
        <w:rPr>
          <w:spacing w:val="-2"/>
          <w:szCs w:val="24"/>
        </w:rPr>
        <w:t xml:space="preserve"> </w:t>
      </w:r>
      <w:r>
        <w:rPr>
          <w:szCs w:val="24"/>
        </w:rPr>
        <w:t>could</w:t>
      </w:r>
      <w:r>
        <w:rPr>
          <w:spacing w:val="-2"/>
          <w:szCs w:val="24"/>
        </w:rPr>
        <w:t xml:space="preserve"> </w:t>
      </w:r>
      <w:r>
        <w:rPr>
          <w:szCs w:val="24"/>
        </w:rPr>
        <w:t>affect</w:t>
      </w:r>
      <w:r>
        <w:rPr>
          <w:spacing w:val="-2"/>
          <w:szCs w:val="24"/>
        </w:rPr>
        <w:t xml:space="preserve"> </w:t>
      </w:r>
      <w:r>
        <w:rPr>
          <w:szCs w:val="24"/>
        </w:rPr>
        <w:t>the</w:t>
      </w:r>
      <w:r>
        <w:rPr>
          <w:spacing w:val="-2"/>
          <w:szCs w:val="24"/>
        </w:rPr>
        <w:t xml:space="preserve"> </w:t>
      </w:r>
      <w:r>
        <w:rPr>
          <w:szCs w:val="24"/>
        </w:rPr>
        <w:t>scope</w:t>
      </w:r>
      <w:r>
        <w:rPr>
          <w:spacing w:val="-2"/>
          <w:szCs w:val="24"/>
        </w:rPr>
        <w:t xml:space="preserve"> </w:t>
      </w:r>
      <w:r>
        <w:rPr>
          <w:szCs w:val="24"/>
        </w:rPr>
        <w:t>of</w:t>
      </w:r>
      <w:r>
        <w:rPr>
          <w:spacing w:val="-2"/>
          <w:szCs w:val="24"/>
        </w:rPr>
        <w:t xml:space="preserve"> </w:t>
      </w:r>
      <w:r>
        <w:rPr>
          <w:szCs w:val="24"/>
        </w:rPr>
        <w:t>wildfire, flood, and extreme heat events. EOPs should consider how increased frequency and intensity of climate change hazards will affect emergency response and evacuations.</w:t>
      </w:r>
    </w:p>
    <w:p w14:paraId="79A642D3" w14:textId="5F1DF899" w:rsidR="000A729A" w:rsidRPr="00E57121" w:rsidRDefault="00027ED1">
      <w:pPr>
        <w:pStyle w:val="ListParagraph"/>
        <w:widowControl w:val="0"/>
        <w:numPr>
          <w:ilvl w:val="0"/>
          <w:numId w:val="33"/>
        </w:numPr>
        <w:tabs>
          <w:tab w:val="left" w:pos="1620"/>
        </w:tabs>
        <w:autoSpaceDE w:val="0"/>
        <w:autoSpaceDN w:val="0"/>
        <w:spacing w:before="160" w:line="240" w:lineRule="auto"/>
        <w:ind w:left="720"/>
        <w:rPr>
          <w:szCs w:val="24"/>
        </w:rPr>
      </w:pPr>
      <w:r>
        <w:rPr>
          <w:b/>
          <w:szCs w:val="24"/>
        </w:rPr>
        <w:t xml:space="preserve">Tribal Community Plans: </w:t>
      </w:r>
      <w:r>
        <w:rPr>
          <w:szCs w:val="24"/>
        </w:rPr>
        <w:t>Tribal plans, both sector specific and</w:t>
      </w:r>
      <w:r>
        <w:rPr>
          <w:spacing w:val="-4"/>
          <w:szCs w:val="24"/>
        </w:rPr>
        <w:t xml:space="preserve"> </w:t>
      </w:r>
      <w:r>
        <w:rPr>
          <w:szCs w:val="24"/>
        </w:rPr>
        <w:t>comprehensive,</w:t>
      </w:r>
      <w:r>
        <w:rPr>
          <w:spacing w:val="-4"/>
          <w:szCs w:val="24"/>
        </w:rPr>
        <w:t xml:space="preserve"> </w:t>
      </w:r>
      <w:r>
        <w:rPr>
          <w:szCs w:val="24"/>
        </w:rPr>
        <w:t>are</w:t>
      </w:r>
      <w:r>
        <w:rPr>
          <w:spacing w:val="-4"/>
          <w:szCs w:val="24"/>
        </w:rPr>
        <w:t xml:space="preserve"> </w:t>
      </w:r>
      <w:r>
        <w:rPr>
          <w:szCs w:val="24"/>
        </w:rPr>
        <w:t>appropriate</w:t>
      </w:r>
      <w:r>
        <w:rPr>
          <w:spacing w:val="-4"/>
          <w:szCs w:val="24"/>
        </w:rPr>
        <w:t xml:space="preserve"> </w:t>
      </w:r>
      <w:r>
        <w:rPr>
          <w:szCs w:val="24"/>
        </w:rPr>
        <w:t>plans</w:t>
      </w:r>
      <w:r>
        <w:rPr>
          <w:spacing w:val="-4"/>
          <w:szCs w:val="24"/>
        </w:rPr>
        <w:t xml:space="preserve"> </w:t>
      </w:r>
      <w:r>
        <w:rPr>
          <w:szCs w:val="24"/>
        </w:rPr>
        <w:t>for</w:t>
      </w:r>
      <w:r>
        <w:rPr>
          <w:spacing w:val="-4"/>
          <w:szCs w:val="24"/>
        </w:rPr>
        <w:t xml:space="preserve"> </w:t>
      </w:r>
      <w:r>
        <w:rPr>
          <w:szCs w:val="24"/>
        </w:rPr>
        <w:t>goals,</w:t>
      </w:r>
      <w:r>
        <w:rPr>
          <w:spacing w:val="-4"/>
          <w:szCs w:val="24"/>
        </w:rPr>
        <w:t xml:space="preserve"> </w:t>
      </w:r>
      <w:r>
        <w:rPr>
          <w:szCs w:val="24"/>
        </w:rPr>
        <w:t>objectives,</w:t>
      </w:r>
      <w:r>
        <w:rPr>
          <w:spacing w:val="-4"/>
          <w:szCs w:val="24"/>
        </w:rPr>
        <w:t xml:space="preserve"> </w:t>
      </w:r>
      <w:r>
        <w:rPr>
          <w:szCs w:val="24"/>
        </w:rPr>
        <w:t>and</w:t>
      </w:r>
      <w:r>
        <w:rPr>
          <w:spacing w:val="-4"/>
          <w:szCs w:val="24"/>
        </w:rPr>
        <w:t xml:space="preserve"> </w:t>
      </w:r>
      <w:r>
        <w:rPr>
          <w:szCs w:val="24"/>
        </w:rPr>
        <w:t>policies related</w:t>
      </w:r>
      <w:r>
        <w:rPr>
          <w:spacing w:val="-8"/>
          <w:szCs w:val="24"/>
        </w:rPr>
        <w:t xml:space="preserve"> </w:t>
      </w:r>
      <w:r>
        <w:rPr>
          <w:szCs w:val="24"/>
        </w:rPr>
        <w:t>to</w:t>
      </w:r>
      <w:r>
        <w:rPr>
          <w:spacing w:val="-8"/>
          <w:szCs w:val="24"/>
        </w:rPr>
        <w:t xml:space="preserve"> </w:t>
      </w:r>
      <w:r>
        <w:rPr>
          <w:szCs w:val="24"/>
        </w:rPr>
        <w:t>climate</w:t>
      </w:r>
      <w:r>
        <w:rPr>
          <w:spacing w:val="-8"/>
          <w:szCs w:val="24"/>
        </w:rPr>
        <w:t xml:space="preserve"> </w:t>
      </w:r>
      <w:r>
        <w:rPr>
          <w:szCs w:val="24"/>
        </w:rPr>
        <w:t>change</w:t>
      </w:r>
      <w:r>
        <w:rPr>
          <w:spacing w:val="-8"/>
          <w:szCs w:val="24"/>
        </w:rPr>
        <w:t xml:space="preserve"> </w:t>
      </w:r>
      <w:r>
        <w:rPr>
          <w:szCs w:val="24"/>
        </w:rPr>
        <w:t>adaptation</w:t>
      </w:r>
      <w:r>
        <w:rPr>
          <w:spacing w:val="-8"/>
          <w:szCs w:val="24"/>
        </w:rPr>
        <w:t xml:space="preserve"> </w:t>
      </w:r>
      <w:r>
        <w:rPr>
          <w:szCs w:val="24"/>
        </w:rPr>
        <w:t>and</w:t>
      </w:r>
      <w:r>
        <w:rPr>
          <w:spacing w:val="-8"/>
          <w:szCs w:val="24"/>
        </w:rPr>
        <w:t xml:space="preserve"> </w:t>
      </w:r>
      <w:r>
        <w:rPr>
          <w:szCs w:val="24"/>
        </w:rPr>
        <w:t>environmental</w:t>
      </w:r>
      <w:r>
        <w:rPr>
          <w:spacing w:val="-9"/>
          <w:szCs w:val="24"/>
        </w:rPr>
        <w:t xml:space="preserve"> </w:t>
      </w:r>
      <w:r>
        <w:rPr>
          <w:szCs w:val="24"/>
        </w:rPr>
        <w:t>justice.</w:t>
      </w:r>
      <w:r>
        <w:rPr>
          <w:spacing w:val="-8"/>
          <w:szCs w:val="24"/>
        </w:rPr>
        <w:t xml:space="preserve"> </w:t>
      </w:r>
      <w:r>
        <w:rPr>
          <w:szCs w:val="24"/>
        </w:rPr>
        <w:t>These</w:t>
      </w:r>
      <w:r>
        <w:rPr>
          <w:spacing w:val="-8"/>
          <w:szCs w:val="24"/>
        </w:rPr>
        <w:t xml:space="preserve"> </w:t>
      </w:r>
      <w:r>
        <w:rPr>
          <w:szCs w:val="24"/>
        </w:rPr>
        <w:t>plans ensure effective and efficient program administration and service delivery to communities and citizens.</w:t>
      </w:r>
    </w:p>
    <w:p w14:paraId="7A5E95DB" w14:textId="0769C34F" w:rsidR="000A729A" w:rsidRPr="00E57121" w:rsidRDefault="000A729A">
      <w:pPr>
        <w:pStyle w:val="ListParagraph"/>
        <w:widowControl w:val="0"/>
        <w:numPr>
          <w:ilvl w:val="0"/>
          <w:numId w:val="33"/>
        </w:numPr>
        <w:tabs>
          <w:tab w:val="left" w:pos="1620"/>
        </w:tabs>
        <w:autoSpaceDE w:val="0"/>
        <w:autoSpaceDN w:val="0"/>
        <w:spacing w:before="160" w:line="240" w:lineRule="auto"/>
        <w:ind w:left="720"/>
        <w:rPr>
          <w:szCs w:val="24"/>
        </w:rPr>
      </w:pPr>
      <w:r>
        <w:rPr>
          <w:b/>
          <w:szCs w:val="24"/>
        </w:rPr>
        <w:t xml:space="preserve">Community Health Assessments (CHAs) and Community Health Improvement Plans (CHIPs): </w:t>
      </w:r>
      <w:r>
        <w:rPr>
          <w:szCs w:val="24"/>
        </w:rPr>
        <w:t>Strategies addressing impacts on human health, public health systems, and medical services can be integrated into a CHIP,</w:t>
      </w:r>
      <w:r>
        <w:rPr>
          <w:spacing w:val="-4"/>
          <w:szCs w:val="24"/>
        </w:rPr>
        <w:t xml:space="preserve"> </w:t>
      </w:r>
      <w:r>
        <w:rPr>
          <w:szCs w:val="24"/>
        </w:rPr>
        <w:t>which</w:t>
      </w:r>
      <w:r>
        <w:rPr>
          <w:spacing w:val="-4"/>
          <w:szCs w:val="24"/>
        </w:rPr>
        <w:t xml:space="preserve"> </w:t>
      </w:r>
      <w:r>
        <w:rPr>
          <w:szCs w:val="24"/>
        </w:rPr>
        <w:t>is</w:t>
      </w:r>
      <w:r>
        <w:rPr>
          <w:spacing w:val="-4"/>
          <w:szCs w:val="24"/>
        </w:rPr>
        <w:t xml:space="preserve"> </w:t>
      </w:r>
      <w:r>
        <w:rPr>
          <w:szCs w:val="24"/>
        </w:rPr>
        <w:t>required</w:t>
      </w:r>
      <w:r>
        <w:rPr>
          <w:spacing w:val="-4"/>
          <w:szCs w:val="24"/>
        </w:rPr>
        <w:t xml:space="preserve"> </w:t>
      </w:r>
      <w:r>
        <w:rPr>
          <w:szCs w:val="24"/>
        </w:rPr>
        <w:t>as</w:t>
      </w:r>
      <w:r>
        <w:rPr>
          <w:spacing w:val="-4"/>
          <w:szCs w:val="24"/>
        </w:rPr>
        <w:t xml:space="preserve"> </w:t>
      </w:r>
      <w:r>
        <w:rPr>
          <w:szCs w:val="24"/>
        </w:rPr>
        <w:t>part</w:t>
      </w:r>
      <w:r>
        <w:rPr>
          <w:spacing w:val="-4"/>
          <w:szCs w:val="24"/>
        </w:rPr>
        <w:t xml:space="preserve"> </w:t>
      </w:r>
      <w:r>
        <w:rPr>
          <w:szCs w:val="24"/>
        </w:rPr>
        <w:t>of</w:t>
      </w:r>
      <w:r>
        <w:rPr>
          <w:spacing w:val="-4"/>
          <w:szCs w:val="24"/>
        </w:rPr>
        <w:t xml:space="preserve"> </w:t>
      </w:r>
      <w:r>
        <w:rPr>
          <w:szCs w:val="24"/>
        </w:rPr>
        <w:t>accreditation</w:t>
      </w:r>
      <w:r>
        <w:rPr>
          <w:spacing w:val="-4"/>
          <w:szCs w:val="24"/>
        </w:rPr>
        <w:t xml:space="preserve"> </w:t>
      </w:r>
      <w:r>
        <w:rPr>
          <w:szCs w:val="24"/>
        </w:rPr>
        <w:t>for</w:t>
      </w:r>
      <w:r>
        <w:rPr>
          <w:spacing w:val="-4"/>
          <w:szCs w:val="24"/>
        </w:rPr>
        <w:t xml:space="preserve"> </w:t>
      </w:r>
      <w:r>
        <w:rPr>
          <w:szCs w:val="24"/>
        </w:rPr>
        <w:t>local</w:t>
      </w:r>
      <w:r>
        <w:rPr>
          <w:spacing w:val="-5"/>
          <w:szCs w:val="24"/>
        </w:rPr>
        <w:t xml:space="preserve"> </w:t>
      </w:r>
      <w:r>
        <w:rPr>
          <w:szCs w:val="24"/>
        </w:rPr>
        <w:t>health</w:t>
      </w:r>
      <w:r>
        <w:rPr>
          <w:spacing w:val="-4"/>
          <w:szCs w:val="24"/>
        </w:rPr>
        <w:t xml:space="preserve"> </w:t>
      </w:r>
      <w:r>
        <w:rPr>
          <w:szCs w:val="24"/>
        </w:rPr>
        <w:t>departments.</w:t>
      </w:r>
    </w:p>
    <w:p w14:paraId="6366466D" w14:textId="20713D30" w:rsidR="00201D3E" w:rsidRDefault="000A729A">
      <w:pPr>
        <w:pStyle w:val="ListParagraph"/>
        <w:widowControl w:val="0"/>
        <w:numPr>
          <w:ilvl w:val="0"/>
          <w:numId w:val="33"/>
        </w:numPr>
        <w:tabs>
          <w:tab w:val="left" w:pos="1620"/>
        </w:tabs>
        <w:autoSpaceDE w:val="0"/>
        <w:autoSpaceDN w:val="0"/>
        <w:spacing w:before="160" w:line="240" w:lineRule="auto"/>
        <w:ind w:left="720"/>
        <w:rPr>
          <w:szCs w:val="24"/>
        </w:rPr>
      </w:pPr>
      <w:r>
        <w:rPr>
          <w:b/>
          <w:szCs w:val="24"/>
        </w:rPr>
        <w:t xml:space="preserve">Historic or Cultural Preservation Plans: </w:t>
      </w:r>
      <w:r>
        <w:rPr>
          <w:bCs/>
          <w:szCs w:val="24"/>
        </w:rPr>
        <w:t>Strategies aimed at mitigating the vulnerabilities of historic and cultural resources of all communities can be included in the goals and objectives of preservation plans.</w:t>
      </w:r>
    </w:p>
    <w:p w14:paraId="03771A41" w14:textId="37B57D79" w:rsidR="00D36108" w:rsidRPr="007C0807" w:rsidRDefault="00D36108">
      <w:pPr>
        <w:pStyle w:val="ListParagraph"/>
        <w:widowControl w:val="0"/>
        <w:numPr>
          <w:ilvl w:val="0"/>
          <w:numId w:val="33"/>
        </w:numPr>
        <w:tabs>
          <w:tab w:val="left" w:pos="1620"/>
        </w:tabs>
        <w:autoSpaceDE w:val="0"/>
        <w:autoSpaceDN w:val="0"/>
        <w:spacing w:before="160" w:line="240" w:lineRule="auto"/>
        <w:ind w:left="720"/>
        <w:rPr>
          <w:b/>
          <w:szCs w:val="24"/>
        </w:rPr>
      </w:pPr>
      <w:r>
        <w:rPr>
          <w:b/>
          <w:szCs w:val="24"/>
        </w:rPr>
        <w:t xml:space="preserve">Extreme Heat Action Plans: </w:t>
      </w:r>
      <w:r>
        <w:rPr>
          <w:bCs/>
          <w:szCs w:val="24"/>
        </w:rPr>
        <w:t>Strategic frameworks that guide local or regional jurisdictions in addressing the impacts of extreme heat on vulnerable populations and public infrastructure. These plans incorporate community engagement, public awareness, nature-based solutions, and a coordinated-whole-of-government approach to build resilience.</w:t>
      </w:r>
    </w:p>
    <w:p w14:paraId="406759D0" w14:textId="3DAA83B4" w:rsidR="00D36108" w:rsidRPr="007C0807" w:rsidRDefault="00D36108">
      <w:pPr>
        <w:pStyle w:val="ListParagraph"/>
        <w:widowControl w:val="0"/>
        <w:numPr>
          <w:ilvl w:val="0"/>
          <w:numId w:val="33"/>
        </w:numPr>
        <w:tabs>
          <w:tab w:val="left" w:pos="1620"/>
        </w:tabs>
        <w:autoSpaceDE w:val="0"/>
        <w:autoSpaceDN w:val="0"/>
        <w:spacing w:before="160" w:line="240" w:lineRule="auto"/>
        <w:ind w:left="720"/>
        <w:rPr>
          <w:b/>
          <w:szCs w:val="24"/>
        </w:rPr>
      </w:pPr>
      <w:r>
        <w:rPr>
          <w:b/>
          <w:szCs w:val="24"/>
        </w:rPr>
        <w:t>Community Wildfire Protection Plans</w:t>
      </w:r>
      <w:r>
        <w:rPr>
          <w:b/>
          <w:bCs/>
        </w:rPr>
        <w:t xml:space="preserve"> </w:t>
      </w:r>
      <w:r>
        <w:rPr>
          <w:b/>
        </w:rPr>
        <w:t>(</w:t>
      </w:r>
      <w:r>
        <w:rPr>
          <w:b/>
          <w:szCs w:val="24"/>
        </w:rPr>
        <w:t xml:space="preserve">CWPP): </w:t>
      </w:r>
      <w:r>
        <w:rPr>
          <w:bCs/>
          <w:szCs w:val="24"/>
        </w:rPr>
        <w:t>Strategic plans aimed at helping communities identify and reduce risks posed by wildfires.</w:t>
      </w:r>
    </w:p>
    <w:p w14:paraId="4C4F1187" w14:textId="5E908D8E" w:rsidR="000A729A" w:rsidRPr="00E57121" w:rsidRDefault="00F73BFE" w:rsidP="009E4B0B">
      <w:pPr>
        <w:pStyle w:val="BodyText"/>
        <w:spacing w:before="160" w:line="240" w:lineRule="auto"/>
      </w:pPr>
      <w:r>
        <w:t>How climate adaptation is integrated into other community planning processes varies</w:t>
      </w:r>
      <w:r>
        <w:rPr>
          <w:spacing w:val="-3"/>
          <w:szCs w:val="24"/>
        </w:rPr>
        <w:t xml:space="preserve"> </w:t>
      </w:r>
      <w:r>
        <w:t>by</w:t>
      </w:r>
      <w:r>
        <w:rPr>
          <w:spacing w:val="-3"/>
          <w:szCs w:val="24"/>
        </w:rPr>
        <w:t xml:space="preserve"> </w:t>
      </w:r>
      <w:r>
        <w:t>the</w:t>
      </w:r>
      <w:r>
        <w:rPr>
          <w:spacing w:val="-3"/>
          <w:szCs w:val="24"/>
        </w:rPr>
        <w:t xml:space="preserve"> </w:t>
      </w:r>
      <w:r>
        <w:t>needs</w:t>
      </w:r>
      <w:r>
        <w:rPr>
          <w:spacing w:val="-3"/>
          <w:szCs w:val="24"/>
        </w:rPr>
        <w:t xml:space="preserve"> </w:t>
      </w:r>
      <w:r>
        <w:t>of</w:t>
      </w:r>
      <w:r>
        <w:rPr>
          <w:spacing w:val="-3"/>
          <w:szCs w:val="24"/>
        </w:rPr>
        <w:t xml:space="preserve"> </w:t>
      </w:r>
      <w:r>
        <w:t>the</w:t>
      </w:r>
      <w:r>
        <w:rPr>
          <w:spacing w:val="-3"/>
          <w:szCs w:val="24"/>
        </w:rPr>
        <w:t xml:space="preserve"> </w:t>
      </w:r>
      <w:r>
        <w:t>community</w:t>
      </w:r>
      <w:r>
        <w:rPr>
          <w:spacing w:val="-3"/>
          <w:szCs w:val="24"/>
        </w:rPr>
        <w:t xml:space="preserve"> </w:t>
      </w:r>
      <w:r>
        <w:t>and</w:t>
      </w:r>
      <w:r>
        <w:rPr>
          <w:spacing w:val="-3"/>
          <w:szCs w:val="24"/>
        </w:rPr>
        <w:t xml:space="preserve"> </w:t>
      </w:r>
      <w:r>
        <w:t>how</w:t>
      </w:r>
      <w:r>
        <w:rPr>
          <w:spacing w:val="-3"/>
          <w:szCs w:val="24"/>
        </w:rPr>
        <w:t xml:space="preserve"> </w:t>
      </w:r>
      <w:r>
        <w:t>local</w:t>
      </w:r>
      <w:r>
        <w:rPr>
          <w:spacing w:val="-4"/>
          <w:szCs w:val="24"/>
        </w:rPr>
        <w:t xml:space="preserve"> </w:t>
      </w:r>
      <w:r>
        <w:t>adaptation</w:t>
      </w:r>
      <w:r>
        <w:rPr>
          <w:spacing w:val="-3"/>
          <w:szCs w:val="24"/>
        </w:rPr>
        <w:t xml:space="preserve"> </w:t>
      </w:r>
      <w:r>
        <w:t>and</w:t>
      </w:r>
      <w:r>
        <w:rPr>
          <w:spacing w:val="-3"/>
          <w:szCs w:val="24"/>
        </w:rPr>
        <w:t xml:space="preserve"> </w:t>
      </w:r>
      <w:r>
        <w:t>resilience</w:t>
      </w:r>
      <w:r>
        <w:rPr>
          <w:spacing w:val="-3"/>
          <w:szCs w:val="24"/>
        </w:rPr>
        <w:t xml:space="preserve"> </w:t>
      </w:r>
      <w:r>
        <w:t>fit</w:t>
      </w:r>
      <w:r>
        <w:rPr>
          <w:spacing w:val="-3"/>
          <w:szCs w:val="24"/>
        </w:rPr>
        <w:t xml:space="preserve"> </w:t>
      </w:r>
      <w:r>
        <w:t>within those needs. The APG’s guidance includes considerations for a variety of plans and, where applicable, the integration of climate adaptation into multiple plans and programs. Regardless of the choice of vehicle, the ultimate goal should be to integrate climate adaptation and resilience into all public entity and policy-making processes. Achieving this often means incorporating climate adaptation into the tools used to implement plans. This can include:</w:t>
      </w:r>
    </w:p>
    <w:p w14:paraId="1B3D3965" w14:textId="32DAA130" w:rsidR="3593BFD2" w:rsidRPr="00B9752C" w:rsidRDefault="3593BFD2">
      <w:pPr>
        <w:pStyle w:val="ListParagraph"/>
        <w:widowControl w:val="0"/>
        <w:numPr>
          <w:ilvl w:val="0"/>
          <w:numId w:val="33"/>
        </w:numPr>
        <w:tabs>
          <w:tab w:val="left" w:pos="1620"/>
        </w:tabs>
        <w:autoSpaceDE w:val="0"/>
        <w:autoSpaceDN w:val="0"/>
        <w:spacing w:before="160" w:line="240" w:lineRule="auto"/>
        <w:ind w:left="720"/>
      </w:pPr>
      <w:r>
        <w:rPr>
          <w:b/>
          <w:bCs/>
        </w:rPr>
        <w:t xml:space="preserve">Capital Improvement Plan/Program (CIP): </w:t>
      </w:r>
      <w:r>
        <w:t xml:space="preserve">For adaptation strategies that require capital expenditures (relocating a wastewater treatment plant, </w:t>
      </w:r>
      <w:r>
        <w:lastRenderedPageBreak/>
        <w:t>building a cooling center, etc.), the community CIP is an appropriate place to address priorities, funding, and scheduling of adaptation strategies. Examples of CIPs include flood infrastructure, conveyance, pump stations, stormwater systems, recharge basins, groundwater wells, telemetry, and evacuation routes.</w:t>
      </w:r>
    </w:p>
    <w:p w14:paraId="433B25C2" w14:textId="77777777" w:rsidR="00B9752C" w:rsidRDefault="3593BFD2">
      <w:pPr>
        <w:pStyle w:val="ListParagraph"/>
        <w:widowControl w:val="0"/>
        <w:numPr>
          <w:ilvl w:val="0"/>
          <w:numId w:val="33"/>
        </w:numPr>
        <w:tabs>
          <w:tab w:val="left" w:pos="1620"/>
        </w:tabs>
        <w:autoSpaceDE w:val="0"/>
        <w:autoSpaceDN w:val="0"/>
        <w:spacing w:before="160" w:line="240" w:lineRule="auto"/>
        <w:ind w:left="720"/>
      </w:pPr>
      <w:r>
        <w:rPr>
          <w:b/>
          <w:bCs/>
        </w:rPr>
        <w:t xml:space="preserve">Zoning code and other land development codes, ordinances, and resolutions: </w:t>
      </w:r>
      <w:r>
        <w:t>Adjust zoning and land use regulations to reduce climate risks. This may include restricting development in flood-prone areas, promoting green infrastructure, supporting mixed-use development to reduce heat islands, or requiring setbacks and buffers to protect sensitive habitats. Zoning and land use tools can also help preserve floodplains, recharge areas, riparian corridors, and multi-benefit open space for long-term resilience.</w:t>
      </w:r>
    </w:p>
    <w:p w14:paraId="3FBF2265" w14:textId="2C152BB9" w:rsidR="000A729A" w:rsidRDefault="3593BFD2">
      <w:pPr>
        <w:pStyle w:val="ListParagraph"/>
        <w:widowControl w:val="0"/>
        <w:numPr>
          <w:ilvl w:val="0"/>
          <w:numId w:val="33"/>
        </w:numPr>
        <w:tabs>
          <w:tab w:val="left" w:pos="1620"/>
        </w:tabs>
        <w:autoSpaceDE w:val="0"/>
        <w:autoSpaceDN w:val="0"/>
        <w:spacing w:before="160" w:line="240" w:lineRule="auto"/>
        <w:ind w:left="720"/>
      </w:pPr>
      <w:r w:rsidRPr="00B9752C">
        <w:rPr>
          <w:b/>
          <w:bCs/>
        </w:rPr>
        <w:t xml:space="preserve">Administrative policy, procedures, and initiatives: </w:t>
      </w:r>
      <w:r>
        <w:t>These involve updating internal guidance, design standards, or maintenance practices to reflect future climate risk.</w:t>
      </w:r>
    </w:p>
    <w:p w14:paraId="6727CC5F" w14:textId="77777777" w:rsidR="00AC35D4" w:rsidRPr="00E57121" w:rsidRDefault="00AC35D4" w:rsidP="00D467F1">
      <w:pPr>
        <w:pStyle w:val="ListParagraph"/>
        <w:widowControl w:val="0"/>
        <w:tabs>
          <w:tab w:val="left" w:pos="1620"/>
        </w:tabs>
        <w:autoSpaceDE w:val="0"/>
        <w:autoSpaceDN w:val="0"/>
        <w:spacing w:before="160" w:line="240" w:lineRule="auto"/>
        <w:rPr>
          <w:szCs w:val="24"/>
        </w:rPr>
      </w:pPr>
    </w:p>
    <w:p w14:paraId="58FCFF10" w14:textId="55794E80" w:rsidR="000A729A" w:rsidRPr="00692137" w:rsidRDefault="000D167C" w:rsidP="009E4B0B">
      <w:pPr>
        <w:pStyle w:val="Heading3"/>
        <w:spacing w:after="160" w:line="240" w:lineRule="auto"/>
      </w:pPr>
      <w:bookmarkStart w:id="26" w:name="_Toc235802667"/>
      <w:r>
        <w:t>Additional Resources</w:t>
      </w:r>
      <w:bookmarkEnd w:id="26"/>
    </w:p>
    <w:p w14:paraId="7CD1F9BA" w14:textId="59EE75C2" w:rsidR="000A729A" w:rsidRPr="00E57121" w:rsidRDefault="000A729A" w:rsidP="009E4B0B">
      <w:pPr>
        <w:pStyle w:val="BodyText"/>
        <w:spacing w:before="160" w:line="240" w:lineRule="auto"/>
        <w:rPr>
          <w:szCs w:val="24"/>
        </w:rPr>
      </w:pPr>
      <w:r>
        <w:rPr>
          <w:szCs w:val="24"/>
        </w:rPr>
        <w:t>To support communities across California in adapting to climate change, LCI’s</w:t>
      </w:r>
      <w:r>
        <w:t xml:space="preserve"> Integrated Climate Adaptation and Resiliency Program (ICARP) </w:t>
      </w:r>
      <w:r>
        <w:rPr>
          <w:szCs w:val="24"/>
        </w:rPr>
        <w:t xml:space="preserve">launched the </w:t>
      </w:r>
      <w:hyperlink r:id="rId74" w:history="1">
        <w:r>
          <w:rPr>
            <w:rStyle w:val="Hyperlink"/>
            <w:color w:val="3333FF"/>
            <w:szCs w:val="24"/>
          </w:rPr>
          <w:t>Climate Resilience Plan Alignment Toolkit</w:t>
        </w:r>
      </w:hyperlink>
      <w:r>
        <w:rPr>
          <w:szCs w:val="24"/>
        </w:rPr>
        <w:t xml:space="preserve"> in 2022. This toolkit is designed to support local and regional climate resilience planning efforts by promoting alignment across multiple planning frameworks and documents, rather than focusing on a single system or methodology.</w:t>
      </w:r>
    </w:p>
    <w:p w14:paraId="1E664A83" w14:textId="5ABC2370" w:rsidR="000A729A" w:rsidRDefault="000A729A" w:rsidP="009E4B0B">
      <w:pPr>
        <w:pStyle w:val="BodyText"/>
        <w:widowControl w:val="0"/>
        <w:autoSpaceDE w:val="0"/>
        <w:autoSpaceDN w:val="0"/>
        <w:spacing w:before="160" w:line="240" w:lineRule="auto"/>
        <w:rPr>
          <w:szCs w:val="24"/>
        </w:rPr>
      </w:pPr>
      <w:r>
        <w:rPr>
          <w:szCs w:val="24"/>
        </w:rPr>
        <w:t xml:space="preserve">Additional resources include tools and guidance available through </w:t>
      </w:r>
      <w:hyperlink r:id="rId75" w:history="1">
        <w:proofErr w:type="spellStart"/>
        <w:r>
          <w:rPr>
            <w:rStyle w:val="Hyperlink"/>
            <w:szCs w:val="24"/>
          </w:rPr>
          <w:t>ResilientCA</w:t>
        </w:r>
        <w:proofErr w:type="spellEnd"/>
      </w:hyperlink>
      <w:r>
        <w:rPr>
          <w:szCs w:val="24"/>
        </w:rPr>
        <w:t xml:space="preserve">, such as the </w:t>
      </w:r>
      <w:hyperlink r:id="rId76" w:history="1">
        <w:r>
          <w:rPr>
            <w:rStyle w:val="Hyperlink"/>
          </w:rPr>
          <w:t>Coastal Resilience Compass Plan Alignment Guide</w:t>
        </w:r>
      </w:hyperlink>
      <w:r>
        <w:rPr>
          <w:szCs w:val="24"/>
        </w:rPr>
        <w:t xml:space="preserve">, </w:t>
      </w:r>
      <w:hyperlink r:id="rId77" w:history="1">
        <w:r>
          <w:rPr>
            <w:rStyle w:val="Hyperlink"/>
          </w:rPr>
          <w:t>Flood After Fire Resilience Plan Alignment Guide</w:t>
        </w:r>
      </w:hyperlink>
      <w:r>
        <w:rPr>
          <w:szCs w:val="24"/>
        </w:rPr>
        <w:t xml:space="preserve">, and </w:t>
      </w:r>
      <w:hyperlink r:id="rId78" w:history="1">
        <w:r>
          <w:rPr>
            <w:rStyle w:val="Hyperlink"/>
          </w:rPr>
          <w:t>Wildfire Resilience Plan Alignment Guide</w:t>
        </w:r>
      </w:hyperlink>
      <w:r>
        <w:rPr>
          <w:szCs w:val="24"/>
        </w:rPr>
        <w:t>. Users can also explore case studies and success stories of plan alignment in communities and regions across California.</w:t>
      </w:r>
    </w:p>
    <w:p w14:paraId="7F32D49F" w14:textId="77777777" w:rsidR="00FC64C1" w:rsidRDefault="00FC64C1" w:rsidP="009E4B0B">
      <w:pPr>
        <w:pStyle w:val="BodyText"/>
        <w:widowControl w:val="0"/>
        <w:autoSpaceDE w:val="0"/>
        <w:autoSpaceDN w:val="0"/>
        <w:spacing w:before="160" w:line="240" w:lineRule="auto"/>
        <w:rPr>
          <w:szCs w:val="24"/>
        </w:rPr>
      </w:pPr>
    </w:p>
    <w:p w14:paraId="47D3E83D" w14:textId="77777777" w:rsidR="00FC64C1" w:rsidRDefault="00FC64C1" w:rsidP="009E4B0B">
      <w:pPr>
        <w:pStyle w:val="BodyText"/>
        <w:widowControl w:val="0"/>
        <w:autoSpaceDE w:val="0"/>
        <w:autoSpaceDN w:val="0"/>
        <w:spacing w:before="160" w:line="240" w:lineRule="auto"/>
        <w:rPr>
          <w:szCs w:val="24"/>
        </w:rPr>
      </w:pPr>
    </w:p>
    <w:p w14:paraId="25645FCE" w14:textId="77777777" w:rsidR="00FC64C1" w:rsidRDefault="00FC64C1" w:rsidP="009E4B0B">
      <w:pPr>
        <w:pStyle w:val="BodyText"/>
        <w:widowControl w:val="0"/>
        <w:autoSpaceDE w:val="0"/>
        <w:autoSpaceDN w:val="0"/>
        <w:spacing w:before="160" w:line="240" w:lineRule="auto"/>
        <w:rPr>
          <w:szCs w:val="24"/>
        </w:rPr>
      </w:pPr>
    </w:p>
    <w:p w14:paraId="49174966" w14:textId="77777777" w:rsidR="00FC64C1" w:rsidRDefault="00FC64C1" w:rsidP="009E4B0B">
      <w:pPr>
        <w:pStyle w:val="BodyText"/>
        <w:widowControl w:val="0"/>
        <w:autoSpaceDE w:val="0"/>
        <w:autoSpaceDN w:val="0"/>
        <w:spacing w:before="160" w:line="240" w:lineRule="auto"/>
        <w:rPr>
          <w:szCs w:val="24"/>
        </w:rPr>
      </w:pPr>
    </w:p>
    <w:p w14:paraId="2B0B801A" w14:textId="77777777" w:rsidR="00FC64C1" w:rsidRDefault="00FC64C1" w:rsidP="009E4B0B">
      <w:pPr>
        <w:pStyle w:val="BodyText"/>
        <w:widowControl w:val="0"/>
        <w:autoSpaceDE w:val="0"/>
        <w:autoSpaceDN w:val="0"/>
        <w:spacing w:before="160" w:line="240" w:lineRule="auto"/>
        <w:rPr>
          <w:szCs w:val="24"/>
        </w:rPr>
      </w:pPr>
    </w:p>
    <w:p w14:paraId="31153E7C" w14:textId="77777777" w:rsidR="00FC64C1" w:rsidRDefault="00FC64C1" w:rsidP="009E4B0B">
      <w:pPr>
        <w:pStyle w:val="BodyText"/>
        <w:widowControl w:val="0"/>
        <w:autoSpaceDE w:val="0"/>
        <w:autoSpaceDN w:val="0"/>
        <w:spacing w:before="160" w:line="240" w:lineRule="auto"/>
        <w:rPr>
          <w:szCs w:val="24"/>
        </w:rPr>
      </w:pPr>
    </w:p>
    <w:p w14:paraId="17F49613" w14:textId="77777777" w:rsidR="00FC64C1" w:rsidRDefault="00FC64C1" w:rsidP="009E4B0B">
      <w:pPr>
        <w:pStyle w:val="BodyText"/>
        <w:widowControl w:val="0"/>
        <w:autoSpaceDE w:val="0"/>
        <w:autoSpaceDN w:val="0"/>
        <w:spacing w:before="160" w:line="240" w:lineRule="auto"/>
        <w:rPr>
          <w:szCs w:val="24"/>
        </w:rPr>
      </w:pPr>
    </w:p>
    <w:p w14:paraId="0B6AB03D" w14:textId="77777777" w:rsidR="00FC64C1" w:rsidRDefault="00FC64C1" w:rsidP="009E4B0B">
      <w:pPr>
        <w:pStyle w:val="BodyText"/>
        <w:widowControl w:val="0"/>
        <w:autoSpaceDE w:val="0"/>
        <w:autoSpaceDN w:val="0"/>
        <w:spacing w:before="160" w:line="240" w:lineRule="auto"/>
        <w:rPr>
          <w:szCs w:val="24"/>
        </w:rPr>
      </w:pPr>
    </w:p>
    <w:p w14:paraId="3D58EB5E" w14:textId="77777777" w:rsidR="00FC64C1" w:rsidRDefault="00FC64C1" w:rsidP="009E4B0B">
      <w:pPr>
        <w:pStyle w:val="BodyText"/>
        <w:widowControl w:val="0"/>
        <w:autoSpaceDE w:val="0"/>
        <w:autoSpaceDN w:val="0"/>
        <w:spacing w:before="16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547F" w:rsidRPr="002F2DCD" w14:paraId="1340E3C7" w14:textId="77777777" w:rsidTr="00191806">
        <w:trPr>
          <w:trHeight w:val="576"/>
        </w:trPr>
        <w:tc>
          <w:tcPr>
            <w:tcW w:w="9350" w:type="dxa"/>
            <w:shd w:val="clear" w:color="auto" w:fill="404040" w:themeFill="text1" w:themeFillTint="BF"/>
            <w:vAlign w:val="center"/>
          </w:tcPr>
          <w:p w14:paraId="2607C5ED" w14:textId="0D70E8DE" w:rsidR="001E547F" w:rsidRPr="006E07EC" w:rsidRDefault="009A51DA" w:rsidP="00191806">
            <w:pPr>
              <w:rPr>
                <w:b/>
                <w:color w:val="FFFFFF" w:themeColor="background1"/>
              </w:rPr>
            </w:pPr>
            <w:r>
              <w:rPr>
                <w:b/>
                <w:color w:val="FFFFFF" w:themeColor="background1"/>
              </w:rPr>
              <w:t>Water Planning Resource</w:t>
            </w:r>
            <w:r w:rsidR="00C42412">
              <w:rPr>
                <w:b/>
                <w:color w:val="FFFFFF" w:themeColor="background1"/>
              </w:rPr>
              <w:t>s</w:t>
            </w:r>
          </w:p>
        </w:tc>
      </w:tr>
      <w:tr w:rsidR="001E547F" w14:paraId="3582B814" w14:textId="77777777" w:rsidTr="00191806">
        <w:tc>
          <w:tcPr>
            <w:tcW w:w="9350" w:type="dxa"/>
            <w:shd w:val="clear" w:color="auto" w:fill="F2F2F2" w:themeFill="background1" w:themeFillShade="F2"/>
          </w:tcPr>
          <w:p w14:paraId="468B2567" w14:textId="77777777" w:rsidR="001E547F" w:rsidRPr="001E547F" w:rsidRDefault="001E547F" w:rsidP="001E547F">
            <w:pPr>
              <w:spacing w:before="120"/>
              <w:rPr>
                <w:bCs/>
              </w:rPr>
            </w:pPr>
            <w:r w:rsidRPr="001E547F">
              <w:rPr>
                <w:bCs/>
              </w:rPr>
              <w:t>Adaptation planning can often build on existing water planning efforts. Depending on the region, planners may want to coordinate with Watershed Resilience Programs (WRPs), Sustainable Groundwater Management Plans, Regional Flood Management Plans, Agricultural Water Management Plans, Urban Water Management Plans, and county drought plans.</w:t>
            </w:r>
          </w:p>
          <w:p w14:paraId="6326ABB8" w14:textId="77777777" w:rsidR="001E547F" w:rsidRPr="001E547F" w:rsidRDefault="001E547F" w:rsidP="001E547F">
            <w:pPr>
              <w:spacing w:before="120"/>
              <w:rPr>
                <w:bCs/>
              </w:rPr>
            </w:pPr>
          </w:p>
          <w:p w14:paraId="2A4BB59B" w14:textId="1F5C353B" w:rsidR="001E547F" w:rsidRPr="008C2591" w:rsidRDefault="001E547F" w:rsidP="001E547F">
            <w:pPr>
              <w:spacing w:before="160" w:after="120"/>
            </w:pPr>
            <w:hyperlink r:id="rId79" w:history="1">
              <w:r>
                <w:rPr>
                  <w:rStyle w:val="Hyperlink"/>
                  <w:b/>
                  <w:bCs/>
                </w:rPr>
                <w:t>Watershed Resilience Program</w:t>
              </w:r>
            </w:hyperlink>
            <w:r w:rsidRPr="001E547F">
              <w:rPr>
                <w:bCs/>
              </w:rPr>
              <w:t>: The WRP builds on the Integrated Regional Water Management (IRWM) Program by supporting climate vulnerability assessments, adaptation planning, watershed-scale collaboration, and equitable community engagement. It also encourages coordination across water supply, groundwater, flood management, ecosystems, wildfire, and land use planning.</w:t>
            </w:r>
          </w:p>
        </w:tc>
      </w:tr>
    </w:tbl>
    <w:p w14:paraId="757FB9A1" w14:textId="0F1258DB" w:rsidR="00244150" w:rsidRDefault="00244150" w:rsidP="00446C9E">
      <w:pPr>
        <w:spacing w:line="278" w:lineRule="auto"/>
      </w:pPr>
    </w:p>
    <w:p w14:paraId="6515220E" w14:textId="65E3EBF0" w:rsidR="00440631" w:rsidRDefault="000A729A" w:rsidP="00B15DD4">
      <w:pPr>
        <w:pStyle w:val="Heading2"/>
        <w:spacing w:before="160" w:after="160" w:line="240" w:lineRule="auto"/>
      </w:pPr>
      <w:bookmarkStart w:id="27" w:name="_Toc235802668"/>
      <w:r>
        <w:t>How is California Vulnerable to Climate Change?</w:t>
      </w:r>
      <w:bookmarkEnd w:id="27"/>
    </w:p>
    <w:p w14:paraId="63E3B495" w14:textId="0DDAE130" w:rsidR="000A729A" w:rsidRPr="007C0807" w:rsidDel="00164446" w:rsidRDefault="1F3EAEE8" w:rsidP="55DEB025">
      <w:pPr>
        <w:pStyle w:val="BodyText"/>
        <w:spacing w:before="160" w:line="240" w:lineRule="auto"/>
      </w:pPr>
      <w:r>
        <w:t>Climate change is already impacting California and will continue to affect it for the foreseeable future. Current and projected climate impacts include increased temperatures, sea level rise, reduced winter snowpack, altered precipitation patterns, more severe wildfires, and more frequent storm events.</w:t>
      </w:r>
      <w:r w:rsidR="56199051">
        <w:t xml:space="preserve"> According to the California Fifth Climate Change Assessment:</w:t>
      </w:r>
    </w:p>
    <w:p w14:paraId="0AC54920" w14:textId="4C9BD197" w:rsidR="000A729A" w:rsidRPr="00692137" w:rsidDel="00164446" w:rsidRDefault="3717294E">
      <w:pPr>
        <w:pStyle w:val="ListParagraph"/>
        <w:widowControl w:val="0"/>
        <w:numPr>
          <w:ilvl w:val="0"/>
          <w:numId w:val="33"/>
        </w:numPr>
        <w:tabs>
          <w:tab w:val="left" w:pos="1620"/>
        </w:tabs>
        <w:autoSpaceDE w:val="0"/>
        <w:autoSpaceDN w:val="0"/>
        <w:spacing w:before="160" w:line="240" w:lineRule="auto"/>
        <w:ind w:left="720"/>
      </w:pPr>
      <w:r>
        <w:t>California has warmed faster than the global average. The greatest warming has occurred in the foothills of the Sierra Nevada and east of Los Angeles, with slower, but still significant, increases along the coast.</w:t>
      </w:r>
    </w:p>
    <w:p w14:paraId="45BE4A28" w14:textId="63B22DE7" w:rsidR="3C7B96FB" w:rsidRDefault="3717294E">
      <w:pPr>
        <w:pStyle w:val="ListParagraph"/>
        <w:widowControl w:val="0"/>
        <w:numPr>
          <w:ilvl w:val="0"/>
          <w:numId w:val="33"/>
        </w:numPr>
        <w:tabs>
          <w:tab w:val="left" w:pos="1620"/>
        </w:tabs>
        <w:autoSpaceDE w:val="0"/>
        <w:autoSpaceDN w:val="0"/>
        <w:spacing w:before="160" w:line="240" w:lineRule="auto"/>
        <w:ind w:left="720"/>
      </w:pPr>
      <w:r>
        <w:t>Through 2100, projections suggest a continued upward trend in heat, with mean temperatures ranging from 7.1° F to 11.6° F above the 1951-1980 mean.</w:t>
      </w:r>
    </w:p>
    <w:p w14:paraId="3546A4F7" w14:textId="2B0E443F" w:rsidR="41D57BCA" w:rsidRDefault="41D57BCA">
      <w:pPr>
        <w:pStyle w:val="ListParagraph"/>
        <w:widowControl w:val="0"/>
        <w:numPr>
          <w:ilvl w:val="0"/>
          <w:numId w:val="33"/>
        </w:numPr>
        <w:tabs>
          <w:tab w:val="left" w:pos="1620"/>
        </w:tabs>
        <w:autoSpaceDE w:val="0"/>
        <w:autoSpaceDN w:val="0"/>
        <w:spacing w:before="160" w:line="240" w:lineRule="auto"/>
        <w:ind w:left="720"/>
      </w:pPr>
      <w:r>
        <w:t>Climate data predicts that the average number of heat wave days is expected to increase to an average of five days by mid-century and over ten days by the end of the century.</w:t>
      </w:r>
    </w:p>
    <w:p w14:paraId="1D4F3C33" w14:textId="5FFBBB98" w:rsidR="00F871F2" w:rsidRDefault="1FE9A0EC">
      <w:pPr>
        <w:pStyle w:val="ListParagraph"/>
        <w:widowControl w:val="0"/>
        <w:numPr>
          <w:ilvl w:val="0"/>
          <w:numId w:val="33"/>
        </w:numPr>
        <w:tabs>
          <w:tab w:val="left" w:pos="1620"/>
        </w:tabs>
        <w:autoSpaceDE w:val="0"/>
        <w:autoSpaceDN w:val="0"/>
        <w:spacing w:before="160" w:line="240" w:lineRule="auto"/>
        <w:ind w:left="720"/>
      </w:pPr>
      <w:r>
        <w:t>Research shows that the Sierra Nevada could lose a median of 45% of its snowpack by mid-century and up to 70% by the end of the century, compared to historical levels.</w:t>
      </w:r>
    </w:p>
    <w:p w14:paraId="1D0DC93D" w14:textId="316F8CAA" w:rsidR="1FE9A0EC" w:rsidRDefault="1FE9A0EC">
      <w:pPr>
        <w:pStyle w:val="ListParagraph"/>
        <w:widowControl w:val="0"/>
        <w:numPr>
          <w:ilvl w:val="0"/>
          <w:numId w:val="33"/>
        </w:numPr>
        <w:tabs>
          <w:tab w:val="left" w:pos="1620"/>
        </w:tabs>
        <w:autoSpaceDE w:val="0"/>
        <w:autoSpaceDN w:val="0"/>
        <w:spacing w:before="160" w:line="240" w:lineRule="auto"/>
        <w:ind w:left="720"/>
      </w:pPr>
      <w:r>
        <w:t>California sea levels will likely rise on average 0.8 feet by 2050 and 3.1 feet by 2100, relative to a 2000 baseline.</w:t>
      </w:r>
    </w:p>
    <w:p w14:paraId="1C178A7C" w14:textId="34B44387" w:rsidR="000A729A" w:rsidRPr="00692137" w:rsidDel="00164446" w:rsidRDefault="1F3EAEE8" w:rsidP="00B15DD4">
      <w:pPr>
        <w:pStyle w:val="BodyText"/>
        <w:spacing w:before="160" w:line="240" w:lineRule="auto"/>
      </w:pPr>
      <w:r>
        <w:t xml:space="preserve">Climate change brings intensifying risks to the state, as well as emerging and less predictable threats. These include cascading impacts that can compound </w:t>
      </w:r>
      <w:r>
        <w:lastRenderedPageBreak/>
        <w:t>disruptions and strain local resources. As a result, relying on past events to plan for future conditions is increasingly insufficient. This shifting hazard landscape requires planning entities and local governments to take new approaches to risk assessment and to strengthen community resilience.</w:t>
      </w:r>
    </w:p>
    <w:p w14:paraId="50FF59FC" w14:textId="623EF8BA" w:rsidR="000A729A" w:rsidRPr="00FC64C1" w:rsidRDefault="1F3EAEE8">
      <w:pPr>
        <w:pStyle w:val="ListParagraph"/>
        <w:widowControl w:val="0"/>
        <w:numPr>
          <w:ilvl w:val="0"/>
          <w:numId w:val="33"/>
        </w:numPr>
        <w:tabs>
          <w:tab w:val="left" w:pos="1620"/>
        </w:tabs>
        <w:autoSpaceDE w:val="0"/>
        <w:autoSpaceDN w:val="0"/>
        <w:spacing w:before="160" w:line="240" w:lineRule="auto"/>
        <w:ind w:left="720"/>
        <w:rPr>
          <w:i/>
        </w:rPr>
      </w:pPr>
      <w:r>
        <w:t xml:space="preserve">Local governments can look to </w:t>
      </w:r>
      <w:hyperlink r:id="rId80">
        <w:r>
          <w:rPr>
            <w:rStyle w:val="Hyperlink"/>
          </w:rPr>
          <w:t>California's Fifth Climate Change Assessment</w:t>
        </w:r>
      </w:hyperlink>
      <w:r>
        <w:t xml:space="preserve"> for the latest climate change projections and modeling for the state’s future climate. The Fifth Assessment includes original research that fills gaps in the state’s understanding of climate impacts as well as regional and topical reports uplifting community priorities throughout the state. With a focus on the needs of communities most vulnerable to climate change impacts, the Fifth Assessment is intended to support on-the-ground implementation and decision-making at local, regional, Tribal, and state levels.</w:t>
      </w:r>
    </w:p>
    <w:p w14:paraId="16AE69A4" w14:textId="77777777" w:rsidR="00FC64C1" w:rsidRPr="00FC64C1" w:rsidRDefault="00FC64C1" w:rsidP="00FC64C1">
      <w:pPr>
        <w:widowControl w:val="0"/>
        <w:tabs>
          <w:tab w:val="left" w:pos="1620"/>
        </w:tabs>
        <w:autoSpaceDE w:val="0"/>
        <w:autoSpaceDN w:val="0"/>
        <w:spacing w:before="160" w:line="240" w:lineRule="auto"/>
        <w:rPr>
          <w:iCs/>
        </w:rPr>
      </w:pPr>
    </w:p>
    <w:p w14:paraId="6E0B63A3" w14:textId="60E07EFA" w:rsidR="00CF71BD" w:rsidRDefault="00CF71BD" w:rsidP="002F370C">
      <w:pPr>
        <w:pStyle w:val="Heading1"/>
      </w:pPr>
      <w:bookmarkStart w:id="28" w:name="_bookmark27"/>
      <w:bookmarkStart w:id="29" w:name="_bookmark26"/>
      <w:bookmarkStart w:id="30" w:name="_Toc224722652"/>
      <w:bookmarkStart w:id="31" w:name="_Toc235802669"/>
      <w:bookmarkEnd w:id="28"/>
      <w:bookmarkEnd w:id="29"/>
      <w:r>
        <w:t>PHASE 1: DEFINE, ASSESS, AND INITIATE</w:t>
      </w:r>
      <w:bookmarkEnd w:id="30"/>
      <w:bookmarkEnd w:id="31"/>
    </w:p>
    <w:p w14:paraId="2BC3580A" w14:textId="440C7346" w:rsidR="00ED536B" w:rsidRDefault="00CF71BD" w:rsidP="00AD1665">
      <w:pPr>
        <w:spacing w:before="160" w:line="240" w:lineRule="auto"/>
      </w:pPr>
      <w:r>
        <w:t>All adaptation</w:t>
      </w:r>
      <w:r>
        <w:rPr>
          <w:spacing w:val="-3"/>
        </w:rPr>
        <w:t xml:space="preserve"> </w:t>
      </w:r>
      <w:r>
        <w:t>planning</w:t>
      </w:r>
      <w:r>
        <w:rPr>
          <w:spacing w:val="-3"/>
        </w:rPr>
        <w:t xml:space="preserve"> </w:t>
      </w:r>
      <w:r>
        <w:t>begins</w:t>
      </w:r>
      <w:r>
        <w:rPr>
          <w:spacing w:val="-3"/>
        </w:rPr>
        <w:t xml:space="preserve"> </w:t>
      </w:r>
      <w:r>
        <w:t>with</w:t>
      </w:r>
      <w:r>
        <w:rPr>
          <w:spacing w:val="-3"/>
        </w:rPr>
        <w:t xml:space="preserve"> </w:t>
      </w:r>
      <w:r>
        <w:t>scoping.</w:t>
      </w:r>
    </w:p>
    <w:p w14:paraId="1FD1B4FF" w14:textId="77D7A2FF" w:rsidR="00811029" w:rsidRPr="00811029" w:rsidRDefault="00811029" w:rsidP="00AD1665">
      <w:pPr>
        <w:spacing w:before="160" w:line="240" w:lineRule="auto"/>
      </w:pPr>
      <w:r>
        <w:t>Phase 1 establishes the purpose of the planning effort, the intended outcomes, who should be involved, and how the process will be resourced and managed.</w:t>
      </w:r>
    </w:p>
    <w:p w14:paraId="3F29FC13" w14:textId="32F9638E" w:rsidR="0047716A" w:rsidRDefault="00032A2A" w:rsidP="00AD1665">
      <w:pPr>
        <w:spacing w:before="160" w:line="240" w:lineRule="auto"/>
      </w:pPr>
      <w:r>
        <w:t>Getting this foundation right helps prevent costly rework and ensures the plan reflects real community needs. It also supports alignment with existing and future planning efforts. Without a clear foundation, the process may fall short in addressing community priorities and effectively preparing for climate impacts.</w:t>
      </w:r>
    </w:p>
    <w:p w14:paraId="4F8A5415" w14:textId="3480CC52" w:rsidR="007F0C4A" w:rsidRDefault="00CF71BD" w:rsidP="00AD1665">
      <w:pPr>
        <w:spacing w:before="160" w:line="240" w:lineRule="auto"/>
      </w:pPr>
      <w:r>
        <w:t>It should follow central planning principles by being transparent, inclusive, and grounded in the best available science. The process should:</w:t>
      </w:r>
    </w:p>
    <w:p w14:paraId="4DBBC20B" w14:textId="24E20A8E" w:rsidR="00582B3F" w:rsidRDefault="007F0C4A">
      <w:pPr>
        <w:pStyle w:val="ListParagraph"/>
        <w:widowControl w:val="0"/>
        <w:numPr>
          <w:ilvl w:val="0"/>
          <w:numId w:val="33"/>
        </w:numPr>
        <w:tabs>
          <w:tab w:val="left" w:pos="1620"/>
        </w:tabs>
        <w:autoSpaceDE w:val="0"/>
        <w:autoSpaceDN w:val="0"/>
        <w:spacing w:before="160" w:line="240" w:lineRule="auto"/>
        <w:ind w:left="720"/>
      </w:pPr>
      <w:r>
        <w:t>Promote meaningful community and partner engagement</w:t>
      </w:r>
    </w:p>
    <w:p w14:paraId="088706A0" w14:textId="73B307A1" w:rsidR="00582B3F" w:rsidRDefault="007F0C4A">
      <w:pPr>
        <w:pStyle w:val="ListParagraph"/>
        <w:numPr>
          <w:ilvl w:val="0"/>
          <w:numId w:val="35"/>
        </w:numPr>
        <w:spacing w:after="0" w:line="240" w:lineRule="auto"/>
        <w:contextualSpacing w:val="0"/>
      </w:pPr>
      <w:r>
        <w:t>Advance the health, safety, and welfare of all people</w:t>
      </w:r>
    </w:p>
    <w:p w14:paraId="2EF9A011" w14:textId="35B8A719" w:rsidR="00582B3F" w:rsidRDefault="007F0C4A">
      <w:pPr>
        <w:pStyle w:val="ListParagraph"/>
        <w:numPr>
          <w:ilvl w:val="0"/>
          <w:numId w:val="35"/>
        </w:numPr>
        <w:spacing w:after="0" w:line="240" w:lineRule="auto"/>
        <w:contextualSpacing w:val="0"/>
      </w:pPr>
      <w:r>
        <w:t>Address existing and future inequities</w:t>
      </w:r>
    </w:p>
    <w:p w14:paraId="15183D3E" w14:textId="72B926B7" w:rsidR="00CF71BD" w:rsidRPr="00D31E39" w:rsidRDefault="00582B3F">
      <w:pPr>
        <w:pStyle w:val="ListParagraph"/>
        <w:numPr>
          <w:ilvl w:val="0"/>
          <w:numId w:val="35"/>
        </w:numPr>
        <w:spacing w:line="240" w:lineRule="auto"/>
        <w:contextualSpacing w:val="0"/>
      </w:pPr>
      <w:r>
        <w:t>Remain consistent with applicable laws and adopted plans</w:t>
      </w:r>
    </w:p>
    <w:p w14:paraId="5121E035" w14:textId="074B8FA0" w:rsidR="00CF71BD" w:rsidRDefault="00CF71BD" w:rsidP="00AD1665">
      <w:pPr>
        <w:pStyle w:val="BodyText"/>
        <w:spacing w:before="160" w:line="240" w:lineRule="auto"/>
      </w:pPr>
      <w:r>
        <w:t>Phase</w:t>
      </w:r>
      <w:r>
        <w:rPr>
          <w:spacing w:val="-1"/>
        </w:rPr>
        <w:t xml:space="preserve"> </w:t>
      </w:r>
      <w:r>
        <w:t>1</w:t>
      </w:r>
      <w:r>
        <w:rPr>
          <w:spacing w:val="-2"/>
        </w:rPr>
        <w:t xml:space="preserve"> </w:t>
      </w:r>
      <w:r>
        <w:t xml:space="preserve">has three steps (see </w:t>
      </w:r>
      <w:r>
        <w:rPr>
          <w:u w:val="single"/>
        </w:rPr>
        <w:fldChar w:fldCharType="begin"/>
      </w:r>
      <w:r>
        <w:rPr>
          <w:u w:val="single"/>
        </w:rPr>
        <w:instrText xml:space="preserve"> REF _Ref229406827 \h  \* MERGEFORMAT </w:instrText>
      </w:r>
      <w:r>
        <w:rPr>
          <w:u w:val="single"/>
        </w:rPr>
      </w:r>
      <w:r>
        <w:rPr>
          <w:u w:val="single"/>
        </w:rPr>
        <w:fldChar w:fldCharType="separate"/>
      </w:r>
      <w:r w:rsidR="00517691" w:rsidRPr="00517691">
        <w:rPr>
          <w:szCs w:val="24"/>
          <w:u w:val="single"/>
        </w:rPr>
        <w:t>Figure 5</w:t>
      </w:r>
      <w:r>
        <w:rPr>
          <w:u w:val="single"/>
        </w:rPr>
        <w:fldChar w:fldCharType="end"/>
      </w:r>
      <w:r>
        <w:t>). The steps in this phase are numbered, although they do not always need to be completed in order. For example, conducting equitable outreach and</w:t>
      </w:r>
      <w:r>
        <w:rPr>
          <w:spacing w:val="-8"/>
        </w:rPr>
        <w:t xml:space="preserve"> </w:t>
      </w:r>
      <w:r>
        <w:t>engagement</w:t>
      </w:r>
      <w:r>
        <w:rPr>
          <w:spacing w:val="-8"/>
        </w:rPr>
        <w:t xml:space="preserve"> </w:t>
      </w:r>
      <w:r>
        <w:t>for</w:t>
      </w:r>
      <w:r>
        <w:rPr>
          <w:spacing w:val="-8"/>
        </w:rPr>
        <w:t xml:space="preserve"> </w:t>
      </w:r>
      <w:r>
        <w:t>residents</w:t>
      </w:r>
      <w:r>
        <w:rPr>
          <w:spacing w:val="-8"/>
        </w:rPr>
        <w:t xml:space="preserve"> </w:t>
      </w:r>
      <w:r>
        <w:t>and</w:t>
      </w:r>
      <w:r>
        <w:rPr>
          <w:spacing w:val="-8"/>
        </w:rPr>
        <w:t xml:space="preserve"> </w:t>
      </w:r>
      <w:r>
        <w:t>community</w:t>
      </w:r>
      <w:r>
        <w:rPr>
          <w:spacing w:val="-8"/>
        </w:rPr>
        <w:t xml:space="preserve"> </w:t>
      </w:r>
      <w:r>
        <w:t>partners</w:t>
      </w:r>
      <w:r>
        <w:rPr>
          <w:spacing w:val="-8"/>
        </w:rPr>
        <w:t xml:space="preserve"> </w:t>
      </w:r>
      <w:r>
        <w:t>(Step</w:t>
      </w:r>
      <w:r>
        <w:rPr>
          <w:spacing w:val="-8"/>
        </w:rPr>
        <w:t xml:space="preserve"> </w:t>
      </w:r>
      <w:r>
        <w:t>1.3)</w:t>
      </w:r>
      <w:r>
        <w:rPr>
          <w:spacing w:val="-8"/>
        </w:rPr>
        <w:t xml:space="preserve"> </w:t>
      </w:r>
      <w:r>
        <w:t>can</w:t>
      </w:r>
      <w:r>
        <w:rPr>
          <w:spacing w:val="-8"/>
        </w:rPr>
        <w:t xml:space="preserve"> </w:t>
      </w:r>
      <w:r>
        <w:t>occur much</w:t>
      </w:r>
      <w:r>
        <w:rPr>
          <w:spacing w:val="-3"/>
        </w:rPr>
        <w:t xml:space="preserve"> </w:t>
      </w:r>
      <w:r>
        <w:t>earlier</w:t>
      </w:r>
      <w:r>
        <w:rPr>
          <w:spacing w:val="-3"/>
        </w:rPr>
        <w:t xml:space="preserve"> </w:t>
      </w:r>
      <w:r>
        <w:t>in</w:t>
      </w:r>
      <w:r>
        <w:rPr>
          <w:spacing w:val="-3"/>
        </w:rPr>
        <w:t xml:space="preserve"> </w:t>
      </w:r>
      <w:r>
        <w:t>the</w:t>
      </w:r>
      <w:r>
        <w:rPr>
          <w:spacing w:val="-3"/>
        </w:rPr>
        <w:t xml:space="preserve"> </w:t>
      </w:r>
      <w:r>
        <w:t>process</w:t>
      </w:r>
      <w:r>
        <w:rPr>
          <w:spacing w:val="-3"/>
        </w:rPr>
        <w:t xml:space="preserve"> </w:t>
      </w:r>
      <w:r>
        <w:t>to</w:t>
      </w:r>
      <w:r>
        <w:rPr>
          <w:spacing w:val="-3"/>
        </w:rPr>
        <w:t xml:space="preserve"> </w:t>
      </w:r>
      <w:r>
        <w:t>involve</w:t>
      </w:r>
      <w:r>
        <w:rPr>
          <w:spacing w:val="-3"/>
        </w:rPr>
        <w:t xml:space="preserve"> </w:t>
      </w:r>
      <w:r>
        <w:t>interested</w:t>
      </w:r>
      <w:r>
        <w:rPr>
          <w:spacing w:val="-3"/>
        </w:rPr>
        <w:t xml:space="preserve"> </w:t>
      </w:r>
      <w:r>
        <w:t>community</w:t>
      </w:r>
      <w:r>
        <w:rPr>
          <w:spacing w:val="-3"/>
        </w:rPr>
        <w:t xml:space="preserve"> </w:t>
      </w:r>
      <w:r>
        <w:t>members</w:t>
      </w:r>
      <w:r>
        <w:rPr>
          <w:spacing w:val="-3"/>
        </w:rPr>
        <w:t xml:space="preserve"> </w:t>
      </w:r>
      <w:r>
        <w:t>from</w:t>
      </w:r>
      <w:r>
        <w:rPr>
          <w:spacing w:val="-3"/>
        </w:rPr>
        <w:t xml:space="preserve"> </w:t>
      </w:r>
      <w:r>
        <w:t>the</w:t>
      </w:r>
      <w:r>
        <w:rPr>
          <w:spacing w:val="-3"/>
        </w:rPr>
        <w:t xml:space="preserve"> </w:t>
      </w:r>
      <w:r>
        <w:t>very beginning of the planning process. In some instances, it may be helpful to work on multiple steps at the same time.</w:t>
      </w:r>
    </w:p>
    <w:p w14:paraId="06EF0E82" w14:textId="77777777" w:rsidR="00FC64C1" w:rsidRDefault="00FC64C1" w:rsidP="00AD1665">
      <w:pPr>
        <w:pStyle w:val="BodyText"/>
        <w:spacing w:before="160" w:line="240" w:lineRule="auto"/>
      </w:pPr>
    </w:p>
    <w:p w14:paraId="1AD8B91D" w14:textId="77777777" w:rsidR="00FC64C1" w:rsidRDefault="00FC64C1" w:rsidP="00AD1665">
      <w:pPr>
        <w:pStyle w:val="BodyText"/>
        <w:spacing w:before="160" w:line="240" w:lineRule="auto"/>
      </w:pPr>
    </w:p>
    <w:p w14:paraId="3005E72A" w14:textId="77777777" w:rsidR="00FC64C1" w:rsidRDefault="00FC64C1" w:rsidP="00AD1665">
      <w:pPr>
        <w:pStyle w:val="BodyText"/>
        <w:spacing w:before="160" w:line="240" w:lineRule="auto"/>
      </w:pPr>
    </w:p>
    <w:tbl>
      <w:tblPr>
        <w:tblStyle w:val="TableGrid"/>
        <w:tblW w:w="9576" w:type="dxa"/>
        <w:tblInd w:w="-95" w:type="dxa"/>
        <w:tblLook w:val="04A0" w:firstRow="1" w:lastRow="0" w:firstColumn="1" w:lastColumn="0" w:noHBand="0" w:noVBand="1"/>
      </w:tblPr>
      <w:tblGrid>
        <w:gridCol w:w="9576"/>
      </w:tblGrid>
      <w:tr w:rsidR="00445878" w14:paraId="1DA975C2" w14:textId="77777777" w:rsidTr="00BF7942">
        <w:trPr>
          <w:trHeight w:val="432"/>
        </w:trPr>
        <w:tc>
          <w:tcPr>
            <w:tcW w:w="9576" w:type="dxa"/>
            <w:shd w:val="clear" w:color="auto" w:fill="000000" w:themeFill="text1"/>
            <w:vAlign w:val="center"/>
          </w:tcPr>
          <w:p w14:paraId="4458CC7B" w14:textId="01BD11D8" w:rsidR="00445878" w:rsidRPr="00445878" w:rsidRDefault="005C577C" w:rsidP="00BB5ACB">
            <w:pPr>
              <w:rPr>
                <w:b/>
                <w:bCs/>
              </w:rPr>
            </w:pPr>
            <w:bookmarkStart w:id="32" w:name="_bookmark28"/>
            <w:bookmarkStart w:id="33" w:name="_Ref229406827"/>
            <w:bookmarkEnd w:id="32"/>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5</w:t>
            </w:r>
            <w:r>
              <w:rPr>
                <w:b/>
                <w:bCs/>
              </w:rPr>
              <w:fldChar w:fldCharType="end"/>
            </w:r>
            <w:bookmarkEnd w:id="33"/>
            <w:r>
              <w:rPr>
                <w:b/>
                <w:bCs/>
              </w:rPr>
              <w:t>. Steps in Phase 1</w:t>
            </w:r>
          </w:p>
        </w:tc>
      </w:tr>
      <w:tr w:rsidR="00445878" w14:paraId="60488AF0" w14:textId="77777777" w:rsidTr="00BF7942">
        <w:trPr>
          <w:trHeight w:val="1008"/>
        </w:trPr>
        <w:tc>
          <w:tcPr>
            <w:tcW w:w="9576" w:type="dxa"/>
          </w:tcPr>
          <w:p w14:paraId="09175C9C" w14:textId="546B1706" w:rsidR="00445878" w:rsidRDefault="000C025B" w:rsidP="006749E7">
            <w:pPr>
              <w:spacing w:before="120" w:after="120"/>
            </w:pPr>
            <w:r>
              <w:rPr>
                <w:noProof/>
              </w:rPr>
              <w:drawing>
                <wp:inline distT="0" distB="0" distL="0" distR="0" wp14:anchorId="2B5F2583" wp14:editId="09CA0EFC">
                  <wp:extent cx="5943600" cy="509270"/>
                  <wp:effectExtent l="0" t="0" r="0" b="5080"/>
                  <wp:docPr id="289457309" name="Picture 1" descr="Series of Steps in Phase 1 in an arrow point to the right. Step 1.1 is purpose and scope, step 1.2 is teams and resources, and step 1.3 is equitable out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57309" name="Picture 1" descr="Series of Steps in Phase 1 in an arrow point to the right. Step 1.1 is purpose and scope, step 1.2 is teams and resources, and step 1.3 is equitable outreach."/>
                          <pic:cNvPicPr/>
                        </pic:nvPicPr>
                        <pic:blipFill>
                          <a:blip r:embed="rId81"/>
                          <a:stretch>
                            <a:fillRect/>
                          </a:stretch>
                        </pic:blipFill>
                        <pic:spPr>
                          <a:xfrm>
                            <a:off x="0" y="0"/>
                            <a:ext cx="5943600" cy="509270"/>
                          </a:xfrm>
                          <a:prstGeom prst="rect">
                            <a:avLst/>
                          </a:prstGeom>
                        </pic:spPr>
                      </pic:pic>
                    </a:graphicData>
                  </a:graphic>
                </wp:inline>
              </w:drawing>
            </w:r>
          </w:p>
        </w:tc>
      </w:tr>
    </w:tbl>
    <w:p w14:paraId="7CFBC811" w14:textId="77777777" w:rsidR="00CF71BD" w:rsidRDefault="00CF71BD" w:rsidP="00BF7942">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31DB" w:rsidRPr="002F2DCD" w14:paraId="3109B121" w14:textId="77777777">
        <w:trPr>
          <w:trHeight w:val="576"/>
        </w:trPr>
        <w:tc>
          <w:tcPr>
            <w:tcW w:w="9350" w:type="dxa"/>
            <w:shd w:val="clear" w:color="auto" w:fill="404040" w:themeFill="text1" w:themeFillTint="BF"/>
            <w:vAlign w:val="center"/>
          </w:tcPr>
          <w:p w14:paraId="0583EC37" w14:textId="767EA5BC" w:rsidR="007A31DB" w:rsidRPr="006E07EC" w:rsidRDefault="007A31DB">
            <w:pPr>
              <w:rPr>
                <w:b/>
                <w:color w:val="FFFFFF" w:themeColor="background1"/>
              </w:rPr>
            </w:pPr>
            <w:r>
              <w:rPr>
                <w:b/>
                <w:color w:val="FFFFFF" w:themeColor="background1"/>
              </w:rPr>
              <w:t>How to Use the Appendices in This Phase</w:t>
            </w:r>
          </w:p>
        </w:tc>
      </w:tr>
      <w:tr w:rsidR="007A31DB" w14:paraId="33EE374D" w14:textId="77777777" w:rsidTr="00157829">
        <w:tc>
          <w:tcPr>
            <w:tcW w:w="9350" w:type="dxa"/>
            <w:shd w:val="clear" w:color="auto" w:fill="F2F2F2" w:themeFill="background1" w:themeFillShade="F2"/>
          </w:tcPr>
          <w:p w14:paraId="5BDD0CD6" w14:textId="175BA883" w:rsidR="007A31DB" w:rsidRDefault="007A31DB" w:rsidP="00157829">
            <w:pPr>
              <w:spacing w:before="120" w:after="160"/>
              <w:rPr>
                <w:bCs/>
              </w:rPr>
            </w:pPr>
            <w:r>
              <w:rPr>
                <w:b/>
              </w:rPr>
              <w:t>Appendix A</w:t>
            </w:r>
            <w:r>
              <w:rPr>
                <w:b/>
                <w:bCs/>
              </w:rPr>
              <w:t>: Outreach and Engagement</w:t>
            </w:r>
            <w:r>
              <w:rPr>
                <w:b/>
              </w:rPr>
              <w:t xml:space="preserve">: </w:t>
            </w:r>
            <w:r>
              <w:rPr>
                <w:bCs/>
              </w:rPr>
              <w:t>This phase relies heavily on outreach and engagement strategies and guidance. Refer to Appendix A throughout Phase 1 for detailed guidance on engagement methods and best practices.</w:t>
            </w:r>
          </w:p>
          <w:p w14:paraId="6FEB60D1" w14:textId="3D672182" w:rsidR="007A31DB" w:rsidRPr="008C2591" w:rsidRDefault="007A31DB" w:rsidP="00157829">
            <w:pPr>
              <w:spacing w:before="160" w:after="120"/>
            </w:pPr>
            <w:r>
              <w:rPr>
                <w:b/>
              </w:rPr>
              <w:t xml:space="preserve">Appendix C: Worksheets: </w:t>
            </w:r>
            <w:r>
              <w:rPr>
                <w:bCs/>
              </w:rPr>
              <w:t xml:space="preserve">One worksheet, Partner Mapping, supports this phase and is used in Step 1.3A. Look for the green </w:t>
            </w:r>
            <w:r>
              <w:rPr>
                <w:b/>
              </w:rPr>
              <w:t>Put It into Practice</w:t>
            </w:r>
            <w:r>
              <w:rPr>
                <w:bCs/>
              </w:rPr>
              <w:t xml:space="preserve"> boxes to see when and how to use it.</w:t>
            </w:r>
          </w:p>
        </w:tc>
      </w:tr>
    </w:tbl>
    <w:p w14:paraId="339A787B" w14:textId="77777777" w:rsidR="007A31DB" w:rsidRDefault="007A31DB" w:rsidP="00AD1665">
      <w:pPr>
        <w:spacing w:before="160" w:line="240" w:lineRule="auto"/>
      </w:pPr>
    </w:p>
    <w:p w14:paraId="7A56095D" w14:textId="63C0D217" w:rsidR="00CF71BD" w:rsidRDefault="00CF71BD" w:rsidP="00AD1665">
      <w:pPr>
        <w:pStyle w:val="Heading2"/>
        <w:spacing w:before="160" w:after="160" w:line="240" w:lineRule="auto"/>
        <w:rPr>
          <w:spacing w:val="-2"/>
        </w:rPr>
      </w:pPr>
      <w:bookmarkStart w:id="34" w:name="Step_1.1:_Confirm_Motivation_and_Scope_o"/>
      <w:bookmarkStart w:id="35" w:name="_bookmark29"/>
      <w:bookmarkStart w:id="36" w:name="_Toc224722653"/>
      <w:bookmarkStart w:id="37" w:name="_Toc235802670"/>
      <w:bookmarkEnd w:id="34"/>
      <w:bookmarkEnd w:id="35"/>
      <w:r>
        <w:t>Step</w:t>
      </w:r>
      <w:r>
        <w:rPr>
          <w:spacing w:val="-21"/>
        </w:rPr>
        <w:t xml:space="preserve"> </w:t>
      </w:r>
      <w:r>
        <w:t>1.1:</w:t>
      </w:r>
      <w:r>
        <w:rPr>
          <w:spacing w:val="-21"/>
        </w:rPr>
        <w:t xml:space="preserve"> </w:t>
      </w:r>
      <w:r>
        <w:t xml:space="preserve">Identify the Purpose and Scope of the Adaptation </w:t>
      </w:r>
      <w:bookmarkEnd w:id="36"/>
      <w:r>
        <w:t>Plan</w:t>
      </w:r>
      <w:bookmarkEnd w:id="37"/>
    </w:p>
    <w:p w14:paraId="51A1A457" w14:textId="3CDE7D1C" w:rsidR="00AD1665" w:rsidRDefault="00CF71BD" w:rsidP="00AD1665">
      <w:pPr>
        <w:spacing w:before="160" w:line="240" w:lineRule="auto"/>
      </w:pPr>
      <w:r>
        <w:t xml:space="preserve">Goal: Establish a clear understanding of why the adaptation planning effort is being undertaken, what it will produce, and the geographic area it will address. </w:t>
      </w:r>
    </w:p>
    <w:p w14:paraId="6A5587A0" w14:textId="77777777" w:rsidR="00665EDD" w:rsidRPr="00F5372A" w:rsidRDefault="00665EDD" w:rsidP="00665EDD">
      <w:pPr>
        <w:spacing w:before="160" w:line="240" w:lineRule="auto"/>
        <w:contextualSpacing/>
        <w:rPr>
          <w:szCs w:val="24"/>
        </w:rPr>
      </w:pPr>
    </w:p>
    <w:p w14:paraId="6E40FAE9" w14:textId="77777777" w:rsidR="00CF71BD" w:rsidRPr="002D1AE2" w:rsidRDefault="007407D4" w:rsidP="18E814DE">
      <w:pPr>
        <w:pStyle w:val="Heading3"/>
        <w:spacing w:after="160" w:line="240" w:lineRule="auto"/>
      </w:pPr>
      <w:bookmarkStart w:id="38" w:name="_Toc235802671"/>
      <w:r>
        <w:t>Step 1.1A</w:t>
      </w:r>
      <w:r>
        <w:rPr>
          <w:szCs w:val="32"/>
        </w:rPr>
        <w:t>:</w:t>
      </w:r>
      <w:r>
        <w:rPr>
          <w:spacing w:val="-7"/>
        </w:rPr>
        <w:t xml:space="preserve"> </w:t>
      </w:r>
      <w:r>
        <w:t xml:space="preserve">What </w:t>
      </w:r>
      <w:r>
        <w:rPr>
          <w:spacing w:val="-7"/>
        </w:rPr>
        <w:t>Plan</w:t>
      </w:r>
      <w:r>
        <w:t xml:space="preserve"> </w:t>
      </w:r>
      <w:r>
        <w:rPr>
          <w:spacing w:val="-7"/>
        </w:rPr>
        <w:t>or Project Will</w:t>
      </w:r>
      <w:r>
        <w:t xml:space="preserve"> This Process Produce</w:t>
      </w:r>
      <w:bookmarkEnd w:id="38"/>
    </w:p>
    <w:p w14:paraId="0B89FA4B" w14:textId="77777777" w:rsidR="00815B8E" w:rsidRDefault="00815B8E" w:rsidP="008E32C0">
      <w:pPr>
        <w:pStyle w:val="BodyText"/>
        <w:spacing w:before="160" w:line="240" w:lineRule="auto"/>
      </w:pPr>
      <w:r>
        <w:t>The first step in adaptation planning is defining the purpose, intended outcomes, and scope of the effort. This includes identifying how the plan will be developed, adopted, implemented, and integrated into existing planning processes.</w:t>
      </w:r>
    </w:p>
    <w:p w14:paraId="64781DEC" w14:textId="1D13A53B" w:rsidR="00F82C9C" w:rsidRDefault="00F82C9C" w:rsidP="00F82C9C">
      <w:pPr>
        <w:pStyle w:val="BodyText"/>
        <w:spacing w:before="160" w:line="240" w:lineRule="auto"/>
      </w:pPr>
      <w:r>
        <w:t xml:space="preserve">Adaptation planning can be advanced through several types of planning mechanisms, including comprehensive plans, focused plans, and implementation programs (see </w:t>
      </w:r>
      <w:hyperlink w:anchor="Figure_6" w:history="1">
        <w:r>
          <w:rPr>
            <w:rStyle w:val="Hyperlink"/>
          </w:rPr>
          <w:t>Figure 6</w:t>
        </w:r>
      </w:hyperlink>
      <w:r>
        <w:t xml:space="preserve">). </w:t>
      </w:r>
    </w:p>
    <w:p w14:paraId="2541411A" w14:textId="18937F17" w:rsidR="008E32C0" w:rsidRDefault="008E32C0">
      <w:pPr>
        <w:pStyle w:val="BodyText"/>
        <w:numPr>
          <w:ilvl w:val="0"/>
          <w:numId w:val="72"/>
        </w:numPr>
        <w:spacing w:before="160" w:line="240" w:lineRule="auto"/>
      </w:pPr>
      <w:r>
        <w:rPr>
          <w:b/>
        </w:rPr>
        <w:t>Comprehensive plans</w:t>
      </w:r>
      <w:r>
        <w:t xml:space="preserve"> such as General Plans address a broad range of mandated and optional elements. Climate change affects many of these elements, creating opportunities to advance adaptation throughout the plan (see </w:t>
      </w:r>
      <w:hyperlink w:anchor="Figure_6" w:history="1">
        <w:r>
          <w:rPr>
            <w:rStyle w:val="Hyperlink"/>
          </w:rPr>
          <w:t>Figure 6</w:t>
        </w:r>
      </w:hyperlink>
      <w:r>
        <w:t>).</w:t>
      </w:r>
    </w:p>
    <w:p w14:paraId="536B49ED" w14:textId="42D550B0" w:rsidR="008E32C0" w:rsidRDefault="008E32C0">
      <w:pPr>
        <w:pStyle w:val="ListParagraph"/>
        <w:widowControl w:val="0"/>
        <w:numPr>
          <w:ilvl w:val="0"/>
          <w:numId w:val="33"/>
        </w:numPr>
        <w:autoSpaceDE w:val="0"/>
        <w:autoSpaceDN w:val="0"/>
        <w:spacing w:before="160" w:line="240" w:lineRule="auto"/>
        <w:ind w:left="720"/>
      </w:pPr>
      <w:r>
        <w:rPr>
          <w:b/>
        </w:rPr>
        <w:t>Focused</w:t>
      </w:r>
      <w:r>
        <w:rPr>
          <w:b/>
          <w:spacing w:val="-4"/>
        </w:rPr>
        <w:t xml:space="preserve"> </w:t>
      </w:r>
      <w:r>
        <w:rPr>
          <w:b/>
        </w:rPr>
        <w:t>plans</w:t>
      </w:r>
      <w:r>
        <w:t xml:space="preserve"> such as Climate Adaptation/Action Plan (CAP</w:t>
      </w:r>
      <w:r w:rsidR="005D75FE">
        <w:t>/CAAP</w:t>
      </w:r>
      <w:r>
        <w:t xml:space="preserve">), Hazard Mitigation Plan (HMP), and other topic-specific plans (e.g., extreme heat, wildfire) provide more in-depth, targeted assessment. </w:t>
      </w:r>
    </w:p>
    <w:p w14:paraId="55FFEDE0" w14:textId="4889D47F" w:rsidR="008E32C0" w:rsidRPr="00EC035F" w:rsidRDefault="008E32C0">
      <w:pPr>
        <w:pStyle w:val="ListParagraph"/>
        <w:widowControl w:val="0"/>
        <w:numPr>
          <w:ilvl w:val="0"/>
          <w:numId w:val="33"/>
        </w:numPr>
        <w:autoSpaceDE w:val="0"/>
        <w:autoSpaceDN w:val="0"/>
        <w:spacing w:before="160" w:line="240" w:lineRule="auto"/>
        <w:ind w:left="720"/>
      </w:pPr>
      <w:r w:rsidRPr="20389150">
        <w:rPr>
          <w:b/>
          <w:bCs/>
        </w:rPr>
        <w:lastRenderedPageBreak/>
        <w:t>Implementation</w:t>
      </w:r>
      <w:r w:rsidRPr="20389150">
        <w:rPr>
          <w:b/>
          <w:bCs/>
          <w:spacing w:val="-5"/>
        </w:rPr>
        <w:t xml:space="preserve"> </w:t>
      </w:r>
      <w:r w:rsidRPr="20389150">
        <w:rPr>
          <w:b/>
          <w:bCs/>
        </w:rPr>
        <w:t>programs</w:t>
      </w:r>
      <w:r>
        <w:t xml:space="preserve"> such as Capital Improvement Plans (CIP), carry out specific actions on an ongoing basis (see </w:t>
      </w:r>
      <w:hyperlink w:anchor="Figure_6" w:history="1">
        <w:r w:rsidRPr="20389150">
          <w:rPr>
            <w:rStyle w:val="Hyperlink"/>
          </w:rPr>
          <w:t>Figure 6</w:t>
        </w:r>
      </w:hyperlink>
      <w:r>
        <w:t xml:space="preserve"> for examples). </w:t>
      </w:r>
    </w:p>
    <w:p w14:paraId="063514B0" w14:textId="2101A656" w:rsidR="00F82C9C" w:rsidRDefault="00F82C9C" w:rsidP="00B9378D">
      <w:pPr>
        <w:pStyle w:val="BodyText"/>
        <w:spacing w:before="160" w:line="240" w:lineRule="auto"/>
      </w:pPr>
      <w:r>
        <w:t>The adaptation planning process outlined in Phases 1 through 4 of the APG may result in one or more of these plan types but focuses primarily on comprehensive and focused plans.</w:t>
      </w:r>
    </w:p>
    <w:tbl>
      <w:tblPr>
        <w:tblStyle w:val="TableGrid"/>
        <w:tblW w:w="0" w:type="auto"/>
        <w:jc w:val="right"/>
        <w:tblLayout w:type="fixed"/>
        <w:tblLook w:val="04A0" w:firstRow="1" w:lastRow="0" w:firstColumn="1" w:lastColumn="0" w:noHBand="0" w:noVBand="1"/>
      </w:tblPr>
      <w:tblGrid>
        <w:gridCol w:w="9450"/>
      </w:tblGrid>
      <w:tr w:rsidR="00FB66B7" w14:paraId="2B814F5A" w14:textId="77777777" w:rsidTr="000179F3">
        <w:trPr>
          <w:trHeight w:val="576"/>
          <w:jc w:val="right"/>
        </w:trPr>
        <w:tc>
          <w:tcPr>
            <w:tcW w:w="9450" w:type="dxa"/>
            <w:tcBorders>
              <w:top w:val="nil"/>
              <w:left w:val="nil"/>
              <w:bottom w:val="nil"/>
              <w:right w:val="nil"/>
            </w:tcBorders>
            <w:shd w:val="clear" w:color="auto" w:fill="404040" w:themeFill="text1" w:themeFillTint="BF"/>
            <w:vAlign w:val="center"/>
          </w:tcPr>
          <w:p w14:paraId="56558FFA" w14:textId="77777777" w:rsidR="00FB66B7" w:rsidRPr="006D1E71" w:rsidRDefault="00FB66B7" w:rsidP="006715C1">
            <w:pPr>
              <w:pStyle w:val="CalloutBoxTitle"/>
              <w:rPr>
                <w:color w:val="FFFFFF" w:themeColor="background1"/>
              </w:rPr>
            </w:pPr>
            <w:r>
              <w:rPr>
                <w:color w:val="FFFFFF" w:themeColor="background1"/>
              </w:rPr>
              <w:t>Coastal Hazard Resilience Planning in California:</w:t>
            </w:r>
            <w:r>
              <w:rPr>
                <w:color w:val="FFFFFF" w:themeColor="background1"/>
                <w:spacing w:val="20"/>
              </w:rPr>
              <w:t xml:space="preserve"> </w:t>
            </w:r>
            <w:r>
              <w:rPr>
                <w:color w:val="FFFFFF" w:themeColor="background1"/>
                <w:spacing w:val="-2"/>
              </w:rPr>
              <w:t>Crosswalks</w:t>
            </w:r>
          </w:p>
        </w:tc>
      </w:tr>
      <w:tr w:rsidR="00FB66B7" w14:paraId="6845F882" w14:textId="77777777" w:rsidTr="000179F3">
        <w:trPr>
          <w:jc w:val="right"/>
        </w:trPr>
        <w:tc>
          <w:tcPr>
            <w:tcW w:w="9450" w:type="dxa"/>
            <w:tcBorders>
              <w:top w:val="nil"/>
              <w:left w:val="nil"/>
              <w:bottom w:val="nil"/>
              <w:right w:val="nil"/>
            </w:tcBorders>
            <w:shd w:val="clear" w:color="auto" w:fill="F2F2F2" w:themeFill="background1" w:themeFillShade="F2"/>
          </w:tcPr>
          <w:p w14:paraId="1ACDE7E5" w14:textId="144CE975" w:rsidR="00FB66B7" w:rsidRDefault="00FB66B7" w:rsidP="006715C1">
            <w:pPr>
              <w:spacing w:before="120" w:after="120"/>
              <w:rPr>
                <w:color w:val="000000" w:themeColor="text1"/>
              </w:rPr>
            </w:pPr>
            <w:r>
              <w:t xml:space="preserve">Resilience planning in the </w:t>
            </w:r>
            <w:hyperlink r:id="rId82" w:history="1">
              <w:r>
                <w:rPr>
                  <w:rStyle w:val="Hyperlink"/>
                  <w:szCs w:val="22"/>
                </w:rPr>
                <w:t>Coastal Compass</w:t>
              </w:r>
            </w:hyperlink>
            <w:r>
              <w:t xml:space="preserve"> highlights the integration of various local planning initiatives discussed in this APG for coastal communities, while also offering guidance that can be useful for inland communities. </w:t>
            </w:r>
            <w:r>
              <w:rPr>
                <w:color w:val="000000" w:themeColor="text1"/>
              </w:rPr>
              <w:t>The guide includes “crosswalks” to help planners identify when local hazard mitigation plans, adaptation</w:t>
            </w:r>
            <w:r>
              <w:rPr>
                <w:color w:val="000000" w:themeColor="text1"/>
                <w:spacing w:val="-12"/>
              </w:rPr>
              <w:t xml:space="preserve"> </w:t>
            </w:r>
            <w:r>
              <w:rPr>
                <w:color w:val="000000" w:themeColor="text1"/>
              </w:rPr>
              <w:t>plans,</w:t>
            </w:r>
            <w:r>
              <w:rPr>
                <w:color w:val="000000" w:themeColor="text1"/>
                <w:spacing w:val="-12"/>
              </w:rPr>
              <w:t xml:space="preserve"> </w:t>
            </w:r>
            <w:r>
              <w:rPr>
                <w:color w:val="000000" w:themeColor="text1"/>
              </w:rPr>
              <w:t>general</w:t>
            </w:r>
            <w:r>
              <w:rPr>
                <w:color w:val="000000" w:themeColor="text1"/>
                <w:spacing w:val="-12"/>
              </w:rPr>
              <w:t xml:space="preserve"> </w:t>
            </w:r>
            <w:r>
              <w:rPr>
                <w:color w:val="000000" w:themeColor="text1"/>
              </w:rPr>
              <w:t>plans, and local coastal programs can complement and support each other.</w:t>
            </w:r>
          </w:p>
        </w:tc>
      </w:tr>
    </w:tbl>
    <w:p w14:paraId="5F5B7588" w14:textId="77777777" w:rsidR="00E0567F" w:rsidRDefault="00E0567F">
      <w:r>
        <w:br w:type="page"/>
      </w:r>
    </w:p>
    <w:tbl>
      <w:tblPr>
        <w:tblStyle w:val="TableGrid"/>
        <w:tblW w:w="9625" w:type="dxa"/>
        <w:tblLook w:val="04A0" w:firstRow="1" w:lastRow="0" w:firstColumn="1" w:lastColumn="0" w:noHBand="0" w:noVBand="1"/>
      </w:tblPr>
      <w:tblGrid>
        <w:gridCol w:w="9625"/>
      </w:tblGrid>
      <w:tr w:rsidR="008E32C0" w14:paraId="15E679DF" w14:textId="77777777">
        <w:trPr>
          <w:trHeight w:val="432"/>
        </w:trPr>
        <w:tc>
          <w:tcPr>
            <w:tcW w:w="9625" w:type="dxa"/>
            <w:shd w:val="clear" w:color="auto" w:fill="000000" w:themeFill="text1"/>
            <w:vAlign w:val="center"/>
          </w:tcPr>
          <w:p w14:paraId="52B8C83C" w14:textId="3CFDDDD9" w:rsidR="008E32C0" w:rsidRPr="00317CCE" w:rsidRDefault="008E32C0">
            <w:pPr>
              <w:pStyle w:val="BodyText"/>
              <w:rPr>
                <w:b/>
                <w:bCs/>
              </w:rPr>
            </w:pPr>
            <w:bookmarkStart w:id="39" w:name="Figure_6"/>
            <w:r>
              <w:rPr>
                <w:b/>
                <w:bCs/>
              </w:rPr>
              <w:lastRenderedPageBreak/>
              <w:t xml:space="preserve">Figure </w:t>
            </w:r>
            <w:r>
              <w:rPr>
                <w:b/>
                <w:bCs/>
              </w:rPr>
              <w:fldChar w:fldCharType="begin"/>
            </w:r>
            <w:r>
              <w:rPr>
                <w:b/>
                <w:bCs/>
              </w:rPr>
              <w:instrText xml:space="preserve"> SEQ Figure \* ARABIC </w:instrText>
            </w:r>
            <w:r>
              <w:rPr>
                <w:b/>
                <w:bCs/>
              </w:rPr>
              <w:fldChar w:fldCharType="separate"/>
            </w:r>
            <w:r w:rsidR="00517691">
              <w:rPr>
                <w:b/>
                <w:bCs/>
                <w:noProof/>
              </w:rPr>
              <w:t>6</w:t>
            </w:r>
            <w:r>
              <w:rPr>
                <w:b/>
                <w:bCs/>
              </w:rPr>
              <w:fldChar w:fldCharType="end"/>
            </w:r>
            <w:r>
              <w:rPr>
                <w:b/>
                <w:bCs/>
              </w:rPr>
              <w:t>. Types of plans and programs</w:t>
            </w:r>
            <w:bookmarkEnd w:id="39"/>
          </w:p>
        </w:tc>
      </w:tr>
      <w:tr w:rsidR="008E32C0" w14:paraId="4E5C506F" w14:textId="77777777">
        <w:trPr>
          <w:trHeight w:val="12096"/>
        </w:trPr>
        <w:tc>
          <w:tcPr>
            <w:tcW w:w="9625" w:type="dxa"/>
          </w:tcPr>
          <w:p w14:paraId="45DE0BD8" w14:textId="77777777" w:rsidR="008E32C0" w:rsidRPr="005E70CE" w:rsidRDefault="008E32C0">
            <w:pPr>
              <w:pStyle w:val="BodyText"/>
              <w:rPr>
                <w:noProof/>
                <w:sz w:val="12"/>
                <w:szCs w:val="12"/>
              </w:rPr>
            </w:pPr>
          </w:p>
          <w:p w14:paraId="72794145" w14:textId="77777777" w:rsidR="008E32C0" w:rsidRPr="000E749F" w:rsidRDefault="008E32C0">
            <w:pPr>
              <w:pStyle w:val="BodyText"/>
              <w:rPr>
                <w:noProof/>
              </w:rPr>
            </w:pPr>
            <w:r>
              <w:rPr>
                <w:noProof/>
              </w:rPr>
              <w:drawing>
                <wp:inline distT="0" distB="0" distL="0" distR="0" wp14:anchorId="47459BE3" wp14:editId="547A3D90">
                  <wp:extent cx="5960951" cy="7490765"/>
                  <wp:effectExtent l="0" t="0" r="1905" b="0"/>
                  <wp:docPr id="323847965" name="Picture 2" descr="3 columns of the 3 plan types. The leftmost column is for comprehensive, overarching plans and contains: general plan, climate action/adaptation plan (strategic plan), and local/tribal hazard mitigation plan. The middle column is focused plans and guidance, which contains: specific plan, local coastal program, active transportation plan, design guidelines, evacuation plan, integrated regional water management plan, sustainability plan, emergency operations plan, community wildfire protection plan, stormwater management plan, and community health plans/assessments. The right column is implementation programs and includes: zoning code, annual budgets, building codes, subdivision regulations, development entitlements, and capital improve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47965" name="Picture 2" descr="3 columns of the 3 plan types. The leftmost column is for comprehensive, overarching plans and contains: general plan, climate action/adaptation plan (strategic plan), and local/tribal hazard mitigation plan. The middle column is focused plans and guidance, which contains: specific plan, local coastal program, active transportation plan, design guidelines, evacuation plan, integrated regional water management plan, sustainability plan, emergency operations plan, community wildfire protection plan, stormwater management plan, and community health plans/assessments. The right column is implementation programs and includes: zoning code, annual budgets, building codes, subdivision regulations, development entitlements, and capital improvement plan."/>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353" t="599" r="1571" b="680"/>
                          <a:stretch>
                            <a:fillRect/>
                          </a:stretch>
                        </pic:blipFill>
                        <pic:spPr bwMode="auto">
                          <a:xfrm>
                            <a:off x="0" y="0"/>
                            <a:ext cx="5973355" cy="7506353"/>
                          </a:xfrm>
                          <a:prstGeom prst="rect">
                            <a:avLst/>
                          </a:prstGeom>
                          <a:noFill/>
                          <a:ln>
                            <a:noFill/>
                          </a:ln>
                          <a:extLst>
                            <a:ext uri="{53640926-AAD7-44D8-BBD7-CCE9431645EC}">
                              <a14:shadowObscured xmlns:a14="http://schemas.microsoft.com/office/drawing/2010/main"/>
                            </a:ext>
                          </a:extLst>
                        </pic:spPr>
                      </pic:pic>
                    </a:graphicData>
                  </a:graphic>
                </wp:inline>
              </w:drawing>
            </w:r>
          </w:p>
          <w:p w14:paraId="30C9F22C" w14:textId="77777777" w:rsidR="008E32C0" w:rsidRPr="005E70CE" w:rsidRDefault="008E32C0">
            <w:pPr>
              <w:pStyle w:val="BodyText"/>
              <w:rPr>
                <w:noProof/>
                <w:sz w:val="12"/>
                <w:szCs w:val="12"/>
              </w:rPr>
            </w:pPr>
          </w:p>
        </w:tc>
      </w:tr>
    </w:tbl>
    <w:p w14:paraId="468692FB" w14:textId="77777777" w:rsidR="00DF1A9A" w:rsidRDefault="00DF1A9A" w:rsidP="00BB5ACB">
      <w:pPr>
        <w:pStyle w:val="BodyText"/>
        <w:spacing w:line="240" w:lineRule="auto"/>
      </w:pPr>
    </w:p>
    <w:p w14:paraId="33C18D29" w14:textId="6A75B31E" w:rsidR="00FD5A27" w:rsidRDefault="00FD5A27" w:rsidP="00BB5ACB">
      <w:pPr>
        <w:pStyle w:val="BodyText"/>
        <w:spacing w:line="240" w:lineRule="auto"/>
      </w:pPr>
      <w:r>
        <w:lastRenderedPageBreak/>
        <w:t xml:space="preserve">Under </w:t>
      </w:r>
      <w:hyperlink r:id="rId84" w:history="1">
        <w:r>
          <w:rPr>
            <w:rStyle w:val="Hyperlink"/>
          </w:rPr>
          <w:t>California Government Code §65302(g)(4)</w:t>
        </w:r>
      </w:hyperlink>
      <w:r>
        <w:t>, the State’s requirements may be met through any plan or document that contains the required information. However, in practice, the general plan,</w:t>
      </w:r>
      <w:r>
        <w:rPr>
          <w:spacing w:val="-2"/>
        </w:rPr>
        <w:t xml:space="preserve"> </w:t>
      </w:r>
      <w:r>
        <w:t>climate</w:t>
      </w:r>
      <w:r>
        <w:rPr>
          <w:spacing w:val="-2"/>
        </w:rPr>
        <w:t xml:space="preserve"> </w:t>
      </w:r>
      <w:r>
        <w:t>action/adaptation</w:t>
      </w:r>
      <w:r>
        <w:rPr>
          <w:spacing w:val="-2"/>
        </w:rPr>
        <w:t xml:space="preserve"> </w:t>
      </w:r>
      <w:r>
        <w:t>plan,</w:t>
      </w:r>
      <w:r>
        <w:rPr>
          <w:spacing w:val="-2"/>
        </w:rPr>
        <w:t xml:space="preserve"> </w:t>
      </w:r>
      <w:r>
        <w:t>or</w:t>
      </w:r>
      <w:r>
        <w:rPr>
          <w:spacing w:val="-2"/>
        </w:rPr>
        <w:t xml:space="preserve"> hazard mitigation plans </w:t>
      </w:r>
      <w:r>
        <w:t>are</w:t>
      </w:r>
      <w:r>
        <w:rPr>
          <w:spacing w:val="-2"/>
        </w:rPr>
        <w:t xml:space="preserve"> </w:t>
      </w:r>
      <w:r>
        <w:t>the</w:t>
      </w:r>
      <w:r>
        <w:rPr>
          <w:spacing w:val="-2"/>
        </w:rPr>
        <w:t xml:space="preserve"> </w:t>
      </w:r>
      <w:r>
        <w:t>most common mechanisms for seamlessly integrating climate adaptation strategies and considerations. The Introduction of this guide provides more information about these local planning efforts.</w:t>
      </w:r>
    </w:p>
    <w:p w14:paraId="23513FE7" w14:textId="77777777" w:rsidR="00FD5A27" w:rsidRDefault="00FD5A27" w:rsidP="00BB5ACB">
      <w:pPr>
        <w:pStyle w:val="BodyText"/>
        <w:spacing w:line="240" w:lineRule="auto"/>
      </w:pPr>
    </w:p>
    <w:p w14:paraId="7F0D4ADE" w14:textId="77777777" w:rsidR="00CF71BD" w:rsidRPr="002D1AE2" w:rsidRDefault="00DA7F80" w:rsidP="00EB6CED">
      <w:pPr>
        <w:pStyle w:val="Heading3"/>
        <w:spacing w:after="160" w:line="240" w:lineRule="auto"/>
      </w:pPr>
      <w:bookmarkStart w:id="40" w:name="_bookmark32"/>
      <w:bookmarkStart w:id="41" w:name="_Toc224722655"/>
      <w:bookmarkStart w:id="42" w:name="_Toc235802672"/>
      <w:bookmarkEnd w:id="40"/>
      <w:r>
        <w:t>Step 1.1B: What Does Adaptation and Resilience Mean to the Community?</w:t>
      </w:r>
      <w:bookmarkEnd w:id="41"/>
      <w:bookmarkEnd w:id="42"/>
    </w:p>
    <w:p w14:paraId="3BFE3191" w14:textId="77777777" w:rsidR="004A24F7" w:rsidRDefault="00CF71BD" w:rsidP="00EB6CED">
      <w:pPr>
        <w:pStyle w:val="BodyText"/>
        <w:spacing w:before="160" w:line="240" w:lineRule="auto"/>
      </w:pPr>
      <w:r>
        <w:t>The</w:t>
      </w:r>
      <w:r>
        <w:rPr>
          <w:spacing w:val="-4"/>
        </w:rPr>
        <w:t xml:space="preserve"> </w:t>
      </w:r>
      <w:r>
        <w:t>goal</w:t>
      </w:r>
      <w:r>
        <w:rPr>
          <w:spacing w:val="-5"/>
        </w:rPr>
        <w:t xml:space="preserve"> </w:t>
      </w:r>
      <w:r>
        <w:t>of</w:t>
      </w:r>
      <w:r>
        <w:rPr>
          <w:spacing w:val="-4"/>
        </w:rPr>
        <w:t xml:space="preserve"> </w:t>
      </w:r>
      <w:r>
        <w:t>adaptation</w:t>
      </w:r>
      <w:r>
        <w:rPr>
          <w:spacing w:val="-4"/>
        </w:rPr>
        <w:t xml:space="preserve"> </w:t>
      </w:r>
      <w:r>
        <w:t>planning</w:t>
      </w:r>
      <w:r>
        <w:rPr>
          <w:spacing w:val="-4"/>
        </w:rPr>
        <w:t xml:space="preserve"> </w:t>
      </w:r>
      <w:r>
        <w:t>is</w:t>
      </w:r>
      <w:r>
        <w:rPr>
          <w:spacing w:val="-4"/>
        </w:rPr>
        <w:t xml:space="preserve"> </w:t>
      </w:r>
      <w:r>
        <w:t>to</w:t>
      </w:r>
      <w:r>
        <w:rPr>
          <w:spacing w:val="-4"/>
        </w:rPr>
        <w:t xml:space="preserve"> </w:t>
      </w:r>
      <w:r>
        <w:t>improve</w:t>
      </w:r>
      <w:r>
        <w:rPr>
          <w:spacing w:val="-4"/>
        </w:rPr>
        <w:t xml:space="preserve"> </w:t>
      </w:r>
      <w:r>
        <w:t>community</w:t>
      </w:r>
      <w:r>
        <w:rPr>
          <w:spacing w:val="-4"/>
        </w:rPr>
        <w:t xml:space="preserve"> </w:t>
      </w:r>
      <w:r>
        <w:t>resilience</w:t>
      </w:r>
      <w:r>
        <w:rPr>
          <w:spacing w:val="-4"/>
        </w:rPr>
        <w:t xml:space="preserve"> </w:t>
      </w:r>
      <w:r>
        <w:t>in</w:t>
      </w:r>
      <w:r>
        <w:rPr>
          <w:spacing w:val="-4"/>
        </w:rPr>
        <w:t xml:space="preserve"> </w:t>
      </w:r>
      <w:r>
        <w:t>the</w:t>
      </w:r>
      <w:r>
        <w:rPr>
          <w:spacing w:val="-4"/>
        </w:rPr>
        <w:t xml:space="preserve"> </w:t>
      </w:r>
      <w:r>
        <w:t>face</w:t>
      </w:r>
      <w:r>
        <w:rPr>
          <w:spacing w:val="-4"/>
        </w:rPr>
        <w:t xml:space="preserve"> </w:t>
      </w:r>
      <w:r>
        <w:t>of a changing climate. This step can also prompt communities to consider what level of risk (e.g., flood, water shortage) they are willing to accept. A resilient community is one that is prepared for current and future</w:t>
      </w:r>
      <w:r>
        <w:rPr>
          <w:spacing w:val="-1"/>
        </w:rPr>
        <w:t xml:space="preserve"> </w:t>
      </w:r>
      <w:r>
        <w:t>hazard</w:t>
      </w:r>
      <w:r>
        <w:rPr>
          <w:spacing w:val="-1"/>
        </w:rPr>
        <w:t xml:space="preserve"> </w:t>
      </w:r>
      <w:r>
        <w:t>conditions</w:t>
      </w:r>
      <w:r>
        <w:rPr>
          <w:spacing w:val="-1"/>
        </w:rPr>
        <w:t xml:space="preserve"> </w:t>
      </w:r>
      <w:r>
        <w:t>and</w:t>
      </w:r>
      <w:r>
        <w:rPr>
          <w:spacing w:val="-1"/>
        </w:rPr>
        <w:t xml:space="preserve"> </w:t>
      </w:r>
      <w:r>
        <w:t>experiences</w:t>
      </w:r>
      <w:r>
        <w:rPr>
          <w:spacing w:val="-1"/>
        </w:rPr>
        <w:t xml:space="preserve"> </w:t>
      </w:r>
      <w:r>
        <w:t>less</w:t>
      </w:r>
      <w:r>
        <w:rPr>
          <w:spacing w:val="-1"/>
        </w:rPr>
        <w:t xml:space="preserve"> </w:t>
      </w:r>
      <w:r>
        <w:t>harm</w:t>
      </w:r>
      <w:r>
        <w:rPr>
          <w:spacing w:val="-1"/>
        </w:rPr>
        <w:t xml:space="preserve"> than they would have </w:t>
      </w:r>
      <w:r>
        <w:t>when</w:t>
      </w:r>
      <w:r>
        <w:rPr>
          <w:spacing w:val="-1"/>
        </w:rPr>
        <w:t xml:space="preserve"> </w:t>
      </w:r>
      <w:r>
        <w:t>disasters</w:t>
      </w:r>
      <w:r>
        <w:rPr>
          <w:spacing w:val="-1"/>
        </w:rPr>
        <w:t xml:space="preserve"> </w:t>
      </w:r>
      <w:r>
        <w:t>happen.</w:t>
      </w:r>
      <w:r>
        <w:rPr>
          <w:spacing w:val="-1"/>
        </w:rPr>
        <w:t xml:space="preserve"> </w:t>
      </w:r>
      <w:r>
        <w:t>Resilient communities can also recover more quickly and thoroughly. They rebuild in a way that accounts for evolving climate conditions rather than rebuilding the same way</w:t>
      </w:r>
      <w:r>
        <w:rPr>
          <w:spacing w:val="-5"/>
        </w:rPr>
        <w:t xml:space="preserve"> </w:t>
      </w:r>
      <w:r>
        <w:t>as</w:t>
      </w:r>
      <w:r>
        <w:rPr>
          <w:spacing w:val="-5"/>
        </w:rPr>
        <w:t xml:space="preserve"> </w:t>
      </w:r>
      <w:r>
        <w:t>before.</w:t>
      </w:r>
      <w:r>
        <w:rPr>
          <w:spacing w:val="-5"/>
        </w:rPr>
        <w:t xml:space="preserve"> </w:t>
      </w:r>
      <w:r>
        <w:t>All adaptation planning processes should be responsive to new data, emerging science, and evolving community needs. Ongoing monitoring and evaluation allow strategies to be adjusted over time and are critical to building resilience.</w:t>
      </w:r>
    </w:p>
    <w:p w14:paraId="21C05887" w14:textId="0FF37AD9" w:rsidR="00C62B81" w:rsidRPr="009F12B1" w:rsidRDefault="00497C17" w:rsidP="00EB6CED">
      <w:pPr>
        <w:spacing w:before="160" w:line="240" w:lineRule="auto"/>
      </w:pPr>
      <w:r>
        <w:rPr>
          <w:b/>
        </w:rPr>
        <w:t>Resilience</w:t>
      </w:r>
      <w:r>
        <w:t xml:space="preserve"> describes a state of readiness to face climate risks, while adaptation refers to actions that reduce physical climate risk. Together, these concepts guide local and statewide efforts to prepare for current and future climate impacts (</w:t>
      </w:r>
      <w:hyperlink r:id="rId85">
        <w:r>
          <w:rPr>
            <w:rStyle w:val="Hyperlink"/>
          </w:rPr>
          <w:t>California Climate Adaptation Strategy, 2024</w:t>
        </w:r>
      </w:hyperlink>
      <w:r>
        <w:t>).</w:t>
      </w:r>
    </w:p>
    <w:p w14:paraId="6B10E624" w14:textId="77777777" w:rsidR="00C62B81" w:rsidRPr="00FE57F9" w:rsidRDefault="00C62B81">
      <w:pPr>
        <w:pStyle w:val="ListParagraph"/>
        <w:widowControl w:val="0"/>
        <w:numPr>
          <w:ilvl w:val="0"/>
          <w:numId w:val="33"/>
        </w:numPr>
        <w:tabs>
          <w:tab w:val="left" w:pos="1620"/>
        </w:tabs>
        <w:autoSpaceDE w:val="0"/>
        <w:autoSpaceDN w:val="0"/>
        <w:spacing w:before="160" w:line="240" w:lineRule="auto"/>
        <w:ind w:left="720"/>
        <w:rPr>
          <w:color w:val="000000" w:themeColor="text1"/>
          <w:szCs w:val="24"/>
        </w:rPr>
      </w:pPr>
      <w:r>
        <w:rPr>
          <w:color w:val="000000" w:themeColor="text1"/>
          <w:szCs w:val="24"/>
        </w:rPr>
        <w:t xml:space="preserve">Resilience is not specific to any single hazard type and should ideally address multiple hazards at the same time, such as wildfires, droughts, floods, winter </w:t>
      </w:r>
      <w:r>
        <w:t>storms</w:t>
      </w:r>
      <w:r>
        <w:rPr>
          <w:color w:val="000000" w:themeColor="text1"/>
          <w:szCs w:val="24"/>
        </w:rPr>
        <w:t>, and more. Resilience should include actions that address both immediate, pressing needs and decisions that protect long-term investments.</w:t>
      </w:r>
    </w:p>
    <w:p w14:paraId="0259EEA4" w14:textId="77777777" w:rsidR="00CF71BD" w:rsidRDefault="00C62B81">
      <w:pPr>
        <w:pStyle w:val="ListParagraph"/>
        <w:widowControl w:val="0"/>
        <w:numPr>
          <w:ilvl w:val="0"/>
          <w:numId w:val="33"/>
        </w:numPr>
        <w:tabs>
          <w:tab w:val="left" w:pos="1620"/>
        </w:tabs>
        <w:autoSpaceDE w:val="0"/>
        <w:autoSpaceDN w:val="0"/>
        <w:spacing w:before="160" w:line="240" w:lineRule="auto"/>
        <w:ind w:left="720"/>
        <w:rPr>
          <w:color w:val="000000" w:themeColor="text1"/>
          <w:szCs w:val="24"/>
        </w:rPr>
      </w:pPr>
      <w:r>
        <w:rPr>
          <w:color w:val="000000" w:themeColor="text1"/>
          <w:szCs w:val="24"/>
        </w:rPr>
        <w:t xml:space="preserve">As communities recover from recent disasters and face future risks, resilience </w:t>
      </w:r>
      <w:r>
        <w:rPr>
          <w:bCs/>
          <w:szCs w:val="24"/>
        </w:rPr>
        <w:t>must</w:t>
      </w:r>
      <w:r>
        <w:rPr>
          <w:color w:val="000000" w:themeColor="text1"/>
          <w:szCs w:val="24"/>
        </w:rPr>
        <w:t xml:space="preserve"> focus not only on surviving disasters but on revitalizing communities and the natural environment and diversifying regional economies to resist and adapt to external shocks.</w:t>
      </w:r>
    </w:p>
    <w:p w14:paraId="4F24AAEC" w14:textId="77777777" w:rsidR="005B14C2" w:rsidRPr="005B14C2" w:rsidRDefault="005B14C2" w:rsidP="005B14C2">
      <w:pPr>
        <w:spacing w:line="240" w:lineRule="auto"/>
        <w:rPr>
          <w:color w:val="000000" w:themeColor="text1"/>
          <w:szCs w:val="24"/>
        </w:rPr>
      </w:pPr>
    </w:p>
    <w:p w14:paraId="4CBDF30E" w14:textId="77777777" w:rsidR="00CF71BD" w:rsidRPr="00172891" w:rsidRDefault="00FC756A" w:rsidP="00A27774">
      <w:pPr>
        <w:pStyle w:val="Heading4"/>
        <w:spacing w:after="160" w:line="240" w:lineRule="auto"/>
      </w:pPr>
      <w:bookmarkStart w:id="43" w:name="_bookmark33"/>
      <w:bookmarkEnd w:id="43"/>
      <w:r>
        <w:t>Developing a Community-Wide Vision for Adaptation and Resilience</w:t>
      </w:r>
    </w:p>
    <w:p w14:paraId="2E225054" w14:textId="602EABFB" w:rsidR="008E32C0" w:rsidRDefault="008E32C0" w:rsidP="008E32C0">
      <w:pPr>
        <w:spacing w:before="160" w:line="240" w:lineRule="auto"/>
      </w:pPr>
      <w:r>
        <w:t xml:space="preserve">Resilience looks different across different communities and regions in the state. A community in the Sacramento Delta faces different threats and has different priorities than a community in the Inland Empire or North Coast. Before </w:t>
      </w:r>
      <w:r>
        <w:lastRenderedPageBreak/>
        <w:t xml:space="preserve">beginning the technical steps, ground the process in the community's specific </w:t>
      </w:r>
      <w:r w:rsidR="00024C23">
        <w:t xml:space="preserve">cultural, ecological, and climate </w:t>
      </w:r>
      <w:r>
        <w:t>context</w:t>
      </w:r>
      <w:r w:rsidR="00024C23">
        <w:t>s</w:t>
      </w:r>
      <w:r>
        <w:t>:</w:t>
      </w:r>
    </w:p>
    <w:p w14:paraId="75708419" w14:textId="77777777" w:rsidR="004C3DFB" w:rsidRDefault="004C3DFB">
      <w:pPr>
        <w:pStyle w:val="ListParagraph"/>
        <w:widowControl w:val="0"/>
        <w:numPr>
          <w:ilvl w:val="0"/>
          <w:numId w:val="33"/>
        </w:numPr>
        <w:tabs>
          <w:tab w:val="left" w:pos="1620"/>
        </w:tabs>
        <w:autoSpaceDE w:val="0"/>
        <w:autoSpaceDN w:val="0"/>
        <w:spacing w:before="160" w:line="240" w:lineRule="auto"/>
        <w:ind w:left="720"/>
      </w:pPr>
      <w:r>
        <w:rPr>
          <w:color w:val="000000" w:themeColor="text1"/>
          <w:szCs w:val="24"/>
        </w:rPr>
        <w:t>What</w:t>
      </w:r>
      <w:r>
        <w:t xml:space="preserve"> do community members most value and want to protect?</w:t>
      </w:r>
    </w:p>
    <w:p w14:paraId="7888AE43" w14:textId="77777777" w:rsidR="004C3DFB" w:rsidRDefault="004C3DFB">
      <w:pPr>
        <w:pStyle w:val="ListParagraph"/>
        <w:widowControl w:val="0"/>
        <w:numPr>
          <w:ilvl w:val="0"/>
          <w:numId w:val="33"/>
        </w:numPr>
        <w:tabs>
          <w:tab w:val="left" w:pos="1620"/>
        </w:tabs>
        <w:autoSpaceDE w:val="0"/>
        <w:autoSpaceDN w:val="0"/>
        <w:spacing w:before="160" w:line="240" w:lineRule="auto"/>
        <w:ind w:left="720"/>
      </w:pPr>
      <w:r>
        <w:rPr>
          <w:color w:val="000000" w:themeColor="text1"/>
          <w:szCs w:val="24"/>
        </w:rPr>
        <w:t>What</w:t>
      </w:r>
      <w:r>
        <w:t xml:space="preserve"> climate hazards do residents already experience? What strengths already exist?</w:t>
      </w:r>
    </w:p>
    <w:p w14:paraId="2E9231DC" w14:textId="77777777" w:rsidR="004C3DFB" w:rsidRDefault="004C3DFB">
      <w:pPr>
        <w:pStyle w:val="ListParagraph"/>
        <w:widowControl w:val="0"/>
        <w:numPr>
          <w:ilvl w:val="0"/>
          <w:numId w:val="33"/>
        </w:numPr>
        <w:tabs>
          <w:tab w:val="left" w:pos="1620"/>
        </w:tabs>
        <w:autoSpaceDE w:val="0"/>
        <w:autoSpaceDN w:val="0"/>
        <w:spacing w:line="240" w:lineRule="auto"/>
        <w:ind w:left="720"/>
        <w:contextualSpacing w:val="0"/>
      </w:pPr>
      <w:r>
        <w:rPr>
          <w:color w:val="000000" w:themeColor="text1"/>
          <w:szCs w:val="24"/>
        </w:rPr>
        <w:t>What</w:t>
      </w:r>
      <w:r>
        <w:t xml:space="preserve"> does recovery look like after a disaster occurs? Who recovers quickly and who does not?</w:t>
      </w:r>
    </w:p>
    <w:p w14:paraId="398F7F97" w14:textId="77777777" w:rsidR="000A5943" w:rsidRDefault="000A5943" w:rsidP="00A27774">
      <w:pPr>
        <w:pStyle w:val="ListParagraph"/>
        <w:spacing w:before="160" w:line="240" w:lineRule="auto"/>
        <w:ind w:left="0"/>
        <w:contextualSpacing w:val="0"/>
      </w:pPr>
      <w:r>
        <w:t>A vision statement captures what community members most value about their</w:t>
      </w:r>
      <w:r>
        <w:rPr>
          <w:spacing w:val="-5"/>
        </w:rPr>
        <w:t xml:space="preserve"> </w:t>
      </w:r>
      <w:r>
        <w:t>community</w:t>
      </w:r>
      <w:r>
        <w:rPr>
          <w:spacing w:val="-5"/>
        </w:rPr>
        <w:t xml:space="preserve"> </w:t>
      </w:r>
      <w:r>
        <w:t>and</w:t>
      </w:r>
      <w:r>
        <w:rPr>
          <w:spacing w:val="-5"/>
        </w:rPr>
        <w:t xml:space="preserve"> </w:t>
      </w:r>
      <w:r>
        <w:t>what</w:t>
      </w:r>
      <w:r>
        <w:rPr>
          <w:spacing w:val="-5"/>
        </w:rPr>
        <w:t xml:space="preserve"> </w:t>
      </w:r>
      <w:r>
        <w:t>they</w:t>
      </w:r>
      <w:r>
        <w:rPr>
          <w:spacing w:val="-5"/>
        </w:rPr>
        <w:t xml:space="preserve"> </w:t>
      </w:r>
      <w:r>
        <w:t>want</w:t>
      </w:r>
      <w:r>
        <w:rPr>
          <w:spacing w:val="-5"/>
        </w:rPr>
        <w:t xml:space="preserve"> </w:t>
      </w:r>
      <w:r>
        <w:t>their community to become.</w:t>
      </w:r>
    </w:p>
    <w:p w14:paraId="511EA64F" w14:textId="77777777" w:rsidR="000A5943" w:rsidRDefault="000A5943" w:rsidP="00A27774">
      <w:pPr>
        <w:pStyle w:val="BodyText"/>
        <w:spacing w:before="160" w:line="240" w:lineRule="auto"/>
      </w:pPr>
      <w:r>
        <w:t>When drafting a vision statement, it is helpful to envision what the community will look like in the future</w:t>
      </w:r>
      <w:r>
        <w:rPr>
          <w:spacing w:val="-2"/>
        </w:rPr>
        <w:t xml:space="preserve"> </w:t>
      </w:r>
      <w:r>
        <w:t>(e.g.,</w:t>
      </w:r>
      <w:r>
        <w:rPr>
          <w:spacing w:val="-2"/>
        </w:rPr>
        <w:t xml:space="preserve"> </w:t>
      </w:r>
      <w:r>
        <w:t>in</w:t>
      </w:r>
      <w:r>
        <w:rPr>
          <w:spacing w:val="-2"/>
        </w:rPr>
        <w:t xml:space="preserve"> </w:t>
      </w:r>
      <w:r>
        <w:t>10,</w:t>
      </w:r>
      <w:r>
        <w:rPr>
          <w:spacing w:val="-2"/>
        </w:rPr>
        <w:t xml:space="preserve"> </w:t>
      </w:r>
      <w:r>
        <w:t>20,</w:t>
      </w:r>
      <w:r>
        <w:rPr>
          <w:spacing w:val="-2"/>
        </w:rPr>
        <w:t xml:space="preserve"> </w:t>
      </w:r>
      <w:r>
        <w:t>or 50 years or more). How will the community function, what it will be known for, who will be served by the community and its services, what</w:t>
      </w:r>
      <w:r>
        <w:rPr>
          <w:spacing w:val="-4"/>
        </w:rPr>
        <w:t xml:space="preserve"> </w:t>
      </w:r>
      <w:r>
        <w:t>it</w:t>
      </w:r>
      <w:r>
        <w:rPr>
          <w:spacing w:val="-4"/>
        </w:rPr>
        <w:t xml:space="preserve"> </w:t>
      </w:r>
      <w:r>
        <w:t>will</w:t>
      </w:r>
      <w:r>
        <w:rPr>
          <w:spacing w:val="-5"/>
        </w:rPr>
        <w:t xml:space="preserve"> </w:t>
      </w:r>
      <w:r>
        <w:t>look</w:t>
      </w:r>
      <w:r>
        <w:rPr>
          <w:spacing w:val="-4"/>
        </w:rPr>
        <w:t xml:space="preserve"> </w:t>
      </w:r>
      <w:r>
        <w:t>like,</w:t>
      </w:r>
      <w:r>
        <w:rPr>
          <w:spacing w:val="-4"/>
        </w:rPr>
        <w:t xml:space="preserve"> </w:t>
      </w:r>
      <w:r>
        <w:t>what</w:t>
      </w:r>
      <w:r>
        <w:rPr>
          <w:spacing w:val="-4"/>
        </w:rPr>
        <w:t xml:space="preserve"> </w:t>
      </w:r>
      <w:r>
        <w:t>resources</w:t>
      </w:r>
      <w:r>
        <w:rPr>
          <w:spacing w:val="-4"/>
        </w:rPr>
        <w:t xml:space="preserve"> </w:t>
      </w:r>
      <w:r>
        <w:t>will</w:t>
      </w:r>
      <w:r>
        <w:rPr>
          <w:spacing w:val="-5"/>
        </w:rPr>
        <w:t xml:space="preserve"> </w:t>
      </w:r>
      <w:r>
        <w:t>be needed, and more.</w:t>
      </w:r>
    </w:p>
    <w:p w14:paraId="1FDF1877" w14:textId="77777777" w:rsidR="7318824F" w:rsidRDefault="7318824F" w:rsidP="00A27774">
      <w:pPr>
        <w:spacing w:before="160" w:line="240" w:lineRule="auto"/>
      </w:pPr>
      <w:r>
        <w:t>Effective community vision statements typically address some combination of equity and community well-being; environmental sustainability; economic and social resilience; and long-term targets with clear timeframes:</w:t>
      </w:r>
    </w:p>
    <w:p w14:paraId="4CBA590F" w14:textId="77777777" w:rsidR="7318824F" w:rsidRDefault="7318824F">
      <w:pPr>
        <w:pStyle w:val="ListParagraph"/>
        <w:widowControl w:val="0"/>
        <w:numPr>
          <w:ilvl w:val="0"/>
          <w:numId w:val="33"/>
        </w:numPr>
        <w:tabs>
          <w:tab w:val="left" w:pos="1620"/>
        </w:tabs>
        <w:autoSpaceDE w:val="0"/>
        <w:autoSpaceDN w:val="0"/>
        <w:spacing w:before="160" w:line="240" w:lineRule="auto"/>
        <w:ind w:left="720"/>
      </w:pPr>
      <w:r>
        <w:rPr>
          <w:b/>
          <w:bCs/>
        </w:rPr>
        <w:t>Equity and community well-being:</w:t>
      </w:r>
      <w:r>
        <w:rPr>
          <w:b/>
        </w:rPr>
        <w:t xml:space="preserve"> </w:t>
      </w:r>
      <w:r>
        <w:rPr>
          <w:bCs/>
          <w:szCs w:val="24"/>
        </w:rPr>
        <w:t>making</w:t>
      </w:r>
      <w:r>
        <w:t xml:space="preserve"> sure all residents benefit and vulnerabilities are addressed.</w:t>
      </w:r>
    </w:p>
    <w:p w14:paraId="23F76766" w14:textId="77777777" w:rsidR="7318824F" w:rsidRDefault="7318824F">
      <w:pPr>
        <w:pStyle w:val="ListParagraph"/>
        <w:widowControl w:val="0"/>
        <w:numPr>
          <w:ilvl w:val="0"/>
          <w:numId w:val="33"/>
        </w:numPr>
        <w:tabs>
          <w:tab w:val="left" w:pos="1620"/>
        </w:tabs>
        <w:autoSpaceDE w:val="0"/>
        <w:autoSpaceDN w:val="0"/>
        <w:spacing w:before="160" w:line="240" w:lineRule="auto"/>
        <w:ind w:left="720"/>
      </w:pPr>
      <w:r>
        <w:rPr>
          <w:b/>
          <w:bCs/>
        </w:rPr>
        <w:t>Environmental sustainability:</w:t>
      </w:r>
      <w:r>
        <w:rPr>
          <w:b/>
        </w:rPr>
        <w:t xml:space="preserve"> </w:t>
      </w:r>
      <w:r>
        <w:t xml:space="preserve">reducing </w:t>
      </w:r>
      <w:r>
        <w:rPr>
          <w:bCs/>
          <w:szCs w:val="24"/>
        </w:rPr>
        <w:t>emissions</w:t>
      </w:r>
      <w:r>
        <w:t>, protecting natural resources, and managing water and ecosystem resilience.</w:t>
      </w:r>
    </w:p>
    <w:p w14:paraId="65466A73" w14:textId="77777777" w:rsidR="7318824F" w:rsidRDefault="7318824F">
      <w:pPr>
        <w:pStyle w:val="ListParagraph"/>
        <w:widowControl w:val="0"/>
        <w:numPr>
          <w:ilvl w:val="0"/>
          <w:numId w:val="33"/>
        </w:numPr>
        <w:tabs>
          <w:tab w:val="left" w:pos="1620"/>
        </w:tabs>
        <w:autoSpaceDE w:val="0"/>
        <w:autoSpaceDN w:val="0"/>
        <w:spacing w:before="160" w:line="240" w:lineRule="auto"/>
        <w:ind w:left="720"/>
      </w:pPr>
      <w:r>
        <w:rPr>
          <w:b/>
          <w:bCs/>
        </w:rPr>
        <w:t>Economic and social resilience:</w:t>
      </w:r>
      <w:r>
        <w:rPr>
          <w:b/>
        </w:rPr>
        <w:t xml:space="preserve"> </w:t>
      </w:r>
      <w:r>
        <w:rPr>
          <w:bCs/>
          <w:szCs w:val="24"/>
        </w:rPr>
        <w:t>strengthening</w:t>
      </w:r>
      <w:r>
        <w:t xml:space="preserve"> local economies and infrastructure to withstand climate impacts.</w:t>
      </w:r>
    </w:p>
    <w:p w14:paraId="596EB908" w14:textId="77777777" w:rsidR="7D12B105" w:rsidRDefault="7318824F">
      <w:pPr>
        <w:pStyle w:val="ListParagraph"/>
        <w:widowControl w:val="0"/>
        <w:numPr>
          <w:ilvl w:val="0"/>
          <w:numId w:val="33"/>
        </w:numPr>
        <w:tabs>
          <w:tab w:val="left" w:pos="1620"/>
        </w:tabs>
        <w:autoSpaceDE w:val="0"/>
        <w:autoSpaceDN w:val="0"/>
        <w:spacing w:line="240" w:lineRule="auto"/>
        <w:ind w:left="720"/>
        <w:contextualSpacing w:val="0"/>
      </w:pPr>
      <w:r>
        <w:rPr>
          <w:b/>
          <w:bCs/>
        </w:rPr>
        <w:t>Long-term resilience goals:</w:t>
      </w:r>
      <w:r>
        <w:rPr>
          <w:b/>
        </w:rPr>
        <w:t xml:space="preserve"> </w:t>
      </w:r>
      <w:r>
        <w:t>clear timelines and ambitious targets (e.g., carbon neutrality by mid-century).</w:t>
      </w:r>
    </w:p>
    <w:p w14:paraId="07BD6065" w14:textId="7E46880A" w:rsidR="000A5943" w:rsidRDefault="000A5943" w:rsidP="00A27774">
      <w:pPr>
        <w:pStyle w:val="ListParagraph"/>
        <w:spacing w:before="160" w:line="240" w:lineRule="auto"/>
        <w:ind w:left="0"/>
        <w:contextualSpacing w:val="0"/>
      </w:pPr>
      <w:r>
        <w:t xml:space="preserve">Vision statements work best when they are developed with broad community input, not written in a planning office. Visioning is often the first activity of a community engagement process. The process can include a variety of activities to engage </w:t>
      </w:r>
      <w:r w:rsidR="00177C1B">
        <w:t>partners.</w:t>
      </w:r>
      <w:r>
        <w:t xml:space="preserve"> The outreach step in this phase </w:t>
      </w:r>
      <w:r w:rsidR="002B48A9">
        <w:t>(</w:t>
      </w:r>
      <w:hyperlink w:anchor="_Step_1.3:_Prepare" w:history="1">
        <w:r w:rsidR="002B48A9">
          <w:rPr>
            <w:rStyle w:val="Hyperlink"/>
          </w:rPr>
          <w:t>Step 1.3</w:t>
        </w:r>
      </w:hyperlink>
      <w:r w:rsidR="002B48A9">
        <w:t>)</w:t>
      </w:r>
      <w:r w:rsidR="00396145">
        <w:t xml:space="preserve"> </w:t>
      </w:r>
      <w:r>
        <w:t xml:space="preserve">is designed to support this. </w:t>
      </w:r>
    </w:p>
    <w:tbl>
      <w:tblPr>
        <w:tblStyle w:val="TableGrid"/>
        <w:tblW w:w="0" w:type="auto"/>
        <w:tblLook w:val="04A0" w:firstRow="1" w:lastRow="0" w:firstColumn="1" w:lastColumn="0" w:noHBand="0" w:noVBand="1"/>
      </w:tblPr>
      <w:tblGrid>
        <w:gridCol w:w="9350"/>
      </w:tblGrid>
      <w:tr w:rsidR="0003205A" w:rsidRPr="00B472BE" w14:paraId="033E3BB2" w14:textId="77777777" w:rsidTr="00191806">
        <w:trPr>
          <w:trHeight w:val="576"/>
        </w:trPr>
        <w:tc>
          <w:tcPr>
            <w:tcW w:w="9350" w:type="dxa"/>
            <w:tcBorders>
              <w:top w:val="nil"/>
              <w:left w:val="nil"/>
              <w:bottom w:val="nil"/>
              <w:right w:val="nil"/>
            </w:tcBorders>
            <w:shd w:val="clear" w:color="auto" w:fill="404040" w:themeFill="text1" w:themeFillTint="BF"/>
            <w:vAlign w:val="center"/>
          </w:tcPr>
          <w:p w14:paraId="20A55F1A" w14:textId="4F12FD57" w:rsidR="0003205A" w:rsidRPr="00B472BE" w:rsidRDefault="00077B22" w:rsidP="00191806">
            <w:pPr>
              <w:pStyle w:val="CalloutBoxTitle"/>
              <w:rPr>
                <w:color w:val="FFFFFF" w:themeColor="background1"/>
              </w:rPr>
            </w:pPr>
            <w:r>
              <w:rPr>
                <w:color w:val="FFFFFF" w:themeColor="background1"/>
              </w:rPr>
              <w:t>Desert Planning Resource</w:t>
            </w:r>
          </w:p>
        </w:tc>
      </w:tr>
      <w:tr w:rsidR="0003205A" w14:paraId="5F9BA062" w14:textId="77777777" w:rsidTr="00191806">
        <w:tc>
          <w:tcPr>
            <w:tcW w:w="9350" w:type="dxa"/>
            <w:tcBorders>
              <w:top w:val="nil"/>
              <w:left w:val="nil"/>
              <w:bottom w:val="nil"/>
              <w:right w:val="nil"/>
            </w:tcBorders>
            <w:shd w:val="clear" w:color="auto" w:fill="F2F2F2" w:themeFill="background1" w:themeFillShade="F2"/>
          </w:tcPr>
          <w:p w14:paraId="1E7A9465" w14:textId="46644ADE" w:rsidR="00632C5B" w:rsidRPr="00077B22" w:rsidRDefault="00077B22" w:rsidP="00077B22">
            <w:pPr>
              <w:pStyle w:val="ListParagraph"/>
              <w:spacing w:before="160"/>
              <w:ind w:left="0"/>
              <w:contextualSpacing w:val="0"/>
            </w:pPr>
            <w:r>
              <w:t xml:space="preserve">For communities in the inland desert region, resources such as the Desert Climate Resilience Initiative’s </w:t>
            </w:r>
            <w:hyperlink r:id="rId86">
              <w:r w:rsidRPr="55DEB025">
                <w:rPr>
                  <w:rStyle w:val="Hyperlink"/>
                </w:rPr>
                <w:t>Indigenous Resilience Interview Archive</w:t>
              </w:r>
            </w:hyperlink>
            <w:r>
              <w:t xml:space="preserve"> can provide additional insight into community-identified climate priorities, lived experiences, and resilience perspectives from Indigenous communities.</w:t>
            </w:r>
          </w:p>
        </w:tc>
      </w:tr>
    </w:tbl>
    <w:p w14:paraId="19F75C1F" w14:textId="499649F7" w:rsidR="000A5943" w:rsidRDefault="000A5943" w:rsidP="00A27774">
      <w:pPr>
        <w:pStyle w:val="BodyText"/>
        <w:spacing w:before="160" w:line="240" w:lineRule="auto"/>
      </w:pPr>
      <w:r>
        <w:t>Ultimately, ideas and recommendations should be compiled into a single draft vision that is vetted</w:t>
      </w:r>
      <w:r>
        <w:rPr>
          <w:spacing w:val="-12"/>
        </w:rPr>
        <w:t xml:space="preserve"> </w:t>
      </w:r>
      <w:r>
        <w:t>through</w:t>
      </w:r>
      <w:r>
        <w:rPr>
          <w:spacing w:val="-12"/>
        </w:rPr>
        <w:t xml:space="preserve"> </w:t>
      </w:r>
      <w:r>
        <w:t>the</w:t>
      </w:r>
      <w:r>
        <w:rPr>
          <w:spacing w:val="-12"/>
        </w:rPr>
        <w:t xml:space="preserve"> </w:t>
      </w:r>
      <w:r>
        <w:t>adaptation</w:t>
      </w:r>
      <w:r>
        <w:rPr>
          <w:spacing w:val="-12"/>
        </w:rPr>
        <w:t xml:space="preserve"> </w:t>
      </w:r>
      <w:r>
        <w:t xml:space="preserve">planning </w:t>
      </w:r>
      <w:r>
        <w:rPr>
          <w:spacing w:val="-2"/>
        </w:rPr>
        <w:t xml:space="preserve">process. The vision should be informed by both quantitative information and qualitative insights, this </w:t>
      </w:r>
      <w:r>
        <w:rPr>
          <w:spacing w:val="-2"/>
        </w:rPr>
        <w:lastRenderedPageBreak/>
        <w:t xml:space="preserve">recognizes that community stories, lived experiences, and local knowledge is as important as data information. </w:t>
      </w:r>
    </w:p>
    <w:p w14:paraId="2DA2EA8D" w14:textId="635D026E" w:rsidR="000A5943" w:rsidRDefault="000A5943" w:rsidP="00B9378D">
      <w:pPr>
        <w:pStyle w:val="BodyText"/>
        <w:spacing w:before="160" w:line="240" w:lineRule="auto"/>
      </w:pPr>
      <w:r w:rsidRPr="00BD7378">
        <w:rPr>
          <w:b/>
          <w:bCs/>
          <w:spacing w:val="-2"/>
        </w:rPr>
        <w:t>Goals</w:t>
      </w:r>
      <w:r>
        <w:rPr>
          <w:spacing w:val="-11"/>
        </w:rPr>
        <w:t xml:space="preserve"> </w:t>
      </w:r>
      <w:r>
        <w:rPr>
          <w:spacing w:val="-2"/>
        </w:rPr>
        <w:t>describe</w:t>
      </w:r>
      <w:r>
        <w:rPr>
          <w:spacing w:val="-11"/>
        </w:rPr>
        <w:t xml:space="preserve"> </w:t>
      </w:r>
      <w:r>
        <w:rPr>
          <w:spacing w:val="-2"/>
        </w:rPr>
        <w:t>the</w:t>
      </w:r>
      <w:r>
        <w:rPr>
          <w:spacing w:val="-11"/>
        </w:rPr>
        <w:t xml:space="preserve"> </w:t>
      </w:r>
      <w:r>
        <w:rPr>
          <w:spacing w:val="-2"/>
        </w:rPr>
        <w:t xml:space="preserve">desired </w:t>
      </w:r>
      <w:r>
        <w:t>outcomes from the adaptation planning process and are grounded in the community’s vision for resilience.</w:t>
      </w:r>
      <w:r>
        <w:rPr>
          <w:spacing w:val="-9"/>
        </w:rPr>
        <w:t xml:space="preserve"> </w:t>
      </w:r>
      <w:r>
        <w:t>Goals</w:t>
      </w:r>
      <w:r>
        <w:rPr>
          <w:spacing w:val="-9"/>
        </w:rPr>
        <w:t xml:space="preserve"> </w:t>
      </w:r>
      <w:r>
        <w:t>should reflect community needs, priorities, and values of the public and of the partners involved in the planning effort. Establishing</w:t>
      </w:r>
      <w:r>
        <w:rPr>
          <w:spacing w:val="-5"/>
        </w:rPr>
        <w:t xml:space="preserve"> </w:t>
      </w:r>
      <w:r>
        <w:t>goals</w:t>
      </w:r>
      <w:r>
        <w:rPr>
          <w:spacing w:val="-5"/>
        </w:rPr>
        <w:t xml:space="preserve"> </w:t>
      </w:r>
      <w:r>
        <w:t>early</w:t>
      </w:r>
      <w:r>
        <w:rPr>
          <w:spacing w:val="-5"/>
        </w:rPr>
        <w:t xml:space="preserve"> </w:t>
      </w:r>
      <w:r>
        <w:t>creates a</w:t>
      </w:r>
      <w:r>
        <w:rPr>
          <w:spacing w:val="-9"/>
        </w:rPr>
        <w:t xml:space="preserve"> </w:t>
      </w:r>
      <w:r>
        <w:t>common</w:t>
      </w:r>
      <w:r>
        <w:rPr>
          <w:spacing w:val="-9"/>
        </w:rPr>
        <w:t xml:space="preserve"> </w:t>
      </w:r>
      <w:r>
        <w:t>foundation</w:t>
      </w:r>
      <w:r>
        <w:rPr>
          <w:spacing w:val="-9"/>
        </w:rPr>
        <w:t xml:space="preserve"> </w:t>
      </w:r>
      <w:r>
        <w:t>for the planning effort and keeps participants on track throughout the planning process.</w:t>
      </w:r>
      <w:r>
        <w:rPr>
          <w:spacing w:val="-9"/>
        </w:rPr>
        <w:t xml:space="preserve"> </w:t>
      </w:r>
      <w:r>
        <w:t>Later</w:t>
      </w:r>
      <w:r>
        <w:rPr>
          <w:spacing w:val="-16"/>
        </w:rPr>
        <w:t xml:space="preserve"> </w:t>
      </w:r>
      <w:r>
        <w:t>in</w:t>
      </w:r>
      <w:r>
        <w:rPr>
          <w:spacing w:val="-17"/>
        </w:rPr>
        <w:t xml:space="preserve"> </w:t>
      </w:r>
      <w:r>
        <w:t>the</w:t>
      </w:r>
      <w:r>
        <w:rPr>
          <w:spacing w:val="-17"/>
        </w:rPr>
        <w:t xml:space="preserve"> </w:t>
      </w:r>
      <w:r>
        <w:t>process,</w:t>
      </w:r>
      <w:r>
        <w:rPr>
          <w:spacing w:val="-16"/>
        </w:rPr>
        <w:t xml:space="preserve"> </w:t>
      </w:r>
      <w:r>
        <w:t>after</w:t>
      </w:r>
      <w:r>
        <w:rPr>
          <w:spacing w:val="-17"/>
        </w:rPr>
        <w:t xml:space="preserve"> </w:t>
      </w:r>
      <w:r>
        <w:t>preparing</w:t>
      </w:r>
      <w:r>
        <w:rPr>
          <w:spacing w:val="-16"/>
        </w:rPr>
        <w:t xml:space="preserve"> </w:t>
      </w:r>
      <w:r>
        <w:t>the vulnerability</w:t>
      </w:r>
      <w:r>
        <w:rPr>
          <w:spacing w:val="-17"/>
        </w:rPr>
        <w:t xml:space="preserve"> </w:t>
      </w:r>
      <w:r>
        <w:t>assessment,</w:t>
      </w:r>
      <w:r>
        <w:rPr>
          <w:spacing w:val="-16"/>
        </w:rPr>
        <w:t xml:space="preserve"> </w:t>
      </w:r>
      <w:r>
        <w:t>participants prepare</w:t>
      </w:r>
      <w:r>
        <w:rPr>
          <w:spacing w:val="-5"/>
        </w:rPr>
        <w:t xml:space="preserve"> </w:t>
      </w:r>
      <w:r>
        <w:t>more specific</w:t>
      </w:r>
      <w:r>
        <w:rPr>
          <w:spacing w:val="-5"/>
        </w:rPr>
        <w:t xml:space="preserve"> </w:t>
      </w:r>
      <w:r>
        <w:t>goals</w:t>
      </w:r>
      <w:r>
        <w:rPr>
          <w:spacing w:val="-5"/>
        </w:rPr>
        <w:t xml:space="preserve"> </w:t>
      </w:r>
      <w:r>
        <w:t>as</w:t>
      </w:r>
      <w:r>
        <w:rPr>
          <w:spacing w:val="-5"/>
        </w:rPr>
        <w:t xml:space="preserve"> </w:t>
      </w:r>
      <w:r>
        <w:t>a</w:t>
      </w:r>
      <w:r>
        <w:rPr>
          <w:spacing w:val="-5"/>
        </w:rPr>
        <w:t xml:space="preserve"> </w:t>
      </w:r>
      <w:r>
        <w:t>framework</w:t>
      </w:r>
      <w:r>
        <w:rPr>
          <w:spacing w:val="-5"/>
        </w:rPr>
        <w:t xml:space="preserve"> </w:t>
      </w:r>
      <w:r>
        <w:t>for</w:t>
      </w:r>
      <w:r>
        <w:rPr>
          <w:spacing w:val="-5"/>
        </w:rPr>
        <w:t xml:space="preserve"> </w:t>
      </w:r>
      <w:r>
        <w:t>the</w:t>
      </w:r>
      <w:r>
        <w:rPr>
          <w:spacing w:val="-5"/>
        </w:rPr>
        <w:t xml:space="preserve"> </w:t>
      </w:r>
      <w:r>
        <w:t>adaptation</w:t>
      </w:r>
      <w:r>
        <w:rPr>
          <w:spacing w:val="-5"/>
        </w:rPr>
        <w:t xml:space="preserve"> </w:t>
      </w:r>
      <w:r>
        <w:t>policies.</w:t>
      </w:r>
      <w:r>
        <w:rPr>
          <w:spacing w:val="-5"/>
        </w:rPr>
        <w:t xml:space="preserve"> </w:t>
      </w:r>
      <w:r>
        <w:t>Phase</w:t>
      </w:r>
      <w:r>
        <w:rPr>
          <w:spacing w:val="-5"/>
        </w:rPr>
        <w:t xml:space="preserve"> </w:t>
      </w:r>
      <w:r>
        <w:t>3</w:t>
      </w:r>
      <w:r>
        <w:rPr>
          <w:spacing w:val="-5"/>
        </w:rPr>
        <w:t xml:space="preserve"> </w:t>
      </w:r>
      <w:r>
        <w:t>of</w:t>
      </w:r>
      <w:r>
        <w:rPr>
          <w:spacing w:val="-5"/>
        </w:rPr>
        <w:t xml:space="preserve"> </w:t>
      </w:r>
      <w:r>
        <w:t>the APG provides additional guidance for drafting goals.</w:t>
      </w:r>
    </w:p>
    <w:p w14:paraId="5E0CFB90" w14:textId="77777777" w:rsidR="000A3876" w:rsidRPr="00172891" w:rsidRDefault="1A47925E" w:rsidP="00A27774">
      <w:pPr>
        <w:pStyle w:val="Heading4"/>
        <w:spacing w:after="160" w:line="240" w:lineRule="auto"/>
      </w:pPr>
      <w:r>
        <w:t>Example Vision Statements with Broad Goals</w:t>
      </w:r>
    </w:p>
    <w:p w14:paraId="331BA312" w14:textId="77777777" w:rsidR="000A3876" w:rsidRPr="00A06843" w:rsidRDefault="004A7D8A" w:rsidP="00A27774">
      <w:pPr>
        <w:spacing w:before="160" w:line="240" w:lineRule="auto"/>
        <w:rPr>
          <w:b/>
        </w:rPr>
      </w:pPr>
      <w:r>
        <w:t>Below are two case study examples of vision statements that articulate broad, ambitious goals informed by community input, and outline how local jurisdictions plan to implement them.</w:t>
      </w:r>
    </w:p>
    <w:tbl>
      <w:tblPr>
        <w:tblStyle w:val="TableGrid"/>
        <w:tblpPr w:leftFromText="180" w:rightFromText="180" w:vertAnchor="text" w:horzAnchor="margin" w:tblpY="-54"/>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AF7"/>
        <w:tblLook w:val="04A0" w:firstRow="1" w:lastRow="0" w:firstColumn="1" w:lastColumn="0" w:noHBand="0" w:noVBand="1"/>
      </w:tblPr>
      <w:tblGrid>
        <w:gridCol w:w="9540"/>
      </w:tblGrid>
      <w:tr w:rsidR="008E32C0" w14:paraId="645C68DB" w14:textId="77777777">
        <w:trPr>
          <w:trHeight w:val="576"/>
        </w:trPr>
        <w:tc>
          <w:tcPr>
            <w:tcW w:w="9540" w:type="dxa"/>
            <w:shd w:val="clear" w:color="auto" w:fill="1F5383"/>
            <w:vAlign w:val="center"/>
          </w:tcPr>
          <w:p w14:paraId="464BC89F" w14:textId="77777777" w:rsidR="008E32C0" w:rsidRPr="00C25286" w:rsidRDefault="008E32C0">
            <w:pPr>
              <w:pStyle w:val="CalloutBoxTitle"/>
              <w:rPr>
                <w:color w:val="FFFFFF" w:themeColor="background1"/>
              </w:rPr>
            </w:pPr>
            <w:r>
              <w:rPr>
                <w:color w:val="FFFFFF" w:themeColor="background1"/>
              </w:rPr>
              <w:t xml:space="preserve">Case Study: Vision Statement from </w:t>
            </w:r>
            <w:r>
              <w:rPr>
                <w:bCs/>
                <w:color w:val="FFFFFF" w:themeColor="background1"/>
                <w:szCs w:val="22"/>
              </w:rPr>
              <w:t>San Fernando</w:t>
            </w:r>
            <w:r>
              <w:rPr>
                <w:bCs/>
                <w:color w:val="FFFFFF" w:themeColor="background1"/>
              </w:rPr>
              <w:t>’s 2026 CARP</w:t>
            </w:r>
          </w:p>
        </w:tc>
      </w:tr>
      <w:tr w:rsidR="008E32C0" w14:paraId="2CCDD70E" w14:textId="77777777">
        <w:tc>
          <w:tcPr>
            <w:tcW w:w="9540" w:type="dxa"/>
            <w:shd w:val="clear" w:color="auto" w:fill="DCEAF7"/>
          </w:tcPr>
          <w:p w14:paraId="482F8561" w14:textId="59A60238" w:rsidR="008E32C0" w:rsidRDefault="00C540F7">
            <w:pPr>
              <w:spacing w:before="120" w:after="160"/>
              <w:rPr>
                <w:color w:val="000000" w:themeColor="text1"/>
              </w:rPr>
            </w:pPr>
            <w:r>
              <w:rPr>
                <w:color w:val="000000" w:themeColor="text1"/>
              </w:rPr>
              <w:t>In 2026, t</w:t>
            </w:r>
            <w:r w:rsidR="008E32C0">
              <w:rPr>
                <w:color w:val="000000" w:themeColor="text1"/>
              </w:rPr>
              <w:t xml:space="preserve">he </w:t>
            </w:r>
            <w:r w:rsidR="008E32C0">
              <w:rPr>
                <w:szCs w:val="22"/>
              </w:rPr>
              <w:t xml:space="preserve">City of San </w:t>
            </w:r>
            <w:r w:rsidR="008E32C0">
              <w:t xml:space="preserve">Fernando released its first </w:t>
            </w:r>
            <w:hyperlink r:id="rId87" w:history="1">
              <w:r w:rsidR="008E32C0">
                <w:rPr>
                  <w:rStyle w:val="Hyperlink"/>
                  <w:i/>
                  <w:szCs w:val="22"/>
                </w:rPr>
                <w:t>Climate</w:t>
              </w:r>
              <w:r w:rsidR="008E32C0">
                <w:rPr>
                  <w:rStyle w:val="Hyperlink"/>
                  <w:i/>
                </w:rPr>
                <w:t xml:space="preserve"> Action and Resilience Plan</w:t>
              </w:r>
            </w:hyperlink>
            <w:r w:rsidR="008E32C0">
              <w:rPr>
                <w:color w:val="000000" w:themeColor="text1"/>
              </w:rPr>
              <w:t xml:space="preserve"> (CARP), through funding from LCI’s Adaptation Planning Grant Program. Below</w:t>
            </w:r>
            <w:r w:rsidR="00E72199">
              <w:rPr>
                <w:color w:val="000000" w:themeColor="text1"/>
              </w:rPr>
              <w:t xml:space="preserve">, the </w:t>
            </w:r>
            <w:r w:rsidR="008E32C0">
              <w:rPr>
                <w:color w:val="000000" w:themeColor="text1"/>
              </w:rPr>
              <w:t>city’s vision statement clearly articulates the CARP’s goals and lays the groundwork for building community-wide resilience.</w:t>
            </w:r>
          </w:p>
          <w:p w14:paraId="621CC2B0" w14:textId="3A6E0BC8" w:rsidR="008E32C0" w:rsidRPr="007369E6" w:rsidRDefault="008E32C0">
            <w:pPr>
              <w:spacing w:before="160" w:after="160"/>
              <w:rPr>
                <w:color w:val="000000" w:themeColor="text1"/>
              </w:rPr>
            </w:pPr>
            <w:r>
              <w:rPr>
                <w:color w:val="000000" w:themeColor="text1"/>
              </w:rPr>
              <w:t>San Fernando’s vision is to create a safe, healthy, and climate-resilient city where all residents, regardless of income, age, language, or housing status, can thrive. This is guided by the City’s five Equity Guardrails, developed with the Community Advisory Group:</w:t>
            </w:r>
          </w:p>
          <w:p w14:paraId="0465BBB9" w14:textId="77777777" w:rsidR="008E32C0" w:rsidRPr="009349F9" w:rsidRDefault="008E32C0">
            <w:pPr>
              <w:pStyle w:val="ListParagraph"/>
              <w:numPr>
                <w:ilvl w:val="0"/>
                <w:numId w:val="42"/>
              </w:numPr>
              <w:spacing w:before="160" w:after="160"/>
              <w:rPr>
                <w:color w:val="000000" w:themeColor="text1"/>
              </w:rPr>
            </w:pPr>
            <w:r>
              <w:rPr>
                <w:color w:val="000000" w:themeColor="text1"/>
              </w:rPr>
              <w:t>Fair and Inclusive Access to Resources and Opportunities</w:t>
            </w:r>
          </w:p>
          <w:p w14:paraId="4DDF5D41" w14:textId="77777777" w:rsidR="008E32C0" w:rsidRPr="009349F9" w:rsidRDefault="008E32C0">
            <w:pPr>
              <w:pStyle w:val="ListParagraph"/>
              <w:numPr>
                <w:ilvl w:val="0"/>
                <w:numId w:val="42"/>
              </w:numPr>
              <w:spacing w:before="160" w:after="160"/>
              <w:rPr>
                <w:color w:val="000000" w:themeColor="text1"/>
              </w:rPr>
            </w:pPr>
            <w:r>
              <w:rPr>
                <w:color w:val="000000" w:themeColor="text1"/>
              </w:rPr>
              <w:t>Sustainable City Revenue and a Vibrant Downtown</w:t>
            </w:r>
          </w:p>
          <w:p w14:paraId="0D097789" w14:textId="77777777" w:rsidR="008E32C0" w:rsidRPr="009349F9" w:rsidRDefault="008E32C0">
            <w:pPr>
              <w:pStyle w:val="ListParagraph"/>
              <w:numPr>
                <w:ilvl w:val="0"/>
                <w:numId w:val="42"/>
              </w:numPr>
              <w:spacing w:before="160" w:after="160"/>
              <w:rPr>
                <w:color w:val="000000" w:themeColor="text1"/>
              </w:rPr>
            </w:pPr>
            <w:r>
              <w:rPr>
                <w:color w:val="000000" w:themeColor="text1"/>
              </w:rPr>
              <w:t>Cultural Resilience in Community Sustainability</w:t>
            </w:r>
          </w:p>
          <w:p w14:paraId="3F3B6BFB" w14:textId="77777777" w:rsidR="008E32C0" w:rsidRPr="009349F9" w:rsidRDefault="008E32C0">
            <w:pPr>
              <w:pStyle w:val="ListParagraph"/>
              <w:numPr>
                <w:ilvl w:val="0"/>
                <w:numId w:val="42"/>
              </w:numPr>
              <w:spacing w:before="160" w:after="160"/>
              <w:rPr>
                <w:color w:val="000000" w:themeColor="text1"/>
              </w:rPr>
            </w:pPr>
            <w:r>
              <w:rPr>
                <w:color w:val="000000" w:themeColor="text1"/>
              </w:rPr>
              <w:t>Neighborhood Investment that Safeguards Housing Stability</w:t>
            </w:r>
          </w:p>
          <w:p w14:paraId="65AA5246" w14:textId="77777777" w:rsidR="008E32C0" w:rsidRDefault="008E32C0">
            <w:pPr>
              <w:pStyle w:val="ListParagraph"/>
              <w:numPr>
                <w:ilvl w:val="0"/>
                <w:numId w:val="42"/>
              </w:numPr>
              <w:spacing w:before="160" w:after="160"/>
              <w:rPr>
                <w:color w:val="000000" w:themeColor="text1"/>
              </w:rPr>
            </w:pPr>
            <w:r>
              <w:rPr>
                <w:color w:val="000000" w:themeColor="text1"/>
              </w:rPr>
              <w:t>Safe, Healthy, and Connected Communities</w:t>
            </w:r>
          </w:p>
          <w:p w14:paraId="52233C51" w14:textId="77777777" w:rsidR="008E32C0" w:rsidRPr="00780113" w:rsidRDefault="008E32C0">
            <w:pPr>
              <w:spacing w:before="160" w:after="120"/>
              <w:rPr>
                <w:color w:val="000000" w:themeColor="text1"/>
              </w:rPr>
            </w:pPr>
            <w:r>
              <w:rPr>
                <w:color w:val="000000" w:themeColor="text1"/>
              </w:rPr>
              <w:t>The CARP envisions homes that stay safe during extreme heat, shaded walking and biking routes across the city, clean and reliable energy, abundant urban trees, resilient water systems, and neighborhoods equipped with the tools and resources needed to withstand future climate stresses. San Fernando will lead with integrity, transparency, and community partnership—advancing practical, achievable strategies while promoting equity at every stage of implementation.</w:t>
            </w:r>
          </w:p>
        </w:tc>
      </w:tr>
    </w:tbl>
    <w:p w14:paraId="6FBFEF94" w14:textId="77777777" w:rsidR="003C44B1" w:rsidRDefault="003C44B1" w:rsidP="00144B73">
      <w:pPr>
        <w:spacing w:line="240" w:lineRule="auto"/>
      </w:pPr>
    </w:p>
    <w:tbl>
      <w:tblPr>
        <w:tblStyle w:val="TableGrid"/>
        <w:tblpPr w:leftFromText="180" w:rightFromText="180" w:vertAnchor="text" w:horzAnchor="margin" w:tblpY="-54"/>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AF7"/>
        <w:tblLook w:val="04A0" w:firstRow="1" w:lastRow="0" w:firstColumn="1" w:lastColumn="0" w:noHBand="0" w:noVBand="1"/>
      </w:tblPr>
      <w:tblGrid>
        <w:gridCol w:w="9540"/>
      </w:tblGrid>
      <w:tr w:rsidR="008E32C0" w14:paraId="6D54EF4F" w14:textId="77777777">
        <w:trPr>
          <w:trHeight w:val="576"/>
        </w:trPr>
        <w:tc>
          <w:tcPr>
            <w:tcW w:w="9540" w:type="dxa"/>
            <w:shd w:val="clear" w:color="auto" w:fill="1F5383"/>
            <w:vAlign w:val="center"/>
          </w:tcPr>
          <w:p w14:paraId="3156E326" w14:textId="77777777" w:rsidR="008E32C0" w:rsidRPr="00EB6CED" w:rsidRDefault="008E32C0">
            <w:pPr>
              <w:pStyle w:val="CalloutBoxTitle"/>
              <w:rPr>
                <w:color w:val="FFFFFF" w:themeColor="background1"/>
              </w:rPr>
            </w:pPr>
            <w:r>
              <w:rPr>
                <w:color w:val="FFFFFF" w:themeColor="background1"/>
              </w:rPr>
              <w:lastRenderedPageBreak/>
              <w:t>Case Study: Resilience Vision From San Francisco</w:t>
            </w:r>
          </w:p>
        </w:tc>
      </w:tr>
      <w:tr w:rsidR="008E32C0" w14:paraId="7FABB9A1" w14:textId="77777777">
        <w:tc>
          <w:tcPr>
            <w:tcW w:w="9540" w:type="dxa"/>
            <w:shd w:val="clear" w:color="auto" w:fill="DCEAF7"/>
          </w:tcPr>
          <w:p w14:paraId="6E6DA6FA" w14:textId="6AE128DE" w:rsidR="008E32C0" w:rsidRPr="009349F9" w:rsidRDefault="008E32C0">
            <w:pPr>
              <w:spacing w:before="120" w:after="120"/>
              <w:rPr>
                <w:color w:val="000000" w:themeColor="text1"/>
              </w:rPr>
            </w:pPr>
            <w:r>
              <w:t xml:space="preserve">San Francisco’s </w:t>
            </w:r>
            <w:hyperlink r:id="rId88" w:history="1">
              <w:r>
                <w:rPr>
                  <w:rStyle w:val="Hyperlink"/>
                  <w:i/>
                </w:rPr>
                <w:t>2025 Hazards and Climate Resilience Plan</w:t>
              </w:r>
            </w:hyperlink>
            <w:r>
              <w:t xml:space="preserve"> (HCR)</w:t>
            </w:r>
            <w:r>
              <w:rPr>
                <w:color w:val="000000" w:themeColor="text1"/>
              </w:rPr>
              <w:t xml:space="preserve"> was created to make the jurisdiction resilient to immediate and long-term threats of climate change and natural hazards through actions to mitigate risks, adapt built and natural assets, and build a more equitable and sustainable city. This includes ensuring systems are in place so that individuals, communities, institutions and businesses survive, adapt, and thrive no matter the kinds of chronic stresses and acute shocks they experience. The HCR also coordinates with and supports </w:t>
            </w:r>
            <w:hyperlink r:id="rId89" w:history="1">
              <w:r>
                <w:rPr>
                  <w:rStyle w:val="Hyperlink"/>
                  <w:i/>
                  <w:iCs/>
                  <w:szCs w:val="22"/>
                </w:rPr>
                <w:t>San Francisco</w:t>
              </w:r>
              <w:r>
                <w:rPr>
                  <w:rStyle w:val="Hyperlink"/>
                  <w:i/>
                  <w:iCs/>
                </w:rPr>
                <w:t>’s Climate Action Plan 2026</w:t>
              </w:r>
            </w:hyperlink>
            <w:r>
              <w:rPr>
                <w:color w:val="000000" w:themeColor="text1"/>
              </w:rPr>
              <w:t>, which outlines urgent strategies needed to achieve net-zero greenhouse gas emissions by 2040 and minimize the severity of climate change and its associated impacts.</w:t>
            </w:r>
          </w:p>
        </w:tc>
      </w:tr>
    </w:tbl>
    <w:p w14:paraId="79FD5C95" w14:textId="52B27E2C" w:rsidR="00CF71BD" w:rsidRDefault="007407D4" w:rsidP="00BB5ACB">
      <w:pPr>
        <w:pStyle w:val="Heading3"/>
        <w:spacing w:line="240" w:lineRule="auto"/>
      </w:pPr>
      <w:bookmarkStart w:id="44" w:name="_bookmark34"/>
      <w:bookmarkStart w:id="45" w:name="_bookmark35"/>
      <w:bookmarkStart w:id="46" w:name="_Toc235802673"/>
      <w:bookmarkEnd w:id="44"/>
      <w:bookmarkEnd w:id="45"/>
      <w:r>
        <w:t>Step 1.1C: Define the Planning Area</w:t>
      </w:r>
      <w:bookmarkEnd w:id="46"/>
    </w:p>
    <w:p w14:paraId="07D5AD27" w14:textId="0CBE8150" w:rsidR="00D20E06" w:rsidDel="00A72BCD" w:rsidRDefault="00CF71BD" w:rsidP="00BB5ACB">
      <w:pPr>
        <w:pStyle w:val="BodyText"/>
        <w:spacing w:line="240" w:lineRule="auto"/>
      </w:pPr>
      <w:r>
        <w:t>The participating entities usually define the geographic area of the plan</w:t>
      </w:r>
      <w:r>
        <w:rPr>
          <w:spacing w:val="40"/>
        </w:rPr>
        <w:t xml:space="preserve"> </w:t>
      </w:r>
      <w:r>
        <w:t>or</w:t>
      </w:r>
      <w:r>
        <w:rPr>
          <w:spacing w:val="-8"/>
        </w:rPr>
        <w:t xml:space="preserve"> </w:t>
      </w:r>
      <w:r>
        <w:t>project.</w:t>
      </w:r>
      <w:r>
        <w:rPr>
          <w:spacing w:val="-8"/>
        </w:rPr>
        <w:t xml:space="preserve"> </w:t>
      </w:r>
      <w:r>
        <w:t>For</w:t>
      </w:r>
      <w:r>
        <w:rPr>
          <w:spacing w:val="-8"/>
        </w:rPr>
        <w:t xml:space="preserve"> </w:t>
      </w:r>
      <w:r>
        <w:t>example,</w:t>
      </w:r>
      <w:r>
        <w:rPr>
          <w:spacing w:val="-8"/>
        </w:rPr>
        <w:t xml:space="preserve"> </w:t>
      </w:r>
      <w:r>
        <w:t>a</w:t>
      </w:r>
      <w:r>
        <w:rPr>
          <w:spacing w:val="-9"/>
        </w:rPr>
        <w:t xml:space="preserve"> </w:t>
      </w:r>
      <w:r>
        <w:t>city</w:t>
      </w:r>
      <w:r>
        <w:rPr>
          <w:spacing w:val="-8"/>
        </w:rPr>
        <w:t xml:space="preserve"> </w:t>
      </w:r>
      <w:r>
        <w:t>conducting an adaptation planning process will focus on building resiliency within its city limits or within the areas it serves or influences. Similarly, a county’s efforts usually support adaptation planning in unincorporated areas within its boundaries. Regional governments may also conduct adaptation work for all jurisdictions in their area, and multiple jurisdictions may collaborate on regional adaptation</w:t>
      </w:r>
      <w:r>
        <w:rPr>
          <w:spacing w:val="-9"/>
        </w:rPr>
        <w:t xml:space="preserve"> </w:t>
      </w:r>
      <w:r>
        <w:t>work,</w:t>
      </w:r>
      <w:r>
        <w:rPr>
          <w:spacing w:val="-9"/>
        </w:rPr>
        <w:t xml:space="preserve"> </w:t>
      </w:r>
      <w:r>
        <w:t>creating</w:t>
      </w:r>
      <w:r>
        <w:rPr>
          <w:spacing w:val="-9"/>
        </w:rPr>
        <w:t xml:space="preserve"> </w:t>
      </w:r>
      <w:r>
        <w:t>a</w:t>
      </w:r>
      <w:r>
        <w:rPr>
          <w:spacing w:val="-9"/>
        </w:rPr>
        <w:t xml:space="preserve"> </w:t>
      </w:r>
      <w:r>
        <w:t xml:space="preserve">geographic area that spans multiple jurisdictions. Tribes may identify planning areas that consist of land and waters where they manage, plan, or make policy decisions. </w:t>
      </w:r>
    </w:p>
    <w:p w14:paraId="2B606FBC" w14:textId="0D23014F" w:rsidR="00CF71BD" w:rsidRDefault="00CF71BD" w:rsidP="00BB5ACB">
      <w:pPr>
        <w:pStyle w:val="BodyText"/>
        <w:spacing w:line="240" w:lineRule="auto"/>
      </w:pPr>
      <w:r>
        <w:t>It can be helpful to develop a map of the planning area. Cities and counties may develop a map</w:t>
      </w:r>
      <w:r w:rsidR="00B00CBE">
        <w:t xml:space="preserve"> of their jurisdictional boundaries using Geographic Information System (GIS) software. </w:t>
      </w:r>
      <w:r>
        <w:t xml:space="preserve">California provides spatial data of jurisdictional boundaries through the </w:t>
      </w:r>
      <w:hyperlink r:id="rId90" w:history="1">
        <w:r>
          <w:rPr>
            <w:rStyle w:val="Hyperlink"/>
          </w:rPr>
          <w:t>California State Geoportal</w:t>
        </w:r>
      </w:hyperlink>
      <w:r>
        <w:t xml:space="preserve">. Tribes may use Tribal lands data (reservation, trust land, traditional hunting and fishing areas, Treaty defined areas, etc.) or traditional territories (ITEP Tribal Climate Change Adaptation Plan Template; </w:t>
      </w:r>
      <w:hyperlink r:id="rId91" w:history="1">
        <w:r>
          <w:rPr>
            <w:rStyle w:val="Hyperlink"/>
          </w:rPr>
          <w:t>Climate Action Resilience Plan Framework</w:t>
        </w:r>
      </w:hyperlink>
      <w:r>
        <w:t xml:space="preserve"> from</w:t>
      </w:r>
      <w:r w:rsidR="0065753C">
        <w:t xml:space="preserve"> the Northern California Tribal Climate Collaborative</w:t>
      </w:r>
      <w:r>
        <w:t xml:space="preserve"> </w:t>
      </w:r>
      <w:r w:rsidR="0065753C">
        <w:t>(</w:t>
      </w:r>
      <w:r>
        <w:t xml:space="preserve">NCTCC). The Climate Action Resilience Plan Framework from NCTCC suggests visiting the </w:t>
      </w:r>
      <w:hyperlink r:id="rId92" w:history="1">
        <w:r>
          <w:rPr>
            <w:rStyle w:val="Hyperlink"/>
          </w:rPr>
          <w:t>NCTCC Climate Resource Library</w:t>
        </w:r>
      </w:hyperlink>
      <w:r>
        <w:t xml:space="preserve"> for key mapping layers and the </w:t>
      </w:r>
      <w:hyperlink r:id="rId93" w:history="1">
        <w:r>
          <w:rPr>
            <w:rStyle w:val="Hyperlink"/>
          </w:rPr>
          <w:t>NCA Interactive Atlas</w:t>
        </w:r>
      </w:hyperlink>
      <w:r>
        <w:t xml:space="preserve"> for mapping resources.</w:t>
      </w:r>
    </w:p>
    <w:p w14:paraId="2DAB4C79" w14:textId="77777777" w:rsidR="00D7232D" w:rsidRDefault="008E32C0" w:rsidP="007D3C72">
      <w:pPr>
        <w:pStyle w:val="BodyText"/>
        <w:spacing w:line="240" w:lineRule="auto"/>
        <w:rPr>
          <w:spacing w:val="-10"/>
        </w:rPr>
      </w:pPr>
      <w:r>
        <w:t>In some cases, planning for</w:t>
      </w:r>
      <w:r>
        <w:rPr>
          <w:spacing w:val="40"/>
        </w:rPr>
        <w:t xml:space="preserve"> </w:t>
      </w:r>
      <w:r>
        <w:t>a natural resource, ecosystem, or bioregion — a watershed, for example — may need to cover a broad area that does not follow political boundaries. Even if the planning effort is limited to a specific area with defined boundaries (such</w:t>
      </w:r>
      <w:r>
        <w:rPr>
          <w:spacing w:val="40"/>
        </w:rPr>
        <w:t xml:space="preserve"> </w:t>
      </w:r>
      <w:r>
        <w:t>as a state park), natural areas outside of these boundaries may need to be included</w:t>
      </w:r>
      <w:r>
        <w:rPr>
          <w:spacing w:val="-7"/>
        </w:rPr>
        <w:t xml:space="preserve"> </w:t>
      </w:r>
      <w:r>
        <w:t>to</w:t>
      </w:r>
      <w:r>
        <w:rPr>
          <w:spacing w:val="-7"/>
        </w:rPr>
        <w:t xml:space="preserve"> </w:t>
      </w:r>
      <w:r>
        <w:t>the</w:t>
      </w:r>
      <w:r>
        <w:rPr>
          <w:spacing w:val="-7"/>
        </w:rPr>
        <w:t xml:space="preserve"> </w:t>
      </w:r>
      <w:r>
        <w:t>extent</w:t>
      </w:r>
      <w:r>
        <w:rPr>
          <w:spacing w:val="-7"/>
        </w:rPr>
        <w:t xml:space="preserve"> </w:t>
      </w:r>
      <w:r>
        <w:t>possible</w:t>
      </w:r>
      <w:r>
        <w:rPr>
          <w:spacing w:val="-7"/>
        </w:rPr>
        <w:t xml:space="preserve"> </w:t>
      </w:r>
      <w:r>
        <w:t>to</w:t>
      </w:r>
      <w:r>
        <w:rPr>
          <w:spacing w:val="-7"/>
        </w:rPr>
        <w:t xml:space="preserve"> </w:t>
      </w:r>
      <w:r>
        <w:t>help ensure</w:t>
      </w:r>
      <w:r>
        <w:rPr>
          <w:spacing w:val="-10"/>
        </w:rPr>
        <w:t xml:space="preserve"> </w:t>
      </w:r>
      <w:r>
        <w:t>resilience.</w:t>
      </w:r>
      <w:r>
        <w:rPr>
          <w:spacing w:val="-10"/>
        </w:rPr>
        <w:t xml:space="preserve"> Additionally, non-jurisdictional planning geographies, such as watersheds are also relevant for water and flood related resilience planning. </w:t>
      </w:r>
    </w:p>
    <w:p w14:paraId="1FA19B3F" w14:textId="77777777" w:rsidR="002C7E53" w:rsidRDefault="00CF71BD" w:rsidP="007D3C72">
      <w:pPr>
        <w:pStyle w:val="BodyText"/>
        <w:spacing w:line="240" w:lineRule="auto"/>
        <w:rPr>
          <w:spacing w:val="-2"/>
        </w:rPr>
      </w:pPr>
      <w:r>
        <w:lastRenderedPageBreak/>
        <w:t>Specific</w:t>
      </w:r>
      <w:r>
        <w:rPr>
          <w:spacing w:val="-10"/>
        </w:rPr>
        <w:t xml:space="preserve"> </w:t>
      </w:r>
      <w:r>
        <w:t>areas</w:t>
      </w:r>
      <w:r>
        <w:rPr>
          <w:spacing w:val="-10"/>
        </w:rPr>
        <w:t xml:space="preserve"> </w:t>
      </w:r>
      <w:r>
        <w:t>within</w:t>
      </w:r>
      <w:r>
        <w:rPr>
          <w:spacing w:val="-10"/>
        </w:rPr>
        <w:t xml:space="preserve"> </w:t>
      </w:r>
      <w:r>
        <w:t>a community, such as neighborhoods or defined</w:t>
      </w:r>
      <w:r>
        <w:rPr>
          <w:spacing w:val="-3"/>
        </w:rPr>
        <w:t xml:space="preserve"> </w:t>
      </w:r>
      <w:r>
        <w:t>frontline</w:t>
      </w:r>
      <w:r>
        <w:rPr>
          <w:spacing w:val="-4"/>
        </w:rPr>
        <w:t xml:space="preserve"> </w:t>
      </w:r>
      <w:r>
        <w:t>communities,</w:t>
      </w:r>
      <w:r>
        <w:rPr>
          <w:spacing w:val="-3"/>
        </w:rPr>
        <w:t xml:space="preserve"> </w:t>
      </w:r>
      <w:r>
        <w:t>may</w:t>
      </w:r>
      <w:r>
        <w:rPr>
          <w:spacing w:val="-3"/>
        </w:rPr>
        <w:t xml:space="preserve"> </w:t>
      </w:r>
      <w:r>
        <w:t>also</w:t>
      </w:r>
      <w:r>
        <w:rPr>
          <w:spacing w:val="-3"/>
        </w:rPr>
        <w:t xml:space="preserve"> </w:t>
      </w:r>
      <w:r>
        <w:t>be</w:t>
      </w:r>
      <w:r>
        <w:rPr>
          <w:spacing w:val="-3"/>
        </w:rPr>
        <w:t xml:space="preserve"> </w:t>
      </w:r>
      <w:r>
        <w:t>the</w:t>
      </w:r>
      <w:r>
        <w:rPr>
          <w:spacing w:val="-3"/>
        </w:rPr>
        <w:t xml:space="preserve"> </w:t>
      </w:r>
      <w:r>
        <w:t>focus</w:t>
      </w:r>
      <w:r>
        <w:rPr>
          <w:spacing w:val="-3"/>
        </w:rPr>
        <w:t xml:space="preserve"> </w:t>
      </w:r>
      <w:r>
        <w:t>of</w:t>
      </w:r>
      <w:r>
        <w:rPr>
          <w:spacing w:val="-2"/>
        </w:rPr>
        <w:t xml:space="preserve"> </w:t>
      </w:r>
      <w:r>
        <w:t>an</w:t>
      </w:r>
      <w:r>
        <w:rPr>
          <w:spacing w:val="-4"/>
        </w:rPr>
        <w:t xml:space="preserve"> </w:t>
      </w:r>
      <w:r>
        <w:t>adaptation</w:t>
      </w:r>
      <w:r>
        <w:rPr>
          <w:spacing w:val="-3"/>
        </w:rPr>
        <w:t xml:space="preserve"> </w:t>
      </w:r>
      <w:r>
        <w:t>planning</w:t>
      </w:r>
      <w:r>
        <w:rPr>
          <w:spacing w:val="-4"/>
        </w:rPr>
        <w:t xml:space="preserve"> </w:t>
      </w:r>
      <w:r>
        <w:rPr>
          <w:spacing w:val="-2"/>
        </w:rPr>
        <w:t>effort.</w:t>
      </w:r>
    </w:p>
    <w:p w14:paraId="15CD78D6" w14:textId="7DEF03CF" w:rsidR="0068574B" w:rsidRPr="0068574B" w:rsidRDefault="00E964A2" w:rsidP="0068574B">
      <w:pPr>
        <w:pStyle w:val="BodyText"/>
        <w:spacing w:line="240" w:lineRule="auto"/>
        <w:rPr>
          <w:spacing w:val="-2"/>
        </w:rPr>
      </w:pPr>
      <w:r>
        <w:rPr>
          <w:spacing w:val="-2"/>
        </w:rPr>
        <w:t>Many coastal cities and counties (along the open coast and in the San Francisco Bay Area) have land use and natural resource management authority over sovereign state tidelands and submerged lands granted to them by the State Legislature. These lands can and should be included in planning efforts that address coastal lands and resources, such as Local Coastal Programs (LCPs), some Local Hazard Mitigation Plans (LHMPs), and the Safety Element of General Plans for coastal jurisdictions. Local governments can learn more about sovereign state tideland and submerged land grants here:</w:t>
      </w:r>
      <w:r w:rsidR="00A916CA">
        <w:rPr>
          <w:spacing w:val="-2"/>
        </w:rPr>
        <w:t xml:space="preserve"> </w:t>
      </w:r>
      <w:hyperlink r:id="rId94" w:history="1">
        <w:r w:rsidR="004A61EB">
          <w:rPr>
            <w:rStyle w:val="Hyperlink"/>
            <w:spacing w:val="-2"/>
          </w:rPr>
          <w:t>Granted Public Trust Lands</w:t>
        </w:r>
      </w:hyperlink>
      <w:r w:rsidR="004A61EB">
        <w:rPr>
          <w:spacing w:val="-2"/>
        </w:rPr>
        <w:t>.</w:t>
      </w:r>
    </w:p>
    <w:p w14:paraId="77C6FBE9" w14:textId="77777777" w:rsidR="00E964A2" w:rsidRDefault="00E964A2" w:rsidP="007D3C72">
      <w:pPr>
        <w:pStyle w:val="BodyText"/>
        <w:spacing w:line="240" w:lineRule="auto"/>
        <w:rPr>
          <w:spacing w:val="-2"/>
        </w:rPr>
      </w:pPr>
    </w:p>
    <w:tbl>
      <w:tblPr>
        <w:tblStyle w:val="TableGrid"/>
        <w:tblW w:w="9450" w:type="dxa"/>
        <w:jc w:val="center"/>
        <w:tblLook w:val="04A0" w:firstRow="1" w:lastRow="0" w:firstColumn="1" w:lastColumn="0" w:noHBand="0" w:noVBand="1"/>
      </w:tblPr>
      <w:tblGrid>
        <w:gridCol w:w="9450"/>
      </w:tblGrid>
      <w:tr w:rsidR="008E32C0" w14:paraId="4C7752A3" w14:textId="77777777" w:rsidTr="20389150">
        <w:trPr>
          <w:trHeight w:val="576"/>
          <w:jc w:val="center"/>
        </w:trPr>
        <w:tc>
          <w:tcPr>
            <w:tcW w:w="9450" w:type="dxa"/>
            <w:tcBorders>
              <w:top w:val="nil"/>
              <w:left w:val="nil"/>
              <w:bottom w:val="nil"/>
              <w:right w:val="nil"/>
            </w:tcBorders>
            <w:shd w:val="clear" w:color="auto" w:fill="1F5485"/>
            <w:vAlign w:val="center"/>
          </w:tcPr>
          <w:p w14:paraId="27BB0338" w14:textId="77777777" w:rsidR="008E32C0" w:rsidRPr="0094770D" w:rsidRDefault="008E32C0">
            <w:pPr>
              <w:pStyle w:val="CalloutBoxTitle"/>
              <w:rPr>
                <w:color w:val="FFFFFF" w:themeColor="background1"/>
              </w:rPr>
            </w:pPr>
            <w:r>
              <w:rPr>
                <w:color w:val="FFFFFF" w:themeColor="background1"/>
              </w:rPr>
              <w:t>Case Studies: Planning</w:t>
            </w:r>
            <w:r>
              <w:rPr>
                <w:color w:val="FFFFFF" w:themeColor="background1"/>
                <w:spacing w:val="-9"/>
              </w:rPr>
              <w:t xml:space="preserve"> </w:t>
            </w:r>
            <w:r>
              <w:rPr>
                <w:color w:val="FFFFFF" w:themeColor="background1"/>
              </w:rPr>
              <w:t>Areas</w:t>
            </w:r>
            <w:r>
              <w:rPr>
                <w:color w:val="FFFFFF" w:themeColor="background1"/>
                <w:spacing w:val="-9"/>
              </w:rPr>
              <w:t xml:space="preserve"> </w:t>
            </w:r>
            <w:r>
              <w:rPr>
                <w:color w:val="FFFFFF" w:themeColor="background1"/>
              </w:rPr>
              <w:t>for</w:t>
            </w:r>
            <w:r>
              <w:rPr>
                <w:color w:val="FFFFFF" w:themeColor="background1"/>
                <w:spacing w:val="-9"/>
              </w:rPr>
              <w:t xml:space="preserve"> </w:t>
            </w:r>
            <w:r>
              <w:rPr>
                <w:color w:val="FFFFFF" w:themeColor="background1"/>
              </w:rPr>
              <w:t>Hazard Mitigation Plans (HMPs)</w:t>
            </w:r>
          </w:p>
        </w:tc>
      </w:tr>
      <w:tr w:rsidR="008E32C0" w14:paraId="550A2886" w14:textId="77777777" w:rsidTr="20389150">
        <w:trPr>
          <w:trHeight w:val="1872"/>
          <w:jc w:val="center"/>
        </w:trPr>
        <w:tc>
          <w:tcPr>
            <w:tcW w:w="9450" w:type="dxa"/>
            <w:tcBorders>
              <w:top w:val="nil"/>
              <w:left w:val="nil"/>
              <w:bottom w:val="nil"/>
              <w:right w:val="nil"/>
            </w:tcBorders>
            <w:shd w:val="clear" w:color="auto" w:fill="DCEAF7"/>
          </w:tcPr>
          <w:p w14:paraId="18AA0225" w14:textId="77777777" w:rsidR="008E32C0" w:rsidRPr="00034D15" w:rsidRDefault="008E32C0">
            <w:pPr>
              <w:spacing w:before="120" w:after="120"/>
              <w:rPr>
                <w:strike/>
                <w:color w:val="000000" w:themeColor="text1"/>
              </w:rPr>
            </w:pPr>
            <w:r>
              <w:rPr>
                <w:color w:val="000000" w:themeColor="text1"/>
              </w:rPr>
              <w:t>Multi-Jurisdictional Hazard Mitigation Plans (MJHMPs) allow multiple jurisdictions to collaboratively assess hazard risks and develop shared strategies to reduce risk, often by pooling resources and coordinating planning efforts. While MJHMPs are frequently led by counties, they may also be organized around natural features such as watersheds or include special districts, including fire, school, or utility districts. Examples of MJHMP configurations include:</w:t>
            </w:r>
          </w:p>
          <w:p w14:paraId="08A8F6A1" w14:textId="176799C5" w:rsidR="008E32C0" w:rsidRPr="00034D15" w:rsidRDefault="008E32C0" w:rsidP="00B9378D">
            <w:pPr>
              <w:pStyle w:val="ListParagraph"/>
              <w:numPr>
                <w:ilvl w:val="0"/>
                <w:numId w:val="3"/>
              </w:numPr>
            </w:pPr>
            <w:hyperlink r:id="rId95" w:history="1">
              <w:r>
                <w:rPr>
                  <w:rStyle w:val="Hyperlink"/>
                  <w:b/>
                  <w:bCs/>
                  <w:i/>
                  <w:iCs/>
                </w:rPr>
                <w:t>Scotts Valley Band of Pomo Indians Multi-Tribal Hazard Mitigation Plan</w:t>
              </w:r>
            </w:hyperlink>
            <w:r>
              <w:t xml:space="preserve"> was the first Multi-Tribal HMP in the United States to receive FEMA approval, which included five Tribes .</w:t>
            </w:r>
          </w:p>
        </w:tc>
      </w:tr>
      <w:tr w:rsidR="008E32C0" w14:paraId="243E6C3B" w14:textId="77777777" w:rsidTr="20389150">
        <w:trPr>
          <w:trHeight w:val="3060"/>
          <w:jc w:val="center"/>
        </w:trPr>
        <w:tc>
          <w:tcPr>
            <w:tcW w:w="9450" w:type="dxa"/>
            <w:tcBorders>
              <w:top w:val="nil"/>
              <w:left w:val="nil"/>
              <w:bottom w:val="nil"/>
              <w:right w:val="nil"/>
            </w:tcBorders>
            <w:shd w:val="clear" w:color="auto" w:fill="DCEAF7"/>
          </w:tcPr>
          <w:p w14:paraId="01C172B4" w14:textId="417AA9EB" w:rsidR="008E32C0" w:rsidRPr="00752131" w:rsidRDefault="008E32C0">
            <w:pPr>
              <w:pStyle w:val="ListParagraph"/>
              <w:numPr>
                <w:ilvl w:val="0"/>
                <w:numId w:val="3"/>
              </w:numPr>
              <w:spacing w:before="120"/>
              <w:contextualSpacing w:val="0"/>
            </w:pPr>
            <w:hyperlink r:id="rId96" w:history="1">
              <w:r>
                <w:rPr>
                  <w:rStyle w:val="Hyperlink"/>
                  <w:b/>
                  <w:bCs/>
                  <w:i/>
                  <w:iCs/>
                </w:rPr>
                <w:t>Las Virgenes-Malibu Council of Governments MJHMP 2024</w:t>
              </w:r>
            </w:hyperlink>
            <w:r>
              <w:rPr>
                <w:b/>
                <w:bCs/>
              </w:rPr>
              <w:t xml:space="preserve"> </w:t>
            </w:r>
            <w:r>
              <w:t>represents cities within a Joint Powers Authority.</w:t>
            </w:r>
          </w:p>
          <w:p w14:paraId="755A0495" w14:textId="2C6CCF91" w:rsidR="008E32C0" w:rsidRPr="00A97048" w:rsidRDefault="008E32C0">
            <w:pPr>
              <w:pStyle w:val="BodyText"/>
              <w:numPr>
                <w:ilvl w:val="0"/>
                <w:numId w:val="3"/>
              </w:numPr>
              <w:rPr>
                <w:rFonts w:eastAsia="Aptos" w:cs="Arial"/>
                <w:bCs/>
              </w:rPr>
            </w:pPr>
            <w:hyperlink r:id="rId97" w:history="1">
              <w:r>
                <w:rPr>
                  <w:rStyle w:val="Hyperlink"/>
                  <w:rFonts w:eastAsia="Aptos" w:cs="Arial"/>
                  <w:b/>
                  <w:bCs/>
                  <w:i/>
                  <w:iCs/>
                  <w:szCs w:val="22"/>
                </w:rPr>
                <w:t>Imperial Irrigation District</w:t>
              </w:r>
              <w:r>
                <w:rPr>
                  <w:rStyle w:val="Hyperlink"/>
                  <w:b/>
                  <w:bCs/>
                  <w:i/>
                  <w:iCs/>
                </w:rPr>
                <w:t>’s</w:t>
              </w:r>
              <w:r>
                <w:rPr>
                  <w:rStyle w:val="Hyperlink"/>
                  <w:rFonts w:eastAsia="Aptos" w:cs="Arial"/>
                  <w:b/>
                  <w:bCs/>
                  <w:i/>
                  <w:iCs/>
                </w:rPr>
                <w:t xml:space="preserve"> </w:t>
              </w:r>
              <w:r>
                <w:rPr>
                  <w:rStyle w:val="Hyperlink"/>
                  <w:b/>
                  <w:i/>
                  <w:iCs/>
                </w:rPr>
                <w:t>2025</w:t>
              </w:r>
              <w:r>
                <w:rPr>
                  <w:rStyle w:val="Hyperlink"/>
                  <w:b/>
                  <w:bCs/>
                  <w:i/>
                  <w:iCs/>
                </w:rPr>
                <w:t xml:space="preserve"> </w:t>
              </w:r>
              <w:r>
                <w:rPr>
                  <w:rStyle w:val="Hyperlink"/>
                  <w:b/>
                  <w:i/>
                  <w:iCs/>
                </w:rPr>
                <w:t>L</w:t>
              </w:r>
              <w:r>
                <w:rPr>
                  <w:rStyle w:val="Hyperlink"/>
                  <w:rFonts w:eastAsia="Aptos" w:cs="Arial"/>
                  <w:b/>
                  <w:bCs/>
                  <w:i/>
                  <w:iCs/>
                </w:rPr>
                <w:t>H</w:t>
              </w:r>
              <w:r>
                <w:rPr>
                  <w:rStyle w:val="Hyperlink"/>
                  <w:b/>
                  <w:bCs/>
                  <w:i/>
                  <w:iCs/>
                </w:rPr>
                <w:t>MP</w:t>
              </w:r>
            </w:hyperlink>
            <w:r>
              <w:rPr>
                <w:b/>
              </w:rPr>
              <w:t xml:space="preserve"> </w:t>
            </w:r>
            <w:r>
              <w:rPr>
                <w:bCs/>
              </w:rPr>
              <w:t>has a planning area spanning three counties, including Imperial County, parts of Riverside County, and portions of San Diego County.</w:t>
            </w:r>
          </w:p>
          <w:p w14:paraId="196EB3E1" w14:textId="3F20ADAE" w:rsidR="008E32C0" w:rsidRPr="007226EF" w:rsidRDefault="008E32C0">
            <w:pPr>
              <w:pStyle w:val="BodyText"/>
              <w:numPr>
                <w:ilvl w:val="0"/>
                <w:numId w:val="3"/>
              </w:numPr>
            </w:pPr>
            <w:hyperlink r:id="rId98" w:history="1">
              <w:r>
                <w:rPr>
                  <w:rStyle w:val="Hyperlink"/>
                  <w:rFonts w:eastAsia="Aptos" w:cs="Arial"/>
                  <w:b/>
                  <w:i/>
                  <w:iCs/>
                </w:rPr>
                <w:t>Tahoe Transportation District/Tahoe Resource Conservation District</w:t>
              </w:r>
              <w:r>
                <w:rPr>
                  <w:rStyle w:val="Hyperlink"/>
                  <w:rFonts w:eastAsia="Aptos" w:cs="Arial"/>
                  <w:b/>
                  <w:bCs/>
                  <w:i/>
                  <w:iCs/>
                </w:rPr>
                <w:t xml:space="preserve"> 2023 HMP</w:t>
              </w:r>
            </w:hyperlink>
            <w:r>
              <w:t xml:space="preserve"> was developed jointly by Tahoe Transportation District and Tahoe Resource Conservation District, covering a bi-state planning area in California and into Nevada.</w:t>
            </w:r>
          </w:p>
          <w:p w14:paraId="46F790EF" w14:textId="77777777" w:rsidR="008E32C0" w:rsidRDefault="008E32C0">
            <w:pPr>
              <w:pStyle w:val="BodyText"/>
              <w:numPr>
                <w:ilvl w:val="0"/>
                <w:numId w:val="3"/>
              </w:numPr>
            </w:pPr>
            <w:r w:rsidRPr="20389150">
              <w:rPr>
                <w:rFonts w:eastAsia="Aptos" w:cs="Arial"/>
              </w:rPr>
              <w:t>The</w:t>
            </w:r>
            <w:r w:rsidRPr="20389150">
              <w:rPr>
                <w:rFonts w:eastAsia="Aptos" w:cs="Arial"/>
                <w:b/>
                <w:bCs/>
              </w:rPr>
              <w:t xml:space="preserve"> </w:t>
            </w:r>
            <w:r w:rsidRPr="20389150">
              <w:rPr>
                <w:b/>
                <w:bCs/>
              </w:rPr>
              <w:t xml:space="preserve">2025 </w:t>
            </w:r>
            <w:r w:rsidRPr="20389150">
              <w:rPr>
                <w:b/>
                <w:bCs/>
                <w:i/>
                <w:iCs/>
              </w:rPr>
              <w:t xml:space="preserve">LHMP Shasta-Tehama-Trinity Joint Community College District </w:t>
            </w:r>
            <w:r>
              <w:t>encompasses multiple community college campuses across three counties.</w:t>
            </w:r>
          </w:p>
          <w:p w14:paraId="228004A1" w14:textId="7FED52FB" w:rsidR="008E32C0" w:rsidRPr="00645F0B" w:rsidRDefault="008E32C0">
            <w:pPr>
              <w:pStyle w:val="BodyText"/>
              <w:numPr>
                <w:ilvl w:val="0"/>
                <w:numId w:val="3"/>
              </w:numPr>
              <w:spacing w:after="120"/>
              <w:rPr>
                <w:color w:val="000000" w:themeColor="text1"/>
              </w:rPr>
            </w:pPr>
            <w:r>
              <w:t xml:space="preserve">The </w:t>
            </w:r>
            <w:hyperlink r:id="rId99" w:history="1">
              <w:r>
                <w:rPr>
                  <w:rStyle w:val="Hyperlink"/>
                  <w:b/>
                  <w:bCs/>
                </w:rPr>
                <w:t xml:space="preserve">2025 </w:t>
              </w:r>
              <w:r>
                <w:rPr>
                  <w:rStyle w:val="Hyperlink"/>
                  <w:b/>
                  <w:bCs/>
                  <w:i/>
                  <w:iCs/>
                </w:rPr>
                <w:t>MJHMP for San Luis Obispo Office of Education</w:t>
              </w:r>
            </w:hyperlink>
            <w:r>
              <w:t xml:space="preserve"> comprises 10 school districts.</w:t>
            </w:r>
          </w:p>
        </w:tc>
      </w:tr>
    </w:tbl>
    <w:p w14:paraId="09CAE1D0" w14:textId="77777777" w:rsidR="008E32C0" w:rsidRDefault="008E32C0" w:rsidP="008E32C0">
      <w:pPr>
        <w:pStyle w:val="BodyText"/>
        <w:spacing w:before="160" w:line="240" w:lineRule="auto"/>
      </w:pPr>
    </w:p>
    <w:p w14:paraId="0AD3E2BD" w14:textId="77777777" w:rsidR="0079390F" w:rsidRPr="00DE59C6" w:rsidRDefault="0079390F" w:rsidP="00AD1665">
      <w:pPr>
        <w:spacing w:before="160" w:line="240" w:lineRule="auto"/>
        <w:rPr>
          <w:rFonts w:eastAsia="Century Gothic" w:cs="Century Gothic"/>
        </w:rPr>
      </w:pPr>
    </w:p>
    <w:p w14:paraId="23D5549A" w14:textId="0337F66F" w:rsidR="00CF71BD" w:rsidRDefault="00CF71BD" w:rsidP="0092560D">
      <w:pPr>
        <w:pStyle w:val="Heading2"/>
        <w:spacing w:before="160" w:after="160" w:line="240" w:lineRule="auto"/>
      </w:pPr>
      <w:bookmarkStart w:id="47" w:name="_bookmark30"/>
      <w:bookmarkStart w:id="48" w:name="_Toc224722657"/>
      <w:bookmarkStart w:id="49" w:name="_Toc235802674"/>
      <w:bookmarkEnd w:id="47"/>
      <w:r>
        <w:lastRenderedPageBreak/>
        <w:t>Step 1.2: Assemble the Planning Team and Resources</w:t>
      </w:r>
      <w:bookmarkEnd w:id="48"/>
      <w:bookmarkEnd w:id="49"/>
    </w:p>
    <w:p w14:paraId="4A1B681E" w14:textId="7D645601" w:rsidR="00CF71BD" w:rsidRPr="00C85379" w:rsidRDefault="00CF71BD" w:rsidP="0092560D">
      <w:pPr>
        <w:spacing w:before="160" w:line="240" w:lineRule="auto"/>
        <w:rPr>
          <w:rFonts w:eastAsia="Century Gothic" w:cs="Century Gothic"/>
        </w:rPr>
      </w:pPr>
      <w:r>
        <w:t>Goal: Establish the planning team, budget, timeline, and capacity needed to complete the adaptation plan.</w:t>
      </w:r>
    </w:p>
    <w:p w14:paraId="18762E61" w14:textId="08AF57B0" w:rsidR="00CF71BD" w:rsidRDefault="00CF71BD" w:rsidP="0092560D">
      <w:pPr>
        <w:pStyle w:val="BodyText"/>
        <w:spacing w:before="160" w:line="240" w:lineRule="auto"/>
      </w:pPr>
      <w:r>
        <w:t>Consider the available resources for the planning process, including financing, technical resources, knowledge, and time, and what can be accomplished</w:t>
      </w:r>
      <w:r>
        <w:rPr>
          <w:spacing w:val="-1"/>
        </w:rPr>
        <w:t xml:space="preserve"> </w:t>
      </w:r>
      <w:r>
        <w:t>with</w:t>
      </w:r>
      <w:r>
        <w:rPr>
          <w:spacing w:val="-1"/>
        </w:rPr>
        <w:t xml:space="preserve"> </w:t>
      </w:r>
      <w:r>
        <w:t>them.</w:t>
      </w:r>
      <w:r>
        <w:rPr>
          <w:spacing w:val="-1"/>
        </w:rPr>
        <w:t xml:space="preserve"> </w:t>
      </w:r>
      <w:r>
        <w:t>This</w:t>
      </w:r>
      <w:r>
        <w:rPr>
          <w:spacing w:val="-1"/>
        </w:rPr>
        <w:t xml:space="preserve"> </w:t>
      </w:r>
      <w:r>
        <w:t>helps</w:t>
      </w:r>
      <w:r>
        <w:rPr>
          <w:spacing w:val="-1"/>
        </w:rPr>
        <w:t xml:space="preserve"> </w:t>
      </w:r>
      <w:r>
        <w:t>set</w:t>
      </w:r>
      <w:r>
        <w:rPr>
          <w:spacing w:val="-1"/>
        </w:rPr>
        <w:t xml:space="preserve"> </w:t>
      </w:r>
      <w:r>
        <w:t>realistic</w:t>
      </w:r>
      <w:r>
        <w:rPr>
          <w:spacing w:val="-1"/>
        </w:rPr>
        <w:t xml:space="preserve"> </w:t>
      </w:r>
      <w:r>
        <w:t>expectations</w:t>
      </w:r>
      <w:r>
        <w:rPr>
          <w:spacing w:val="-1"/>
        </w:rPr>
        <w:t xml:space="preserve"> </w:t>
      </w:r>
      <w:r>
        <w:t>for</w:t>
      </w:r>
      <w:r>
        <w:rPr>
          <w:spacing w:val="-1"/>
        </w:rPr>
        <w:t xml:space="preserve"> </w:t>
      </w:r>
      <w:r>
        <w:t>the</w:t>
      </w:r>
      <w:r>
        <w:rPr>
          <w:spacing w:val="-1"/>
        </w:rPr>
        <w:t xml:space="preserve"> </w:t>
      </w:r>
      <w:r>
        <w:t>planning</w:t>
      </w:r>
      <w:r>
        <w:rPr>
          <w:spacing w:val="-1"/>
        </w:rPr>
        <w:t xml:space="preserve"> </w:t>
      </w:r>
      <w:r>
        <w:t>effort and identifies any critical gaps that need to be filled.</w:t>
      </w:r>
    </w:p>
    <w:p w14:paraId="2E9CCE2C" w14:textId="77777777" w:rsidR="0092560D" w:rsidRDefault="0092560D" w:rsidP="0092560D">
      <w:pPr>
        <w:pStyle w:val="BodyText"/>
        <w:spacing w:before="160" w:line="240" w:lineRule="auto"/>
      </w:pPr>
    </w:p>
    <w:p w14:paraId="08DDECCC" w14:textId="0D6332B9" w:rsidR="00CF71BD" w:rsidRDefault="007407D4" w:rsidP="0092560D">
      <w:pPr>
        <w:pStyle w:val="Heading3"/>
        <w:spacing w:after="160" w:line="240" w:lineRule="auto"/>
      </w:pPr>
      <w:bookmarkStart w:id="50" w:name="_Toc224722658"/>
      <w:bookmarkStart w:id="51" w:name="_Toc235802675"/>
      <w:r>
        <w:t xml:space="preserve">Step 1.2A: Assessing </w:t>
      </w:r>
      <w:bookmarkEnd w:id="50"/>
      <w:r>
        <w:t>Capacity</w:t>
      </w:r>
      <w:bookmarkEnd w:id="51"/>
    </w:p>
    <w:p w14:paraId="15B63506" w14:textId="77777777" w:rsidR="00BA4621" w:rsidRPr="00BA4621" w:rsidRDefault="00CF71BD" w:rsidP="00BA4621">
      <w:pPr>
        <w:pStyle w:val="BodyText"/>
        <w:spacing w:before="160" w:line="240" w:lineRule="auto"/>
      </w:pPr>
      <w:r>
        <w:t>It is important to begin this phase by determining if those conducting adaptation planning activities have the knowledge to work with technical resources and prepare a useful end-product. If not, look at expanding the participants to include members with the necessary expertise or consider training opportunities to fill in knowledge gaps. Relevant capacity areas to assess can include climate data literacy, community engagement, grant writing, and project delivery.</w:t>
      </w:r>
    </w:p>
    <w:p w14:paraId="12B8125E" w14:textId="43AE6882" w:rsidR="00BE180E" w:rsidRPr="008F5243" w:rsidRDefault="00CF71BD" w:rsidP="0092560D">
      <w:pPr>
        <w:pStyle w:val="BodyText"/>
        <w:spacing w:before="160" w:line="240" w:lineRule="auto"/>
      </w:pPr>
      <w:r>
        <w:t>It</w:t>
      </w:r>
      <w:r>
        <w:rPr>
          <w:spacing w:val="-1"/>
        </w:rPr>
        <w:t xml:space="preserve"> </w:t>
      </w:r>
      <w:r>
        <w:t>can</w:t>
      </w:r>
      <w:r>
        <w:rPr>
          <w:spacing w:val="-1"/>
        </w:rPr>
        <w:t xml:space="preserve"> </w:t>
      </w:r>
      <w:r>
        <w:t>be</w:t>
      </w:r>
      <w:r>
        <w:rPr>
          <w:spacing w:val="-1"/>
        </w:rPr>
        <w:t xml:space="preserve"> </w:t>
      </w:r>
      <w:r>
        <w:t>helpful</w:t>
      </w:r>
      <w:r>
        <w:rPr>
          <w:spacing w:val="-2"/>
        </w:rPr>
        <w:t xml:space="preserve"> </w:t>
      </w:r>
      <w:r>
        <w:t>for</w:t>
      </w:r>
      <w:r>
        <w:rPr>
          <w:spacing w:val="-1"/>
        </w:rPr>
        <w:t xml:space="preserve"> </w:t>
      </w:r>
      <w:r>
        <w:t>communities</w:t>
      </w:r>
      <w:r>
        <w:rPr>
          <w:spacing w:val="-1"/>
        </w:rPr>
        <w:t xml:space="preserve"> </w:t>
      </w:r>
      <w:r>
        <w:t>to</w:t>
      </w:r>
      <w:r>
        <w:rPr>
          <w:spacing w:val="-1"/>
        </w:rPr>
        <w:t xml:space="preserve"> </w:t>
      </w:r>
      <w:r>
        <w:t>use</w:t>
      </w:r>
      <w:r>
        <w:rPr>
          <w:spacing w:val="-1"/>
        </w:rPr>
        <w:t xml:space="preserve"> </w:t>
      </w:r>
      <w:r>
        <w:t>a</w:t>
      </w:r>
      <w:r>
        <w:rPr>
          <w:spacing w:val="-1"/>
        </w:rPr>
        <w:t xml:space="preserve"> </w:t>
      </w:r>
      <w:r>
        <w:t>simple</w:t>
      </w:r>
      <w:r>
        <w:rPr>
          <w:spacing w:val="-1"/>
        </w:rPr>
        <w:t xml:space="preserve"> </w:t>
      </w:r>
      <w:r>
        <w:t>matrix</w:t>
      </w:r>
      <w:r>
        <w:rPr>
          <w:spacing w:val="-1"/>
        </w:rPr>
        <w:t xml:space="preserve"> </w:t>
      </w:r>
      <w:r>
        <w:t>to</w:t>
      </w:r>
      <w:r>
        <w:rPr>
          <w:spacing w:val="-1"/>
        </w:rPr>
        <w:t xml:space="preserve"> </w:t>
      </w:r>
      <w:r>
        <w:t>identify</w:t>
      </w:r>
      <w:r>
        <w:rPr>
          <w:spacing w:val="-1"/>
        </w:rPr>
        <w:t xml:space="preserve"> </w:t>
      </w:r>
      <w:r>
        <w:t>their</w:t>
      </w:r>
      <w:r>
        <w:rPr>
          <w:spacing w:val="-1"/>
        </w:rPr>
        <w:t xml:space="preserve"> </w:t>
      </w:r>
      <w:r>
        <w:t>capacity</w:t>
      </w:r>
      <w:r>
        <w:rPr>
          <w:spacing w:val="-1"/>
        </w:rPr>
        <w:t xml:space="preserve"> </w:t>
      </w:r>
      <w:r>
        <w:t>for adaptation</w:t>
      </w:r>
      <w:r>
        <w:rPr>
          <w:spacing w:val="-2"/>
        </w:rPr>
        <w:t xml:space="preserve"> </w:t>
      </w:r>
      <w:r>
        <w:t>planning.</w:t>
      </w:r>
      <w:r>
        <w:rPr>
          <w:spacing w:val="-2"/>
        </w:rPr>
        <w:t xml:space="preserve"> </w:t>
      </w:r>
      <w:r>
        <w:t>The</w:t>
      </w:r>
      <w:r>
        <w:rPr>
          <w:spacing w:val="-2"/>
        </w:rPr>
        <w:t xml:space="preserve"> </w:t>
      </w:r>
      <w:hyperlink r:id="rId100" w:history="1">
        <w:r>
          <w:rPr>
            <w:rStyle w:val="Hyperlink"/>
          </w:rPr>
          <w:t>Adaptation Capability Advancement Toolkit</w:t>
        </w:r>
      </w:hyperlink>
      <w:r w:rsidR="0070207A">
        <w:t xml:space="preserve"> </w:t>
      </w:r>
      <w:r>
        <w:t>is one approach.</w:t>
      </w:r>
      <w:r>
        <w:rPr>
          <w:spacing w:val="34"/>
          <w:position w:val="8"/>
          <w:sz w:val="14"/>
        </w:rPr>
        <w:t xml:space="preserve"> </w:t>
      </w:r>
      <w:r>
        <w:t xml:space="preserve">It helps participants to assess their leadership and organizational culture, staffing and technical capability, partner engagement and partnerships, and operations and institutionalized processes. Capacity is measured on a four-point scale, from Initiation (the lowest level of capacity) to Optimization (the highest level). Matrices such as </w:t>
      </w:r>
      <w:hyperlink r:id="rId101" w:history="1">
        <w:r>
          <w:rPr>
            <w:rStyle w:val="Hyperlink"/>
          </w:rPr>
          <w:t>Adapt-CA</w:t>
        </w:r>
      </w:hyperlink>
      <w:r>
        <w:t xml:space="preserve"> can also help with goal setting for adaptation planning efforts. After communities identify their current capacity for adaptation planning, they can</w:t>
      </w:r>
      <w:r>
        <w:rPr>
          <w:spacing w:val="-4"/>
        </w:rPr>
        <w:t xml:space="preserve"> </w:t>
      </w:r>
      <w:r>
        <w:t>figure</w:t>
      </w:r>
      <w:r>
        <w:rPr>
          <w:spacing w:val="-4"/>
        </w:rPr>
        <w:t xml:space="preserve"> </w:t>
      </w:r>
      <w:r>
        <w:t>out</w:t>
      </w:r>
      <w:r>
        <w:rPr>
          <w:spacing w:val="-4"/>
        </w:rPr>
        <w:t xml:space="preserve"> </w:t>
      </w:r>
      <w:r>
        <w:t>their</w:t>
      </w:r>
      <w:r>
        <w:rPr>
          <w:spacing w:val="-4"/>
        </w:rPr>
        <w:t xml:space="preserve"> </w:t>
      </w:r>
      <w:r>
        <w:t>deficits</w:t>
      </w:r>
      <w:r>
        <w:rPr>
          <w:spacing w:val="-4"/>
        </w:rPr>
        <w:t xml:space="preserve"> </w:t>
      </w:r>
      <w:r>
        <w:t>and</w:t>
      </w:r>
      <w:r>
        <w:rPr>
          <w:spacing w:val="-4"/>
        </w:rPr>
        <w:t xml:space="preserve"> </w:t>
      </w:r>
      <w:r>
        <w:t>draft</w:t>
      </w:r>
      <w:r>
        <w:rPr>
          <w:spacing w:val="-4"/>
        </w:rPr>
        <w:t xml:space="preserve"> </w:t>
      </w:r>
      <w:r>
        <w:t>goals</w:t>
      </w:r>
      <w:r>
        <w:rPr>
          <w:spacing w:val="-4"/>
        </w:rPr>
        <w:t xml:space="preserve"> </w:t>
      </w:r>
      <w:r>
        <w:t>to</w:t>
      </w:r>
      <w:r>
        <w:rPr>
          <w:spacing w:val="-4"/>
        </w:rPr>
        <w:t xml:space="preserve"> </w:t>
      </w:r>
      <w:r>
        <w:t>help</w:t>
      </w:r>
      <w:r>
        <w:rPr>
          <w:spacing w:val="-4"/>
        </w:rPr>
        <w:t xml:space="preserve"> </w:t>
      </w:r>
      <w:r>
        <w:t>them</w:t>
      </w:r>
      <w:r>
        <w:rPr>
          <w:spacing w:val="-4"/>
        </w:rPr>
        <w:t xml:space="preserve"> </w:t>
      </w:r>
      <w:r>
        <w:t>approach</w:t>
      </w:r>
      <w:r>
        <w:rPr>
          <w:spacing w:val="-4"/>
        </w:rPr>
        <w:t xml:space="preserve"> </w:t>
      </w:r>
      <w:r>
        <w:t>or</w:t>
      </w:r>
      <w:r>
        <w:rPr>
          <w:spacing w:val="-4"/>
        </w:rPr>
        <w:t xml:space="preserve"> </w:t>
      </w:r>
      <w:r>
        <w:t>achieve</w:t>
      </w:r>
      <w:r>
        <w:rPr>
          <w:spacing w:val="-4"/>
        </w:rPr>
        <w:t xml:space="preserve"> </w:t>
      </w:r>
      <w:r>
        <w:t xml:space="preserve">optimal </w:t>
      </w:r>
      <w:r>
        <w:rPr>
          <w:spacing w:val="-2"/>
        </w:rPr>
        <w:t>conditions.</w:t>
      </w:r>
    </w:p>
    <w:p w14:paraId="4814A98B" w14:textId="77777777" w:rsidR="0092560D" w:rsidRDefault="0092560D" w:rsidP="0092560D">
      <w:pPr>
        <w:pStyle w:val="BodyText"/>
        <w:spacing w:before="160" w:line="240" w:lineRule="auto"/>
      </w:pPr>
    </w:p>
    <w:p w14:paraId="087FECC8" w14:textId="7F2BBE6B" w:rsidR="00CF71BD" w:rsidRDefault="007407D4" w:rsidP="0092560D">
      <w:pPr>
        <w:pStyle w:val="Heading3"/>
        <w:spacing w:after="160" w:line="240" w:lineRule="auto"/>
      </w:pPr>
      <w:bookmarkStart w:id="52" w:name="_Toc224722659"/>
      <w:bookmarkStart w:id="53" w:name="_Toc235802676"/>
      <w:r>
        <w:t xml:space="preserve">Step 1.2B: Establishing a Budget to Fund the Adaptation </w:t>
      </w:r>
      <w:bookmarkEnd w:id="52"/>
      <w:r>
        <w:t>Planning Process</w:t>
      </w:r>
      <w:bookmarkEnd w:id="53"/>
    </w:p>
    <w:p w14:paraId="56445621" w14:textId="322A8B3F" w:rsidR="00E15A0F" w:rsidRDefault="00CF71BD" w:rsidP="0092560D">
      <w:pPr>
        <w:pStyle w:val="BodyText"/>
        <w:spacing w:before="160" w:line="240" w:lineRule="auto"/>
      </w:pPr>
      <w:r>
        <w:t xml:space="preserve">When establishing a budget to support the development of a plan, it is essential to account for all APG phases. The budget should include labor costs to complete the work in addition to other costs, including equipment, meeting supplies, materials, production, transportation, training, facility rental, </w:t>
      </w:r>
      <w:r w:rsidR="1D71B439">
        <w:t xml:space="preserve">direct financial compensation to engagement participants, </w:t>
      </w:r>
      <w:r>
        <w:t xml:space="preserve">and food/beverages for meetings. </w:t>
      </w:r>
      <w:r w:rsidR="5E9BF893">
        <w:t>If existing staff can do all the work, only minimal additional resources may be needed</w:t>
      </w:r>
      <w:r>
        <w:t xml:space="preserve">; however, additional expertise may be needed to conduct all or parts of the process. If existing staff lead a new adaptation planning process, </w:t>
      </w:r>
      <w:r>
        <w:lastRenderedPageBreak/>
        <w:t>it is important to ensure key staff have dedicated time in their workload to oversee the process. If a capacity assessment determines that existing staff resources are not available to lead an adaptation planning process, the budget may need to include hiring additional staff or external consultants, or developing partnerships with regional collaboratives, university partners, or other community-based or non-governmental organizations.</w:t>
      </w:r>
    </w:p>
    <w:p w14:paraId="6420F47D" w14:textId="10D4DFEB" w:rsidR="00CF71BD" w:rsidRPr="00065E59" w:rsidRDefault="00CF71BD" w:rsidP="20389150">
      <w:pPr>
        <w:pStyle w:val="BodyText"/>
        <w:spacing w:before="160" w:line="240" w:lineRule="auto"/>
        <w:rPr>
          <w:color w:val="000000" w:themeColor="text1"/>
          <w:szCs w:val="24"/>
        </w:rPr>
      </w:pPr>
      <w:r>
        <w:t>An inclusive and equitable adaptation planning process includes the participation of community members and partners, and the budget should encompass the financial needs of a robust outreach</w:t>
      </w:r>
      <w:r>
        <w:rPr>
          <w:spacing w:val="-4"/>
        </w:rPr>
        <w:t xml:space="preserve"> </w:t>
      </w:r>
      <w:r>
        <w:t>and</w:t>
      </w:r>
      <w:r>
        <w:rPr>
          <w:spacing w:val="-4"/>
        </w:rPr>
        <w:t xml:space="preserve"> </w:t>
      </w:r>
      <w:r>
        <w:t>engagement</w:t>
      </w:r>
      <w:r>
        <w:rPr>
          <w:spacing w:val="-4"/>
        </w:rPr>
        <w:t xml:space="preserve"> </w:t>
      </w:r>
      <w:r>
        <w:t>process</w:t>
      </w:r>
      <w:r>
        <w:rPr>
          <w:spacing w:val="-4"/>
        </w:rPr>
        <w:t xml:space="preserve"> </w:t>
      </w:r>
      <w:r>
        <w:t>that</w:t>
      </w:r>
      <w:r>
        <w:rPr>
          <w:spacing w:val="-4"/>
        </w:rPr>
        <w:t xml:space="preserve"> </w:t>
      </w:r>
      <w:r>
        <w:t>values</w:t>
      </w:r>
      <w:r>
        <w:rPr>
          <w:spacing w:val="-4"/>
        </w:rPr>
        <w:t xml:space="preserve"> </w:t>
      </w:r>
      <w:r>
        <w:t>community-based</w:t>
      </w:r>
      <w:r>
        <w:rPr>
          <w:spacing w:val="-4"/>
        </w:rPr>
        <w:t xml:space="preserve"> </w:t>
      </w:r>
      <w:r>
        <w:t>contributions.</w:t>
      </w:r>
      <w:r w:rsidR="1FF71A4D">
        <w:t xml:space="preserve"> </w:t>
      </w:r>
      <w:r w:rsidR="1FF71A4D" w:rsidRPr="00065E59">
        <w:rPr>
          <w:rFonts w:eastAsia="Century Gothic" w:cs="Century Gothic"/>
          <w:color w:val="000000" w:themeColor="text1"/>
          <w:szCs w:val="24"/>
        </w:rPr>
        <w:t>This could include providing direct financial compensation to community advisory group members, and other engagement participants via stipends or vouchers.</w:t>
      </w:r>
    </w:p>
    <w:p w14:paraId="2EAB77B8" w14:textId="4DBCA124" w:rsidR="00CF71BD" w:rsidRDefault="00CF71BD" w:rsidP="0092560D">
      <w:pPr>
        <w:pStyle w:val="BodyText"/>
        <w:spacing w:before="160" w:line="240" w:lineRule="auto"/>
      </w:pPr>
      <w:r>
        <w:t xml:space="preserve">After estimating the budget, determine if existing general funds or other dedicated internal funds are available. If neither is available, identify options for external funding sources, such as grants, public-private partnerships, or philanthropic funding. Communities may also be able to receive low-cost or free assistance from experts working </w:t>
      </w:r>
      <w:r>
        <w:rPr>
          <w:i/>
        </w:rPr>
        <w:t xml:space="preserve">pro-bono </w:t>
      </w:r>
      <w:r>
        <w:t>or from a local university.</w:t>
      </w:r>
    </w:p>
    <w:p w14:paraId="66722803" w14:textId="77777777" w:rsidR="0092560D" w:rsidRPr="00084F5D" w:rsidRDefault="0092560D" w:rsidP="0092560D">
      <w:pPr>
        <w:pStyle w:val="BodyText"/>
        <w:spacing w:before="160" w:line="240" w:lineRule="auto"/>
      </w:pPr>
    </w:p>
    <w:p w14:paraId="4FD0D64C" w14:textId="00D1A206" w:rsidR="00D176DB" w:rsidRDefault="007407D4" w:rsidP="0092560D">
      <w:pPr>
        <w:pStyle w:val="Heading3"/>
        <w:spacing w:after="160" w:line="240" w:lineRule="auto"/>
      </w:pPr>
      <w:bookmarkStart w:id="54" w:name="_Toc235802677"/>
      <w:r>
        <w:t>Step 1.2C: Assembling the Planning Team</w:t>
      </w:r>
      <w:bookmarkEnd w:id="54"/>
    </w:p>
    <w:p w14:paraId="0A2E9BB6" w14:textId="3B68D921" w:rsidR="00C95FEC" w:rsidRDefault="00552308" w:rsidP="0092560D">
      <w:pPr>
        <w:pStyle w:val="BodyText"/>
        <w:spacing w:before="160" w:line="240" w:lineRule="auto"/>
      </w:pPr>
      <w:r>
        <w:t>One of the first tasks in the planning process is to identify and recruit the individuals and departments that will serve on the planning team. The planning team is the driving force behind the plan and is responsible for guiding its development from start to finish. It holds primary responsibility and decision-making authority throughout every stage of the process. The</w:t>
      </w:r>
      <w:r>
        <w:rPr>
          <w:spacing w:val="-3"/>
        </w:rPr>
        <w:t xml:space="preserve"> </w:t>
      </w:r>
      <w:r>
        <w:t>planning</w:t>
      </w:r>
      <w:r>
        <w:rPr>
          <w:spacing w:val="-3"/>
        </w:rPr>
        <w:t xml:space="preserve"> </w:t>
      </w:r>
      <w:r>
        <w:t>team</w:t>
      </w:r>
      <w:r>
        <w:rPr>
          <w:spacing w:val="-3"/>
        </w:rPr>
        <w:t xml:space="preserve"> </w:t>
      </w:r>
      <w:r>
        <w:t>provides</w:t>
      </w:r>
      <w:r>
        <w:rPr>
          <w:spacing w:val="-3"/>
        </w:rPr>
        <w:t xml:space="preserve"> </w:t>
      </w:r>
      <w:r>
        <w:t>institutional</w:t>
      </w:r>
      <w:r>
        <w:rPr>
          <w:spacing w:val="-4"/>
        </w:rPr>
        <w:t xml:space="preserve"> </w:t>
      </w:r>
      <w:r>
        <w:t>and</w:t>
      </w:r>
      <w:r>
        <w:rPr>
          <w:spacing w:val="-3"/>
        </w:rPr>
        <w:t xml:space="preserve"> </w:t>
      </w:r>
      <w:r>
        <w:t>technical</w:t>
      </w:r>
      <w:r>
        <w:rPr>
          <w:spacing w:val="-4"/>
        </w:rPr>
        <w:t xml:space="preserve"> </w:t>
      </w:r>
      <w:r>
        <w:t xml:space="preserve">knowledge and often supports partner outreach and engagement. To ensure a well-rounded planning process, the team should include individuals from a variety of agencies and organizations that bring together diverse skills and experience. </w:t>
      </w:r>
      <w:r w:rsidR="17AF7CEE">
        <w:t>If resources allow, the planning team may also be supported by an advisory group that includes representatives of partner agencies and community organizations that provide subject matter expertise and credibility to the process. If a consultant team is hired to support the process, it should be involved in the planning team as well.</w:t>
      </w:r>
    </w:p>
    <w:p w14:paraId="41B4A594" w14:textId="77777777" w:rsidR="008E693D" w:rsidRDefault="008E693D" w:rsidP="00B9378D">
      <w:pPr>
        <w:pStyle w:val="Heading4"/>
      </w:pPr>
      <w:r>
        <w:t>Select a Planning Team Leader</w:t>
      </w:r>
    </w:p>
    <w:p w14:paraId="19BA00B2" w14:textId="5F5D210E" w:rsidR="00D176DB" w:rsidRDefault="00D176DB" w:rsidP="0092560D">
      <w:pPr>
        <w:pStyle w:val="BodyText"/>
        <w:spacing w:before="160" w:line="240" w:lineRule="auto"/>
      </w:pPr>
      <w:r>
        <w:t>The planning team should have a designated leader who is responsible for coordinating the planning process, engaging partners, facilitating meetings, overseeing public outreach, and keeping the project on schedule.  The team</w:t>
      </w:r>
      <w:r>
        <w:rPr>
          <w:spacing w:val="-7"/>
        </w:rPr>
        <w:t xml:space="preserve"> </w:t>
      </w:r>
      <w:r>
        <w:t>leader</w:t>
      </w:r>
      <w:r>
        <w:rPr>
          <w:spacing w:val="-7"/>
        </w:rPr>
        <w:t xml:space="preserve"> </w:t>
      </w:r>
      <w:r>
        <w:t>should</w:t>
      </w:r>
      <w:r>
        <w:rPr>
          <w:spacing w:val="-7"/>
        </w:rPr>
        <w:t xml:space="preserve"> </w:t>
      </w:r>
      <w:r>
        <w:t>be</w:t>
      </w:r>
      <w:r>
        <w:rPr>
          <w:spacing w:val="-7"/>
        </w:rPr>
        <w:t xml:space="preserve"> </w:t>
      </w:r>
      <w:r>
        <w:t>empowered</w:t>
      </w:r>
      <w:r>
        <w:rPr>
          <w:spacing w:val="-7"/>
        </w:rPr>
        <w:t xml:space="preserve"> </w:t>
      </w:r>
      <w:r>
        <w:t>to</w:t>
      </w:r>
      <w:r>
        <w:rPr>
          <w:spacing w:val="-7"/>
        </w:rPr>
        <w:t xml:space="preserve"> </w:t>
      </w:r>
      <w:r>
        <w:t>make</w:t>
      </w:r>
      <w:r>
        <w:rPr>
          <w:spacing w:val="-7"/>
        </w:rPr>
        <w:t xml:space="preserve"> </w:t>
      </w:r>
      <w:r>
        <w:t>recommendations</w:t>
      </w:r>
      <w:r>
        <w:rPr>
          <w:spacing w:val="-7"/>
        </w:rPr>
        <w:t xml:space="preserve"> </w:t>
      </w:r>
      <w:r>
        <w:t>and/or</w:t>
      </w:r>
      <w:r>
        <w:rPr>
          <w:spacing w:val="-7"/>
        </w:rPr>
        <w:t xml:space="preserve"> </w:t>
      </w:r>
      <w:r>
        <w:t>have</w:t>
      </w:r>
      <w:r>
        <w:rPr>
          <w:spacing w:val="-7"/>
        </w:rPr>
        <w:t xml:space="preserve"> </w:t>
      </w:r>
      <w:r>
        <w:t xml:space="preserve">direct access to decision-makers. When selecting a team leader, consider who has the </w:t>
      </w:r>
      <w:r>
        <w:lastRenderedPageBreak/>
        <w:t xml:space="preserve">time, capacity, and organizational support to remain engaged throughout the entire planning process. </w:t>
      </w:r>
    </w:p>
    <w:p w14:paraId="0166279C" w14:textId="77777777" w:rsidR="00F91D3D" w:rsidRDefault="00F91D3D" w:rsidP="00B9378D">
      <w:pPr>
        <w:pStyle w:val="Heading4"/>
      </w:pPr>
      <w:r>
        <w:t>Identify Planning Team Members</w:t>
      </w:r>
    </w:p>
    <w:p w14:paraId="0FB97366" w14:textId="25D46958" w:rsidR="00D176DB" w:rsidRPr="000F333F" w:rsidRDefault="00D176DB" w:rsidP="0092560D">
      <w:pPr>
        <w:pStyle w:val="BodyText"/>
        <w:spacing w:before="160" w:line="240" w:lineRule="auto"/>
      </w:pPr>
      <w:r>
        <w:t>A planning team often includes individuals from departments under the same organization. For example, if a city planning department leads the adaptation planning effort, consider including individuals from public works, parks and recreation, police, public health, and building departments as part of the planning team. If special districts within the project boundaries play important roles, such as a fire protection, school,</w:t>
      </w:r>
      <w:r>
        <w:rPr>
          <w:spacing w:val="-1"/>
        </w:rPr>
        <w:t xml:space="preserve"> </w:t>
      </w:r>
      <w:r>
        <w:t>or</w:t>
      </w:r>
      <w:r>
        <w:rPr>
          <w:spacing w:val="-1"/>
        </w:rPr>
        <w:t xml:space="preserve"> </w:t>
      </w:r>
      <w:r>
        <w:t>water</w:t>
      </w:r>
      <w:r>
        <w:rPr>
          <w:spacing w:val="-1"/>
        </w:rPr>
        <w:t xml:space="preserve"> </w:t>
      </w:r>
      <w:r>
        <w:t>district,</w:t>
      </w:r>
      <w:r>
        <w:rPr>
          <w:spacing w:val="-1"/>
        </w:rPr>
        <w:t xml:space="preserve"> </w:t>
      </w:r>
      <w:r>
        <w:t>consider</w:t>
      </w:r>
      <w:r>
        <w:rPr>
          <w:spacing w:val="-1"/>
        </w:rPr>
        <w:t xml:space="preserve"> </w:t>
      </w:r>
      <w:r>
        <w:t>including</w:t>
      </w:r>
      <w:r>
        <w:rPr>
          <w:spacing w:val="-1"/>
        </w:rPr>
        <w:t xml:space="preserve"> </w:t>
      </w:r>
      <w:r>
        <w:t>a</w:t>
      </w:r>
      <w:r>
        <w:rPr>
          <w:spacing w:val="-1"/>
        </w:rPr>
        <w:t xml:space="preserve"> </w:t>
      </w:r>
      <w:r>
        <w:t>representative</w:t>
      </w:r>
      <w:r>
        <w:rPr>
          <w:spacing w:val="-1"/>
        </w:rPr>
        <w:t xml:space="preserve"> </w:t>
      </w:r>
      <w:r>
        <w:t>from</w:t>
      </w:r>
      <w:r>
        <w:rPr>
          <w:spacing w:val="-1"/>
        </w:rPr>
        <w:t xml:space="preserve"> </w:t>
      </w:r>
      <w:r>
        <w:t>these</w:t>
      </w:r>
      <w:r>
        <w:rPr>
          <w:spacing w:val="-1"/>
        </w:rPr>
        <w:t xml:space="preserve"> </w:t>
      </w:r>
      <w:r>
        <w:t>districts on the planning team. Coordination across departments, particularly for larger jurisdictions, should occur when assessing vulnerabilities and developing, vetting, and prioritizing adaptation</w:t>
      </w:r>
      <w:r>
        <w:rPr>
          <w:spacing w:val="-3"/>
        </w:rPr>
        <w:t xml:space="preserve"> </w:t>
      </w:r>
      <w:r>
        <w:t>strategies.</w:t>
      </w:r>
      <w:r>
        <w:rPr>
          <w:spacing w:val="-3"/>
        </w:rPr>
        <w:t xml:space="preserve"> </w:t>
      </w:r>
      <w:r>
        <w:t>Such</w:t>
      </w:r>
      <w:r>
        <w:rPr>
          <w:spacing w:val="-3"/>
        </w:rPr>
        <w:t xml:space="preserve"> </w:t>
      </w:r>
      <w:r>
        <w:t>coordination</w:t>
      </w:r>
      <w:r>
        <w:rPr>
          <w:spacing w:val="-3"/>
        </w:rPr>
        <w:t xml:space="preserve"> </w:t>
      </w:r>
      <w:r>
        <w:t>will</w:t>
      </w:r>
      <w:r>
        <w:rPr>
          <w:spacing w:val="-4"/>
        </w:rPr>
        <w:t xml:space="preserve"> </w:t>
      </w:r>
      <w:r>
        <w:t>not</w:t>
      </w:r>
      <w:r>
        <w:rPr>
          <w:spacing w:val="-3"/>
        </w:rPr>
        <w:t xml:space="preserve"> </w:t>
      </w:r>
      <w:r>
        <w:t>only</w:t>
      </w:r>
      <w:r>
        <w:rPr>
          <w:spacing w:val="-3"/>
        </w:rPr>
        <w:t xml:space="preserve"> </w:t>
      </w:r>
      <w:r>
        <w:t>result</w:t>
      </w:r>
      <w:r>
        <w:rPr>
          <w:spacing w:val="-3"/>
        </w:rPr>
        <w:t xml:space="preserve"> </w:t>
      </w:r>
      <w:r>
        <w:t>in</w:t>
      </w:r>
      <w:r>
        <w:rPr>
          <w:spacing w:val="-3"/>
        </w:rPr>
        <w:t xml:space="preserve"> </w:t>
      </w:r>
      <w:r>
        <w:t>a</w:t>
      </w:r>
      <w:r>
        <w:rPr>
          <w:spacing w:val="-3"/>
        </w:rPr>
        <w:t xml:space="preserve"> </w:t>
      </w:r>
      <w:r>
        <w:t>more</w:t>
      </w:r>
      <w:r>
        <w:rPr>
          <w:spacing w:val="-3"/>
        </w:rPr>
        <w:t xml:space="preserve"> </w:t>
      </w:r>
      <w:r>
        <w:t>meaningful</w:t>
      </w:r>
      <w:r>
        <w:rPr>
          <w:spacing w:val="-4"/>
        </w:rPr>
        <w:t xml:space="preserve"> </w:t>
      </w:r>
      <w:r>
        <w:t>and comprehensive</w:t>
      </w:r>
      <w:r>
        <w:rPr>
          <w:spacing w:val="-1"/>
        </w:rPr>
        <w:t xml:space="preserve"> </w:t>
      </w:r>
      <w:r>
        <w:t>adaptation</w:t>
      </w:r>
      <w:r>
        <w:rPr>
          <w:spacing w:val="-1"/>
        </w:rPr>
        <w:t xml:space="preserve"> </w:t>
      </w:r>
      <w:r>
        <w:t>plan</w:t>
      </w:r>
      <w:r>
        <w:rPr>
          <w:spacing w:val="-1"/>
        </w:rPr>
        <w:t xml:space="preserve"> </w:t>
      </w:r>
      <w:r>
        <w:t>but</w:t>
      </w:r>
      <w:r>
        <w:rPr>
          <w:spacing w:val="-1"/>
        </w:rPr>
        <w:t xml:space="preserve"> </w:t>
      </w:r>
      <w:r>
        <w:t>can</w:t>
      </w:r>
      <w:r>
        <w:rPr>
          <w:spacing w:val="-1"/>
        </w:rPr>
        <w:t xml:space="preserve"> </w:t>
      </w:r>
      <w:r>
        <w:t>also</w:t>
      </w:r>
      <w:r>
        <w:rPr>
          <w:spacing w:val="-1"/>
        </w:rPr>
        <w:t xml:space="preserve"> </w:t>
      </w:r>
      <w:r>
        <w:t>help</w:t>
      </w:r>
      <w:r>
        <w:rPr>
          <w:spacing w:val="-1"/>
        </w:rPr>
        <w:t xml:space="preserve"> </w:t>
      </w:r>
      <w:r>
        <w:t>build</w:t>
      </w:r>
      <w:r>
        <w:rPr>
          <w:spacing w:val="-1"/>
        </w:rPr>
        <w:t xml:space="preserve"> </w:t>
      </w:r>
      <w:r>
        <w:t>staff</w:t>
      </w:r>
      <w:r>
        <w:rPr>
          <w:spacing w:val="-1"/>
        </w:rPr>
        <w:t xml:space="preserve"> </w:t>
      </w:r>
      <w:r>
        <w:t>capacity</w:t>
      </w:r>
      <w:r>
        <w:rPr>
          <w:spacing w:val="-1"/>
        </w:rPr>
        <w:t xml:space="preserve"> </w:t>
      </w:r>
      <w:r>
        <w:t>and</w:t>
      </w:r>
      <w:r>
        <w:rPr>
          <w:spacing w:val="-1"/>
        </w:rPr>
        <w:t xml:space="preserve"> </w:t>
      </w:r>
      <w:r>
        <w:t>buy-in</w:t>
      </w:r>
      <w:r>
        <w:rPr>
          <w:spacing w:val="-1"/>
        </w:rPr>
        <w:t xml:space="preserve"> </w:t>
      </w:r>
      <w:r>
        <w:t>for adaptation initiatives</w:t>
      </w:r>
      <w:r>
        <w:rPr>
          <w:spacing w:val="-14"/>
        </w:rPr>
        <w:t>.</w:t>
      </w:r>
    </w:p>
    <w:p w14:paraId="31EDDA87" w14:textId="2B089DEE" w:rsidR="005E0AEC" w:rsidRPr="000F333F" w:rsidRDefault="008B10F0" w:rsidP="0092560D">
      <w:pPr>
        <w:pStyle w:val="BodyText"/>
        <w:spacing w:before="160" w:line="240" w:lineRule="auto"/>
      </w:pPr>
      <w:r>
        <w:t>When feasible, planning teams are encouraged to include representatives from health care organizations, universities, community-based organizations, Tribes, nonprofit organizations, community-based organizations and other entities that serve vulnerable populations. Community-based organizations are often trusted messengers and can ensure outreach is conducted and communicated in culturally and linguistically appropriate ways, while also continuing to build trust with community members.</w:t>
      </w:r>
    </w:p>
    <w:p w14:paraId="2DE7EB0B" w14:textId="40800E38" w:rsidR="00D176DB" w:rsidRPr="000F333F" w:rsidRDefault="00D176DB" w:rsidP="0092560D">
      <w:pPr>
        <w:pStyle w:val="BodyText"/>
        <w:spacing w:before="160" w:line="240" w:lineRule="auto"/>
      </w:pPr>
      <w:r>
        <w:t>Keep in mind that not everyone involved in the process will be part of the core planning team.</w:t>
      </w:r>
      <w:r>
        <w:rPr>
          <w:spacing w:val="-1"/>
        </w:rPr>
        <w:t xml:space="preserve"> </w:t>
      </w:r>
      <w:r>
        <w:t>A broader</w:t>
      </w:r>
      <w:r>
        <w:rPr>
          <w:spacing w:val="-1"/>
        </w:rPr>
        <w:t xml:space="preserve"> </w:t>
      </w:r>
      <w:r>
        <w:t>group</w:t>
      </w:r>
      <w:r>
        <w:rPr>
          <w:spacing w:val="-1"/>
        </w:rPr>
        <w:t xml:space="preserve"> </w:t>
      </w:r>
      <w:r>
        <w:t>may contribute in other</w:t>
      </w:r>
      <w:r>
        <w:rPr>
          <w:spacing w:val="-1"/>
        </w:rPr>
        <w:t xml:space="preserve"> </w:t>
      </w:r>
      <w:r>
        <w:t>ways,</w:t>
      </w:r>
      <w:r>
        <w:rPr>
          <w:spacing w:val="-1"/>
        </w:rPr>
        <w:t xml:space="preserve"> </w:t>
      </w:r>
      <w:r>
        <w:t>such as participating in</w:t>
      </w:r>
      <w:r>
        <w:rPr>
          <w:spacing w:val="-1"/>
        </w:rPr>
        <w:t xml:space="preserve"> </w:t>
      </w:r>
      <w:r>
        <w:t xml:space="preserve">general or targeted community and partner engagement efforts, such as public meetings, or serving on advisory committees or focus groups. Outreach and engagement are discussed in </w:t>
      </w:r>
      <w:hyperlink w:anchor="Step_1.3:_Identify_Community_Climate_Eff" w:history="1">
        <w:r>
          <w:rPr>
            <w:rStyle w:val="Hyperlink"/>
            <w:color w:val="auto"/>
          </w:rPr>
          <w:t>Step 1.3</w:t>
        </w:r>
      </w:hyperlink>
      <w:r>
        <w:t xml:space="preserve"> of this phase.</w:t>
      </w:r>
    </w:p>
    <w:p w14:paraId="3530C06A" w14:textId="0C000CDF" w:rsidR="00D176DB" w:rsidRPr="000F333F" w:rsidRDefault="00D176DB" w:rsidP="0092560D">
      <w:pPr>
        <w:pStyle w:val="BodyText"/>
        <w:spacing w:before="160" w:line="240" w:lineRule="auto"/>
      </w:pPr>
      <w:r>
        <w:t>Questions to consider when identifying planning team members:</w:t>
      </w:r>
    </w:p>
    <w:p w14:paraId="2A527DEC" w14:textId="62C60AB0" w:rsidR="00D176DB" w:rsidRPr="000F333F" w:rsidRDefault="00D176DB">
      <w:pPr>
        <w:pStyle w:val="ListParagraph"/>
        <w:widowControl w:val="0"/>
        <w:numPr>
          <w:ilvl w:val="0"/>
          <w:numId w:val="33"/>
        </w:numPr>
        <w:tabs>
          <w:tab w:val="left" w:pos="1620"/>
        </w:tabs>
        <w:autoSpaceDE w:val="0"/>
        <w:autoSpaceDN w:val="0"/>
        <w:spacing w:before="160" w:line="240" w:lineRule="auto"/>
        <w:ind w:left="720"/>
      </w:pPr>
      <w:r>
        <w:t>Does this individual bring important information or skills, especially a person identified as a useful technical or knowledge resource?</w:t>
      </w:r>
    </w:p>
    <w:p w14:paraId="39B5914A" w14:textId="3D6AFB3C" w:rsidR="00D176DB" w:rsidRPr="000F333F" w:rsidRDefault="00D176DB">
      <w:pPr>
        <w:pStyle w:val="ListParagraph"/>
        <w:widowControl w:val="0"/>
        <w:numPr>
          <w:ilvl w:val="0"/>
          <w:numId w:val="33"/>
        </w:numPr>
        <w:tabs>
          <w:tab w:val="left" w:pos="1620"/>
        </w:tabs>
        <w:autoSpaceDE w:val="0"/>
        <w:autoSpaceDN w:val="0"/>
        <w:spacing w:before="160" w:line="240" w:lineRule="auto"/>
        <w:ind w:left="720"/>
      </w:pPr>
      <w:r>
        <w:t>Does</w:t>
      </w:r>
      <w:r>
        <w:rPr>
          <w:spacing w:val="-13"/>
        </w:rPr>
        <w:t xml:space="preserve"> </w:t>
      </w:r>
      <w:r>
        <w:t xml:space="preserve">this individual represent a population group that will be included in the vulnerability assessment or an agency with some responsibility or control over </w:t>
      </w:r>
      <w:r w:rsidR="00816E4C">
        <w:t>any critical assets?</w:t>
      </w:r>
    </w:p>
    <w:p w14:paraId="05939376" w14:textId="3824F3F8" w:rsidR="00D176DB" w:rsidRPr="000F333F" w:rsidRDefault="00D176DB">
      <w:pPr>
        <w:pStyle w:val="ListParagraph"/>
        <w:widowControl w:val="0"/>
        <w:numPr>
          <w:ilvl w:val="0"/>
          <w:numId w:val="33"/>
        </w:numPr>
        <w:tabs>
          <w:tab w:val="left" w:pos="1620"/>
        </w:tabs>
        <w:autoSpaceDE w:val="0"/>
        <w:autoSpaceDN w:val="0"/>
        <w:spacing w:before="160" w:line="240" w:lineRule="auto"/>
        <w:ind w:left="720"/>
      </w:pPr>
      <w:r>
        <w:t>Can this individual be involved over the length of the planning process?</w:t>
      </w:r>
    </w:p>
    <w:p w14:paraId="098CC59A" w14:textId="4CCCB3BA" w:rsidR="00D176DB" w:rsidRPr="00B9378D" w:rsidRDefault="00D176DB">
      <w:pPr>
        <w:pStyle w:val="ListParagraph"/>
        <w:widowControl w:val="0"/>
        <w:numPr>
          <w:ilvl w:val="0"/>
          <w:numId w:val="33"/>
        </w:numPr>
        <w:tabs>
          <w:tab w:val="left" w:pos="1620"/>
        </w:tabs>
        <w:autoSpaceDE w:val="0"/>
        <w:autoSpaceDN w:val="0"/>
        <w:spacing w:before="160" w:line="240" w:lineRule="auto"/>
        <w:ind w:left="720"/>
      </w:pPr>
      <w:r>
        <w:t>Is the individual empowered to make</w:t>
      </w:r>
      <w:r>
        <w:rPr>
          <w:spacing w:val="-1"/>
        </w:rPr>
        <w:t xml:space="preserve"> </w:t>
      </w:r>
      <w:r>
        <w:t xml:space="preserve">decisions in support of the </w:t>
      </w:r>
      <w:r>
        <w:rPr>
          <w:spacing w:val="-2"/>
        </w:rPr>
        <w:t>process?</w:t>
      </w:r>
    </w:p>
    <w:p w14:paraId="4BB9DFA4" w14:textId="28AD3850" w:rsidR="00C42F9D" w:rsidRPr="000F333F" w:rsidRDefault="00C42F9D">
      <w:pPr>
        <w:pStyle w:val="ListParagraph"/>
        <w:widowControl w:val="0"/>
        <w:numPr>
          <w:ilvl w:val="0"/>
          <w:numId w:val="33"/>
        </w:numPr>
        <w:tabs>
          <w:tab w:val="left" w:pos="1620"/>
        </w:tabs>
        <w:autoSpaceDE w:val="0"/>
        <w:autoSpaceDN w:val="0"/>
        <w:spacing w:before="160" w:line="240" w:lineRule="auto"/>
        <w:ind w:left="720"/>
      </w:pPr>
      <w:r>
        <w:rPr>
          <w:spacing w:val="-2"/>
        </w:rPr>
        <w:t>Are community members, Tribes, and community-based organizations involved early enough to help shape planning priorities?</w:t>
      </w:r>
    </w:p>
    <w:p w14:paraId="6D9B9D33" w14:textId="77777777" w:rsidR="00C42F9D" w:rsidRPr="000F333F" w:rsidRDefault="00C42F9D" w:rsidP="00B9378D">
      <w:pPr>
        <w:pStyle w:val="ListParagraph"/>
        <w:widowControl w:val="0"/>
        <w:tabs>
          <w:tab w:val="left" w:pos="1620"/>
        </w:tabs>
        <w:autoSpaceDE w:val="0"/>
        <w:autoSpaceDN w:val="0"/>
        <w:spacing w:before="160" w:line="240" w:lineRule="auto"/>
      </w:pPr>
    </w:p>
    <w:p w14:paraId="031C9721" w14:textId="0B0CEC1D" w:rsidR="00CF71BD" w:rsidRPr="00084F5D" w:rsidRDefault="00D176DB" w:rsidP="00FE6666">
      <w:pPr>
        <w:spacing w:before="160" w:line="240" w:lineRule="auto"/>
        <w:ind w:right="495"/>
      </w:pPr>
      <w:r>
        <w:lastRenderedPageBreak/>
        <w:t>If possible, adaptation planning processes should not be conducted by a single person. Communities will benefit from adaptation plans that are developed by a diverse team of resilience experts that understand the community’s climate conditions and priorities.</w:t>
      </w:r>
    </w:p>
    <w:p w14:paraId="7ADE72D3" w14:textId="53E32362" w:rsidR="00CF71BD" w:rsidRPr="00807D17" w:rsidRDefault="00A032BF" w:rsidP="00FF764A">
      <w:pPr>
        <w:pStyle w:val="Heading4"/>
        <w:spacing w:after="160" w:line="240" w:lineRule="auto"/>
      </w:pPr>
      <w:bookmarkStart w:id="55" w:name="_Toc224722660"/>
      <w:r>
        <w:t>When to Consider Hiring a Contractor</w:t>
      </w:r>
      <w:bookmarkEnd w:id="55"/>
    </w:p>
    <w:p w14:paraId="42E7FE71" w14:textId="0DA74603" w:rsidR="00CF71BD" w:rsidRDefault="00E36E4F" w:rsidP="00FF764A">
      <w:pPr>
        <w:pStyle w:val="BodyText"/>
        <w:spacing w:before="160" w:line="240" w:lineRule="auto"/>
        <w:rPr>
          <w:highlight w:val="yellow"/>
          <w:shd w:val="clear" w:color="auto" w:fill="FFFFFF"/>
        </w:rPr>
      </w:pPr>
      <w:r>
        <w:rPr>
          <w:shd w:val="clear" w:color="auto" w:fill="FFFFFF"/>
        </w:rPr>
        <w:t>Many entities may lack the staff capacity, time or specialized expertise to complete plan development in-house. Contracting can help with tasks, particularly in technical areas such as vulnerability and risk assessments; it can also reduce administrative burdens and support technical analyses, coordination, facilitation, public engagement, GIS, and plan development.</w:t>
      </w:r>
    </w:p>
    <w:p w14:paraId="00BDA157" w14:textId="0C699320" w:rsidR="00FD5BB8" w:rsidRDefault="00EC0C63">
      <w:pPr>
        <w:numPr>
          <w:ilvl w:val="0"/>
          <w:numId w:val="68"/>
        </w:numPr>
        <w:spacing w:before="160"/>
      </w:pPr>
      <w:r>
        <w:t>The level of contracto</w:t>
      </w:r>
      <w:r w:rsidR="10DA1FF5">
        <w:t xml:space="preserve">r </w:t>
      </w:r>
      <w:r>
        <w:t>involvement should align with local capacity and project needs. Regardless of the role assigned, the lead entity should maintain oversight to ensure the process and final products reflect local priorities and community needs. A contractor's scope of work should also specify expectations for climate change data, scenarios, uncertainty treatment, QA/QC, and compatibility with state tools.</w:t>
      </w:r>
    </w:p>
    <w:p w14:paraId="15AF3C48" w14:textId="1C0E58CC" w:rsidR="00EC0C63" w:rsidRPr="004A1DD8" w:rsidRDefault="7103BD10">
      <w:pPr>
        <w:numPr>
          <w:ilvl w:val="0"/>
          <w:numId w:val="68"/>
        </w:numPr>
        <w:spacing w:before="160"/>
      </w:pPr>
      <w:r>
        <w:t>L</w:t>
      </w:r>
      <w:r w:rsidR="00600DD6">
        <w:t>ocal governments are increasingly contracting directly with community-based organizations to lead equitable outreach and engagement; budgets for hiring a contractor should account for this option.</w:t>
      </w:r>
    </w:p>
    <w:p w14:paraId="77052450" w14:textId="15147414" w:rsidR="002C7E53" w:rsidRDefault="00AD359F" w:rsidP="00210D6E">
      <w:pPr>
        <w:pStyle w:val="BodyText"/>
        <w:spacing w:before="160" w:line="240" w:lineRule="auto"/>
        <w:rPr>
          <w:shd w:val="clear" w:color="auto" w:fill="FFFFFF"/>
        </w:rPr>
      </w:pPr>
      <w:r>
        <w:rPr>
          <w:shd w:val="clear" w:color="auto" w:fill="FFFFFF"/>
        </w:rPr>
        <w:t xml:space="preserve">FEMA’s 2025 </w:t>
      </w:r>
      <w:hyperlink r:id="rId102" w:history="1">
        <w:r>
          <w:rPr>
            <w:rStyle w:val="Hyperlink"/>
            <w:rFonts w:cstheme="minorHAnsi"/>
            <w:shd w:val="clear" w:color="auto" w:fill="FFFFFF"/>
          </w:rPr>
          <w:t>Local Mitigation Planning Handbook</w:t>
        </w:r>
      </w:hyperlink>
      <w:r>
        <w:rPr>
          <w:shd w:val="clear" w:color="auto" w:fill="FFFFFF"/>
        </w:rPr>
        <w:t xml:space="preserve"> includes a Considering a Consultant to Support Local Mitigation Planning Starter Kit starting on page 154, which identifies tasks that may be delegated to contractors versus those that should remain the community’s responsibility. FEMA’s 2012 </w:t>
      </w:r>
      <w:hyperlink r:id="rId103" w:history="1">
        <w:r>
          <w:rPr>
            <w:rStyle w:val="Hyperlink"/>
            <w:rFonts w:cstheme="minorHAnsi"/>
            <w:shd w:val="clear" w:color="auto" w:fill="FFFFFF"/>
          </w:rPr>
          <w:t>Choosing Contracting Help for Your Hazard Mitigation Plan</w:t>
        </w:r>
      </w:hyperlink>
      <w:r>
        <w:rPr>
          <w:shd w:val="clear" w:color="auto" w:fill="FFFFFF"/>
        </w:rPr>
        <w:t xml:space="preserve"> provides additional guidance on selecting and working with contractors.</w:t>
      </w:r>
    </w:p>
    <w:tbl>
      <w:tblPr>
        <w:tblStyle w:val="TableGrid"/>
        <w:tblW w:w="0" w:type="auto"/>
        <w:tblLook w:val="04A0" w:firstRow="1" w:lastRow="0" w:firstColumn="1" w:lastColumn="0" w:noHBand="0" w:noVBand="1"/>
      </w:tblPr>
      <w:tblGrid>
        <w:gridCol w:w="9350"/>
      </w:tblGrid>
      <w:tr w:rsidR="00447939" w:rsidRPr="00FC4964" w14:paraId="04C3FFF4" w14:textId="77777777" w:rsidTr="00401E0C">
        <w:trPr>
          <w:trHeight w:val="576"/>
        </w:trPr>
        <w:tc>
          <w:tcPr>
            <w:tcW w:w="9350" w:type="dxa"/>
            <w:tcBorders>
              <w:top w:val="nil"/>
              <w:left w:val="nil"/>
              <w:bottom w:val="nil"/>
              <w:right w:val="nil"/>
            </w:tcBorders>
            <w:shd w:val="clear" w:color="auto" w:fill="58257F"/>
            <w:vAlign w:val="center"/>
          </w:tcPr>
          <w:p w14:paraId="1FAB2C02" w14:textId="6671F0B1" w:rsidR="00447939" w:rsidRPr="006D27BC" w:rsidRDefault="00447939" w:rsidP="00BB5ACB">
            <w:pPr>
              <w:pStyle w:val="FigureTableTitle"/>
              <w:rPr>
                <w:color w:val="FFFFFF" w:themeColor="background1"/>
              </w:rPr>
            </w:pPr>
            <w:bookmarkStart w:id="56" w:name="_bookmark38"/>
            <w:bookmarkEnd w:id="56"/>
            <w:r>
              <w:rPr>
                <w:color w:val="FFFFFF" w:themeColor="background1"/>
              </w:rPr>
              <w:t xml:space="preserve">Policy Connection: Local Hazard Mitigation Plans </w:t>
            </w:r>
          </w:p>
        </w:tc>
      </w:tr>
      <w:tr w:rsidR="00447939" w14:paraId="32057310" w14:textId="77777777" w:rsidTr="00401E0C">
        <w:tc>
          <w:tcPr>
            <w:tcW w:w="9350" w:type="dxa"/>
            <w:tcBorders>
              <w:top w:val="nil"/>
              <w:left w:val="nil"/>
              <w:bottom w:val="nil"/>
              <w:right w:val="nil"/>
            </w:tcBorders>
            <w:shd w:val="clear" w:color="auto" w:fill="E4D2F2"/>
          </w:tcPr>
          <w:p w14:paraId="3537F9BB" w14:textId="794C2E0D" w:rsidR="00A57696" w:rsidRDefault="00A57696" w:rsidP="00A57696">
            <w:pPr>
              <w:spacing w:before="120" w:after="160"/>
            </w:pPr>
            <w:r>
              <w:t xml:space="preserve">The </w:t>
            </w:r>
            <w:hyperlink r:id="rId104" w:history="1">
              <w:r>
                <w:rPr>
                  <w:rStyle w:val="Hyperlink"/>
                  <w:color w:val="3333FF"/>
                </w:rPr>
                <w:t>Local Mitigation Planning Policy Guide</w:t>
              </w:r>
            </w:hyperlink>
            <w:r>
              <w:t xml:space="preserve"> requires plans to document opportunities for partner involvement in the planning process. This documentation must show how </w:t>
            </w:r>
            <w:r>
              <w:rPr>
                <w:u w:val="single"/>
              </w:rPr>
              <w:t>each</w:t>
            </w:r>
            <w:r>
              <w:rPr>
                <w:i/>
              </w:rPr>
              <w:t xml:space="preserve"> </w:t>
            </w:r>
            <w:r>
              <w:t>of the following types of partners were presented with this opportunity:</w:t>
            </w:r>
          </w:p>
          <w:p w14:paraId="1D155C10" w14:textId="77777777" w:rsidR="00A57696" w:rsidRDefault="00A57696">
            <w:pPr>
              <w:pStyle w:val="ListParagraph"/>
              <w:numPr>
                <w:ilvl w:val="0"/>
                <w:numId w:val="43"/>
              </w:numPr>
            </w:pPr>
            <w:r>
              <w:t>Local and regional agencies involved in hazard mitigation activities:</w:t>
            </w:r>
          </w:p>
          <w:p w14:paraId="577980DE" w14:textId="77777777" w:rsidR="00A57696" w:rsidRPr="0023742A" w:rsidRDefault="00A57696">
            <w:pPr>
              <w:pStyle w:val="ListParagraph"/>
              <w:widowControl w:val="0"/>
              <w:numPr>
                <w:ilvl w:val="0"/>
                <w:numId w:val="33"/>
              </w:numPr>
              <w:autoSpaceDE w:val="0"/>
              <w:autoSpaceDN w:val="0"/>
              <w:spacing w:before="160" w:after="160"/>
              <w:ind w:left="1425"/>
            </w:pPr>
            <w:r>
              <w:t xml:space="preserve">Examples </w:t>
            </w:r>
            <w:r>
              <w:rPr>
                <w:bCs/>
              </w:rPr>
              <w:t>include</w:t>
            </w:r>
            <w:r>
              <w:t xml:space="preserve"> public works, emergency management, local floodplain administration and GIS departments.</w:t>
            </w:r>
          </w:p>
          <w:p w14:paraId="6B51A12F" w14:textId="77777777" w:rsidR="00A57696" w:rsidRDefault="00A57696">
            <w:pPr>
              <w:pStyle w:val="ListParagraph"/>
              <w:numPr>
                <w:ilvl w:val="0"/>
                <w:numId w:val="43"/>
              </w:numPr>
            </w:pPr>
            <w:r>
              <w:t>Agencies that have the authority to regulate development:</w:t>
            </w:r>
          </w:p>
          <w:p w14:paraId="35A16E6D" w14:textId="77777777" w:rsidR="00A57696" w:rsidRPr="004A2D6E" w:rsidRDefault="00A57696">
            <w:pPr>
              <w:pStyle w:val="ListParagraph"/>
              <w:widowControl w:val="0"/>
              <w:numPr>
                <w:ilvl w:val="0"/>
                <w:numId w:val="33"/>
              </w:numPr>
              <w:autoSpaceDE w:val="0"/>
              <w:autoSpaceDN w:val="0"/>
              <w:spacing w:before="160" w:after="160"/>
              <w:ind w:left="1425"/>
            </w:pPr>
            <w:r>
              <w:rPr>
                <w:bCs/>
              </w:rPr>
              <w:t>Examples</w:t>
            </w:r>
            <w:r>
              <w:t xml:space="preserve"> include zoning, planning, community and economic development departments; building officials; planning commissions; or other elected officials.</w:t>
            </w:r>
          </w:p>
          <w:p w14:paraId="0D162A3C" w14:textId="77777777" w:rsidR="00A57696" w:rsidRDefault="00A57696">
            <w:pPr>
              <w:pStyle w:val="ListParagraph"/>
              <w:numPr>
                <w:ilvl w:val="0"/>
                <w:numId w:val="43"/>
              </w:numPr>
            </w:pPr>
            <w:r>
              <w:lastRenderedPageBreak/>
              <w:t>Neighboring communities:</w:t>
            </w:r>
          </w:p>
          <w:p w14:paraId="265F0316" w14:textId="77777777" w:rsidR="00A57696" w:rsidRPr="004A2D6E" w:rsidRDefault="00A57696">
            <w:pPr>
              <w:pStyle w:val="ListParagraph"/>
              <w:widowControl w:val="0"/>
              <w:numPr>
                <w:ilvl w:val="0"/>
                <w:numId w:val="33"/>
              </w:numPr>
              <w:autoSpaceDE w:val="0"/>
              <w:autoSpaceDN w:val="0"/>
              <w:spacing w:before="160" w:after="160"/>
              <w:ind w:left="1425"/>
            </w:pPr>
            <w:r>
              <w:t>Examples include adjacent local governments, including special districts, such as those that are affected by similar hazard events or may share a mitigation action or project that crosses boundaries. Neighboring communities may be partners in hazard mitigation and response activities, or may be where critical assets, such as dams, are located.</w:t>
            </w:r>
          </w:p>
          <w:p w14:paraId="26061AD1" w14:textId="77777777" w:rsidR="00A57696" w:rsidRDefault="00A57696">
            <w:pPr>
              <w:pStyle w:val="ListParagraph"/>
              <w:numPr>
                <w:ilvl w:val="0"/>
                <w:numId w:val="43"/>
              </w:numPr>
            </w:pPr>
            <w:r>
              <w:t>Representatives of businesses, academia, and other private organizations:</w:t>
            </w:r>
          </w:p>
          <w:p w14:paraId="533F83C4" w14:textId="77777777" w:rsidR="00A57696" w:rsidRPr="004A2D6E" w:rsidRDefault="00A57696">
            <w:pPr>
              <w:pStyle w:val="ListParagraph"/>
              <w:widowControl w:val="0"/>
              <w:numPr>
                <w:ilvl w:val="0"/>
                <w:numId w:val="33"/>
              </w:numPr>
              <w:autoSpaceDE w:val="0"/>
              <w:autoSpaceDN w:val="0"/>
              <w:spacing w:before="160" w:after="160"/>
              <w:ind w:left="1425"/>
            </w:pPr>
            <w:r>
              <w:t>Examples include private utilities or major employers that sustain community lifelines.</w:t>
            </w:r>
          </w:p>
          <w:p w14:paraId="46AEC6C0" w14:textId="77777777" w:rsidR="00A57696" w:rsidRDefault="00A57696">
            <w:pPr>
              <w:pStyle w:val="ListParagraph"/>
              <w:numPr>
                <w:ilvl w:val="0"/>
                <w:numId w:val="43"/>
              </w:numPr>
            </w:pPr>
            <w:r>
              <w:t>Representatives of nonprofit organizations, including community-based organizations:</w:t>
            </w:r>
          </w:p>
          <w:p w14:paraId="54FABBDA" w14:textId="12AAC8ED" w:rsidR="00304455" w:rsidRPr="00210D6E" w:rsidRDefault="00A57696">
            <w:pPr>
              <w:pStyle w:val="ListParagraph"/>
              <w:widowControl w:val="0"/>
              <w:numPr>
                <w:ilvl w:val="0"/>
                <w:numId w:val="33"/>
              </w:numPr>
              <w:autoSpaceDE w:val="0"/>
              <w:autoSpaceDN w:val="0"/>
              <w:spacing w:after="120"/>
              <w:ind w:left="1426"/>
              <w:contextualSpacing w:val="0"/>
              <w:rPr>
                <w:rFonts w:eastAsia="Aptos" w:cs="Arial"/>
              </w:rPr>
            </w:pPr>
            <w:r>
              <w:t>Examples</w:t>
            </w:r>
            <w:r>
              <w:rPr>
                <w:rFonts w:eastAsia="Aptos" w:cs="Arial"/>
                <w:color w:val="000000" w:themeColor="text1"/>
              </w:rPr>
              <w:t xml:space="preserve"> </w:t>
            </w:r>
            <w:r>
              <w:t>include</w:t>
            </w:r>
            <w:r>
              <w:rPr>
                <w:rFonts w:eastAsia="Aptos" w:cs="Arial"/>
                <w:color w:val="000000" w:themeColor="text1"/>
              </w:rPr>
              <w:t xml:space="preserve"> housing, healthcare or social service agencies.</w:t>
            </w:r>
          </w:p>
        </w:tc>
      </w:tr>
    </w:tbl>
    <w:p w14:paraId="3882C8B1" w14:textId="77777777" w:rsidR="005B4303" w:rsidRDefault="005B4303" w:rsidP="00FF764A">
      <w:pPr>
        <w:pStyle w:val="BodyText"/>
        <w:spacing w:before="160" w:line="240" w:lineRule="auto"/>
      </w:pPr>
    </w:p>
    <w:p w14:paraId="4F9EBDAB" w14:textId="1CDA002F" w:rsidR="00A2718F" w:rsidRPr="0005494D" w:rsidRDefault="00A2718F" w:rsidP="00FF764A">
      <w:pPr>
        <w:pStyle w:val="Heading4"/>
        <w:spacing w:after="160" w:line="240" w:lineRule="auto"/>
        <w:rPr>
          <w:bCs/>
        </w:rPr>
      </w:pPr>
      <w:r>
        <w:t>Community Advisory</w:t>
      </w:r>
      <w:r>
        <w:rPr>
          <w:spacing w:val="-2"/>
        </w:rPr>
        <w:t xml:space="preserve"> </w:t>
      </w:r>
      <w:r>
        <w:t>Groups</w:t>
      </w:r>
    </w:p>
    <w:p w14:paraId="0440CE0B" w14:textId="597A2A2A" w:rsidR="00CF71BD" w:rsidRDefault="00A2718F" w:rsidP="20389150">
      <w:pPr>
        <w:pStyle w:val="BodyText"/>
        <w:spacing w:before="160" w:line="240" w:lineRule="auto"/>
      </w:pPr>
      <w:r>
        <w:t>Community advisory groups are made up of local and regional partners with local knowledge about social, built, natural, economic, and cultural systems. Community advisory groups provide local expertise and can support outreach and engagement. Community advisory group members</w:t>
      </w:r>
      <w:r>
        <w:rPr>
          <w:spacing w:val="40"/>
        </w:rPr>
        <w:t xml:space="preserve"> </w:t>
      </w:r>
      <w:r>
        <w:t xml:space="preserve">can be </w:t>
      </w:r>
      <w:r w:rsidR="6D5DE98E">
        <w:t xml:space="preserve">trusted </w:t>
      </w:r>
      <w:r w:rsidR="00024C23">
        <w:t>messengers</w:t>
      </w:r>
      <w:r>
        <w:t xml:space="preserve"> for the project and ensure that engagement includes a broad representation of interested community members in climate adaptation planning.</w:t>
      </w:r>
      <w:r w:rsidR="610B1769">
        <w:t xml:space="preserve"> Commonly, c</w:t>
      </w:r>
      <w:r w:rsidR="610B1769" w:rsidRPr="00B96EE4">
        <w:rPr>
          <w:rFonts w:eastAsia="Century Gothic" w:cs="Century Gothic"/>
          <w:szCs w:val="24"/>
        </w:rPr>
        <w:t>ommunity advisory group members are provided with financial compensation for their participation.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472BE" w:rsidRPr="00B472BE" w14:paraId="009FAE95" w14:textId="77777777" w:rsidTr="00401E0C">
        <w:trPr>
          <w:trHeight w:val="576"/>
        </w:trPr>
        <w:tc>
          <w:tcPr>
            <w:tcW w:w="9350" w:type="dxa"/>
            <w:shd w:val="clear" w:color="auto" w:fill="1F5383"/>
            <w:vAlign w:val="center"/>
          </w:tcPr>
          <w:p w14:paraId="1D87DFC1" w14:textId="68436C73" w:rsidR="00B472BE" w:rsidRPr="00B472BE" w:rsidRDefault="00B472BE" w:rsidP="00BB5ACB">
            <w:pPr>
              <w:pStyle w:val="BodyText"/>
              <w:rPr>
                <w:color w:val="FFFFFF" w:themeColor="background1"/>
              </w:rPr>
            </w:pPr>
            <w:r>
              <w:rPr>
                <w:b/>
                <w:bCs/>
                <w:color w:val="FFFFFF" w:themeColor="background1"/>
                <w:spacing w:val="-9"/>
              </w:rPr>
              <w:t>Case Study: City of San Rafael Sea Level Rise Collaborative</w:t>
            </w:r>
          </w:p>
        </w:tc>
      </w:tr>
      <w:tr w:rsidR="00B472BE" w14:paraId="5BDFDEF0" w14:textId="77777777" w:rsidTr="00B472BE">
        <w:tc>
          <w:tcPr>
            <w:tcW w:w="9350" w:type="dxa"/>
            <w:shd w:val="clear" w:color="auto" w:fill="DCEAF7"/>
          </w:tcPr>
          <w:p w14:paraId="08F937D7" w14:textId="73816727" w:rsidR="00B472BE" w:rsidRDefault="00B472BE" w:rsidP="00E67807">
            <w:pPr>
              <w:spacing w:before="120" w:after="120"/>
            </w:pPr>
            <w:r>
              <w:rPr>
                <w:color w:val="000000" w:themeColor="text1"/>
              </w:rPr>
              <w:t xml:space="preserve">The City of San Rafael developed a </w:t>
            </w:r>
            <w:hyperlink r:id="rId105" w:history="1">
              <w:r>
                <w:rPr>
                  <w:rStyle w:val="Hyperlink"/>
                </w:rPr>
                <w:t>Sea Level Rise Planning Collaborative</w:t>
              </w:r>
            </w:hyperlink>
            <w:r>
              <w:t xml:space="preserve"> to plan and reduce flood risks in East San Rafael, one of the Bay Area’s most climate-vulnerable communities. The project brought together local agencies, community groups, and technical experts. Together, they assessed hazards and co-created an engagement process to explore adaptation strategies. The core partners included the University of California, Berkeley, the City of San Rafael, Canal Alliance, the Multicultural Center of Marin, and the County of Marin. These partners were supported by technical consultants who contributed engineering and planning expertise. Over time, new partners joined to contribute to events and research, including the Exploratorium, Canal Arts, Y-Plan, Greenbelt Alliance, and many others. This approach of network building and new partnership development was key to this project’s success. Formally, the project involved a Sea Level Rise Steering Committee of community experts and a Technical Advisory Committee of professional </w:t>
            </w:r>
            <w:r>
              <w:lastRenderedPageBreak/>
              <w:t>experts, which met regularly to review data, co-develop public materials, and ensure the project’s technical outputs reflected community priorities.</w:t>
            </w:r>
          </w:p>
        </w:tc>
      </w:tr>
    </w:tbl>
    <w:p w14:paraId="51E81D29" w14:textId="77777777" w:rsidR="00B472BE" w:rsidRDefault="00B472BE" w:rsidP="00FF764A">
      <w:pPr>
        <w:spacing w:before="160" w:line="240" w:lineRule="auto"/>
      </w:pPr>
    </w:p>
    <w:p w14:paraId="452D37F0" w14:textId="1A7931ED" w:rsidR="00CF71BD" w:rsidRDefault="00CF71BD" w:rsidP="00FF764A">
      <w:pPr>
        <w:pStyle w:val="Heading2"/>
        <w:spacing w:before="160" w:after="160" w:line="240" w:lineRule="auto"/>
      </w:pPr>
      <w:bookmarkStart w:id="57" w:name="_Step_1.3:_Prepare"/>
      <w:bookmarkStart w:id="58" w:name="_Toc224722662"/>
      <w:bookmarkStart w:id="59" w:name="_Toc235802678"/>
      <w:bookmarkEnd w:id="57"/>
      <w:r>
        <w:t>Step</w:t>
      </w:r>
      <w:r>
        <w:rPr>
          <w:spacing w:val="-16"/>
        </w:rPr>
        <w:t xml:space="preserve"> </w:t>
      </w:r>
      <w:r>
        <w:t>1.3:</w:t>
      </w:r>
      <w:r>
        <w:rPr>
          <w:spacing w:val="-16"/>
        </w:rPr>
        <w:t xml:space="preserve"> </w:t>
      </w:r>
      <w:r>
        <w:t>Prepare</w:t>
      </w:r>
      <w:r>
        <w:rPr>
          <w:spacing w:val="-16"/>
        </w:rPr>
        <w:t xml:space="preserve"> </w:t>
      </w:r>
      <w:r>
        <w:t>an</w:t>
      </w:r>
      <w:r>
        <w:rPr>
          <w:spacing w:val="-16"/>
        </w:rPr>
        <w:t xml:space="preserve"> </w:t>
      </w:r>
      <w:r>
        <w:t>Equitable</w:t>
      </w:r>
      <w:r>
        <w:rPr>
          <w:spacing w:val="-16"/>
        </w:rPr>
        <w:t xml:space="preserve"> </w:t>
      </w:r>
      <w:r>
        <w:t>Outreach</w:t>
      </w:r>
      <w:r>
        <w:rPr>
          <w:spacing w:val="-16"/>
        </w:rPr>
        <w:t xml:space="preserve"> </w:t>
      </w:r>
      <w:r>
        <w:t>and</w:t>
      </w:r>
      <w:r>
        <w:rPr>
          <w:spacing w:val="-16"/>
        </w:rPr>
        <w:t xml:space="preserve"> </w:t>
      </w:r>
      <w:r>
        <w:t xml:space="preserve">Engagement </w:t>
      </w:r>
      <w:r>
        <w:rPr>
          <w:spacing w:val="-2"/>
        </w:rPr>
        <w:t>Approach</w:t>
      </w:r>
      <w:bookmarkEnd w:id="58"/>
      <w:bookmarkEnd w:id="59"/>
    </w:p>
    <w:p w14:paraId="72C7D803" w14:textId="77D3BD2B" w:rsidR="00CF71BD" w:rsidRPr="001F30B8" w:rsidRDefault="00CF71BD" w:rsidP="00FF764A">
      <w:pPr>
        <w:pStyle w:val="BodyText"/>
        <w:spacing w:before="160" w:line="240" w:lineRule="auto"/>
      </w:pPr>
      <w:r>
        <w:t>Goal: Develop and implement an outreach and engagement plan that ensures an equitable, inclusive, and accessible process to inform the climate adaptation plan.</w:t>
      </w:r>
    </w:p>
    <w:p w14:paraId="77B6E585" w14:textId="6BFCECCB" w:rsidR="00CF71BD" w:rsidRPr="001F30B8" w:rsidRDefault="00CF71BD" w:rsidP="00FF764A">
      <w:pPr>
        <w:pStyle w:val="BodyText"/>
        <w:spacing w:before="160" w:line="240" w:lineRule="auto"/>
      </w:pPr>
      <w:r>
        <w:t>Inclusive, community-wide engagement is critical to creating effective, equitable and sustainable adaptation strategies. Engagement ensures that plans reflect local knowledge, priorities, and the diverse needs of community members.</w:t>
      </w:r>
    </w:p>
    <w:p w14:paraId="3E901807" w14:textId="44216EDB" w:rsidR="00CF71BD" w:rsidRDefault="00CF71BD" w:rsidP="00FF764A">
      <w:pPr>
        <w:pStyle w:val="BodyText"/>
        <w:spacing w:before="160" w:line="240" w:lineRule="auto"/>
      </w:pPr>
      <w:r>
        <w:t>This is particularly important in contexts where communities have historically been excluded from decision-making processes. For example, Tribes and disadvantaged communities have frequently been marginalized in public decisions throughout California’s history. Equitable public engagement is critical to building and strengthening relationships with communities, fostering trust, creating opportunities for open and inclusive dialogue, elevating community voices and lived experiences, and supporting shared decision-making power on actions that affect current and future generations.</w:t>
      </w:r>
    </w:p>
    <w:p w14:paraId="3E4D1BC4" w14:textId="12A94074" w:rsidR="00841C34" w:rsidRPr="001F30B8" w:rsidRDefault="00841C34" w:rsidP="00FF764A">
      <w:pPr>
        <w:pStyle w:val="BodyText"/>
        <w:spacing w:before="160" w:line="240" w:lineRule="auto"/>
      </w:pPr>
      <w:r>
        <w:t xml:space="preserve">Equitable engagement also means reducing barriers to participation. Outreach strategies should consider all the factors that may affect a person’s ability to participate; this could include language, disability, transportation or even childcare. Providing multiple opportunities and methods for engagement helps to integrate a broader range of community perspectives to the planning process. </w:t>
      </w:r>
    </w:p>
    <w:p w14:paraId="06299BF6" w14:textId="349B84AC" w:rsidR="7D35F6E9" w:rsidRDefault="0032318B" w:rsidP="00FF764A">
      <w:pPr>
        <w:pStyle w:val="BodyText"/>
        <w:spacing w:before="160" w:line="240" w:lineRule="auto"/>
      </w:pPr>
      <w:r>
        <w:t>Integrating community outreach and engagement throughout all phases of an adaptation plan can help foster trust between the core planning team and community partners to develop a plan that has collective support.</w:t>
      </w:r>
    </w:p>
    <w:p w14:paraId="2D13D5AC" w14:textId="77777777" w:rsidR="009011F6" w:rsidRDefault="009011F6" w:rsidP="00FF764A">
      <w:pPr>
        <w:pStyle w:val="BodyText"/>
        <w:spacing w:before="160" w:line="240" w:lineRule="auto"/>
      </w:pPr>
    </w:p>
    <w:p w14:paraId="24BAE119" w14:textId="77777777" w:rsidR="009011F6" w:rsidRDefault="009011F6" w:rsidP="00FF764A">
      <w:pPr>
        <w:pStyle w:val="BodyText"/>
        <w:spacing w:before="160" w:line="240" w:lineRule="auto"/>
      </w:pPr>
    </w:p>
    <w:p w14:paraId="117FF45D" w14:textId="77777777" w:rsidR="009011F6" w:rsidRDefault="009011F6" w:rsidP="00FF764A">
      <w:pPr>
        <w:pStyle w:val="BodyText"/>
        <w:spacing w:before="160" w:line="240" w:lineRule="auto"/>
      </w:pPr>
    </w:p>
    <w:p w14:paraId="27B630D8" w14:textId="77777777" w:rsidR="009011F6" w:rsidRDefault="009011F6" w:rsidP="00FF764A">
      <w:pPr>
        <w:pStyle w:val="BodyText"/>
        <w:spacing w:before="160" w:line="240" w:lineRule="auto"/>
      </w:pPr>
    </w:p>
    <w:p w14:paraId="2B77E83E" w14:textId="77777777" w:rsidR="009011F6" w:rsidRDefault="009011F6" w:rsidP="00FF764A">
      <w:pPr>
        <w:pStyle w:val="BodyText"/>
        <w:spacing w:before="160" w:line="240" w:lineRule="auto"/>
      </w:pPr>
    </w:p>
    <w:tbl>
      <w:tblPr>
        <w:tblStyle w:val="TableGrid"/>
        <w:tblW w:w="0" w:type="auto"/>
        <w:tblLook w:val="04A0" w:firstRow="1" w:lastRow="0" w:firstColumn="1" w:lastColumn="0" w:noHBand="0" w:noVBand="1"/>
      </w:tblPr>
      <w:tblGrid>
        <w:gridCol w:w="9350"/>
      </w:tblGrid>
      <w:tr w:rsidR="00B472BE" w:rsidRPr="00B472BE" w14:paraId="63A25F7C" w14:textId="77777777" w:rsidTr="00401E0C">
        <w:trPr>
          <w:trHeight w:val="576"/>
        </w:trPr>
        <w:tc>
          <w:tcPr>
            <w:tcW w:w="9350" w:type="dxa"/>
            <w:tcBorders>
              <w:top w:val="nil"/>
              <w:left w:val="nil"/>
              <w:bottom w:val="nil"/>
              <w:right w:val="nil"/>
            </w:tcBorders>
            <w:shd w:val="clear" w:color="auto" w:fill="404040" w:themeFill="text1" w:themeFillTint="BF"/>
            <w:vAlign w:val="center"/>
          </w:tcPr>
          <w:p w14:paraId="421CBD99" w14:textId="61FF5E40" w:rsidR="00B472BE" w:rsidRPr="00B472BE" w:rsidRDefault="00B472BE" w:rsidP="00BB5ACB">
            <w:pPr>
              <w:pStyle w:val="CalloutBoxTitle"/>
              <w:rPr>
                <w:color w:val="FFFFFF" w:themeColor="background1"/>
              </w:rPr>
            </w:pPr>
            <w:r>
              <w:rPr>
                <w:color w:val="FFFFFF" w:themeColor="background1"/>
              </w:rPr>
              <w:lastRenderedPageBreak/>
              <w:t>Outreach and Engagement Touchpoints</w:t>
            </w:r>
          </w:p>
        </w:tc>
      </w:tr>
      <w:tr w:rsidR="00B941F7" w14:paraId="2D5DC97B" w14:textId="77777777" w:rsidTr="008B058D">
        <w:tc>
          <w:tcPr>
            <w:tcW w:w="9350" w:type="dxa"/>
            <w:tcBorders>
              <w:top w:val="nil"/>
              <w:left w:val="nil"/>
              <w:bottom w:val="nil"/>
              <w:right w:val="nil"/>
            </w:tcBorders>
            <w:shd w:val="clear" w:color="auto" w:fill="F2F2F2" w:themeFill="background1" w:themeFillShade="F2"/>
          </w:tcPr>
          <w:p w14:paraId="60F46FFD" w14:textId="04B3BAD6" w:rsidR="001F431A" w:rsidRPr="00192735" w:rsidRDefault="001F431A" w:rsidP="00FF764A">
            <w:pPr>
              <w:pStyle w:val="BodyText"/>
              <w:spacing w:before="120" w:after="160"/>
              <w:rPr>
                <w:color w:val="000000" w:themeColor="text1"/>
              </w:rPr>
            </w:pPr>
            <w:r>
              <w:rPr>
                <w:color w:val="000000" w:themeColor="text1"/>
              </w:rPr>
              <w:t>The APG recommends two touchpoints for partner engagement in Phase 2, one in Phase 3, and three in Phase 4:</w:t>
            </w:r>
          </w:p>
          <w:p w14:paraId="1C7914A7" w14:textId="60BA8755" w:rsidR="001F431A" w:rsidRPr="00C82808" w:rsidRDefault="001F431A" w:rsidP="00C82808">
            <w:pPr>
              <w:widowControl w:val="0"/>
              <w:tabs>
                <w:tab w:val="left" w:pos="1620"/>
              </w:tabs>
              <w:autoSpaceDE w:val="0"/>
              <w:autoSpaceDN w:val="0"/>
              <w:spacing w:before="160"/>
              <w:rPr>
                <w:color w:val="000000" w:themeColor="text1"/>
              </w:rPr>
            </w:pPr>
            <w:r>
              <w:rPr>
                <w:color w:val="000000" w:themeColor="text1"/>
              </w:rPr>
              <w:t xml:space="preserve">Phase 2: Assess </w:t>
            </w:r>
            <w:r>
              <w:rPr>
                <w:bCs/>
              </w:rPr>
              <w:t>Vulnerability</w:t>
            </w:r>
          </w:p>
          <w:p w14:paraId="6C1A190A" w14:textId="6A0D62ED" w:rsidR="001F431A" w:rsidRPr="00192735" w:rsidRDefault="001F431A">
            <w:pPr>
              <w:pStyle w:val="ListParagraph"/>
              <w:widowControl w:val="0"/>
              <w:numPr>
                <w:ilvl w:val="0"/>
                <w:numId w:val="33"/>
              </w:numPr>
              <w:tabs>
                <w:tab w:val="left" w:pos="1620"/>
              </w:tabs>
              <w:autoSpaceDE w:val="0"/>
              <w:autoSpaceDN w:val="0"/>
              <w:ind w:left="720"/>
              <w:contextualSpacing w:val="0"/>
              <w:rPr>
                <w:color w:val="000000" w:themeColor="text1"/>
              </w:rPr>
            </w:pPr>
            <w:r>
              <w:rPr>
                <w:color w:val="000000" w:themeColor="text1"/>
              </w:rPr>
              <w:t>Step 2.2D: Outreach and Engagement</w:t>
            </w:r>
            <w:r>
              <w:rPr>
                <w:color w:val="000000" w:themeColor="text1"/>
              </w:rPr>
              <w:br/>
              <w:t>This step focuses on conducting interviews with community and programmatic or infrastructure experts to explore climate impacts that may not be captured in reports or data; how critical assets, services, and populations are affected by climate hazards; where vulnerabilities are most acute and why; and how future climate conditions may change the severity of impacts.</w:t>
            </w:r>
          </w:p>
          <w:p w14:paraId="403F94B0" w14:textId="111C01B6" w:rsidR="001F431A" w:rsidRPr="00192735" w:rsidRDefault="001F431A">
            <w:pPr>
              <w:pStyle w:val="ListParagraph"/>
              <w:widowControl w:val="0"/>
              <w:numPr>
                <w:ilvl w:val="0"/>
                <w:numId w:val="33"/>
              </w:numPr>
              <w:tabs>
                <w:tab w:val="left" w:pos="1620"/>
              </w:tabs>
              <w:autoSpaceDE w:val="0"/>
              <w:autoSpaceDN w:val="0"/>
              <w:spacing w:before="160"/>
              <w:ind w:left="720"/>
              <w:rPr>
                <w:color w:val="000000" w:themeColor="text1"/>
              </w:rPr>
            </w:pPr>
            <w:r>
              <w:rPr>
                <w:color w:val="000000" w:themeColor="text1"/>
              </w:rPr>
              <w:t xml:space="preserve">Step 2.3C: Outreach and Engagement </w:t>
            </w:r>
            <w:r>
              <w:rPr>
                <w:color w:val="000000" w:themeColor="text1"/>
              </w:rPr>
              <w:br/>
              <w:t>Here engagement and outreach efforts focus on gathering feedback and insights to integrate into the assessment of climate vulnerability and adaptive capacity assessment developed in Phase 2. The goal of these engagements is to identify local knowledge of climate impacts, neighborhood strengths and assets, as well as community-defined priorities, concerns, and ideas for adaptation.</w:t>
            </w:r>
          </w:p>
          <w:p w14:paraId="6237E7BF" w14:textId="5764DCDD" w:rsidR="001F431A" w:rsidRPr="00E474E9" w:rsidRDefault="001F431A" w:rsidP="00C82808">
            <w:pPr>
              <w:widowControl w:val="0"/>
              <w:tabs>
                <w:tab w:val="left" w:pos="1620"/>
              </w:tabs>
              <w:autoSpaceDE w:val="0"/>
              <w:autoSpaceDN w:val="0"/>
              <w:spacing w:before="160"/>
              <w:rPr>
                <w:color w:val="000000" w:themeColor="text1"/>
              </w:rPr>
            </w:pPr>
            <w:r>
              <w:rPr>
                <w:color w:val="000000" w:themeColor="text1"/>
              </w:rPr>
              <w:t xml:space="preserve">Phase 3: Adaptation </w:t>
            </w:r>
            <w:r>
              <w:rPr>
                <w:bCs/>
              </w:rPr>
              <w:t>Framework</w:t>
            </w:r>
            <w:r>
              <w:rPr>
                <w:color w:val="000000" w:themeColor="text1"/>
              </w:rPr>
              <w:t xml:space="preserve"> and Strategies</w:t>
            </w:r>
          </w:p>
          <w:p w14:paraId="36EED40C" w14:textId="05155031" w:rsidR="001F431A" w:rsidRPr="00B941F7" w:rsidDel="00CD1B1A" w:rsidRDefault="001F431A">
            <w:pPr>
              <w:pStyle w:val="ListParagraph"/>
              <w:widowControl w:val="0"/>
              <w:numPr>
                <w:ilvl w:val="0"/>
                <w:numId w:val="33"/>
              </w:numPr>
              <w:tabs>
                <w:tab w:val="left" w:pos="1620"/>
              </w:tabs>
              <w:autoSpaceDE w:val="0"/>
              <w:autoSpaceDN w:val="0"/>
              <w:ind w:left="720"/>
              <w:rPr>
                <w:color w:val="000000" w:themeColor="text1"/>
              </w:rPr>
            </w:pPr>
            <w:r>
              <w:rPr>
                <w:color w:val="000000" w:themeColor="text1"/>
              </w:rPr>
              <w:t>Step 3.3D: Outreach and Engagement</w:t>
            </w:r>
            <w:r>
              <w:br/>
            </w:r>
            <w:r>
              <w:rPr>
                <w:color w:val="000000" w:themeColor="text1"/>
              </w:rPr>
              <w:t xml:space="preserve">This step focuses on conducting outreach and engagement to draft specific adaptation strategies in partnership with communities. </w:t>
            </w:r>
          </w:p>
          <w:p w14:paraId="4C42531C" w14:textId="74C9F0BF" w:rsidR="00B22C1C" w:rsidRPr="000D6CAC" w:rsidRDefault="30B9FC93">
            <w:pPr>
              <w:pStyle w:val="ListParagraph"/>
              <w:widowControl w:val="0"/>
              <w:numPr>
                <w:ilvl w:val="0"/>
                <w:numId w:val="33"/>
              </w:numPr>
              <w:tabs>
                <w:tab w:val="left" w:pos="1620"/>
              </w:tabs>
              <w:autoSpaceDE w:val="0"/>
              <w:autoSpaceDN w:val="0"/>
              <w:spacing w:before="160"/>
              <w:ind w:left="720"/>
              <w:rPr>
                <w:color w:val="000000" w:themeColor="text1"/>
              </w:rPr>
            </w:pPr>
            <w:r>
              <w:rPr>
                <w:color w:val="000000" w:themeColor="text1"/>
              </w:rPr>
              <w:t>Step 3.4B: Outreach to Develop Adaptation Strategies</w:t>
            </w:r>
            <w:r>
              <w:rPr>
                <w:color w:val="000000" w:themeColor="text1"/>
              </w:rPr>
              <w:br/>
              <w:t>This involves evaluating options based on costs, co-benefits, needs, equity, etc. to determine what should be pursued in implementation.</w:t>
            </w:r>
          </w:p>
          <w:p w14:paraId="4480E0E3" w14:textId="4D0D04C8" w:rsidR="002E00B5" w:rsidRDefault="00C2457A" w:rsidP="0087209F">
            <w:pPr>
              <w:widowControl w:val="0"/>
              <w:tabs>
                <w:tab w:val="left" w:pos="1620"/>
              </w:tabs>
              <w:autoSpaceDE w:val="0"/>
              <w:autoSpaceDN w:val="0"/>
              <w:spacing w:before="160"/>
              <w:rPr>
                <w:color w:val="000000" w:themeColor="text1"/>
              </w:rPr>
            </w:pPr>
            <w:r>
              <w:rPr>
                <w:color w:val="000000" w:themeColor="text1"/>
              </w:rPr>
              <w:t xml:space="preserve">Phase 4: Implement, </w:t>
            </w:r>
            <w:r>
              <w:rPr>
                <w:bCs/>
              </w:rPr>
              <w:t>Monitor</w:t>
            </w:r>
            <w:r>
              <w:rPr>
                <w:color w:val="000000" w:themeColor="text1"/>
              </w:rPr>
              <w:t>, Evaluate and Adjust</w:t>
            </w:r>
          </w:p>
          <w:p w14:paraId="75357153" w14:textId="2D6E9F11" w:rsidR="00C2457A" w:rsidRPr="000D6CAC" w:rsidRDefault="753789FF">
            <w:pPr>
              <w:pStyle w:val="ListParagraph"/>
              <w:widowControl w:val="0"/>
              <w:numPr>
                <w:ilvl w:val="0"/>
                <w:numId w:val="33"/>
              </w:numPr>
              <w:tabs>
                <w:tab w:val="left" w:pos="1620"/>
              </w:tabs>
              <w:autoSpaceDE w:val="0"/>
              <w:autoSpaceDN w:val="0"/>
              <w:ind w:left="720"/>
              <w:contextualSpacing w:val="0"/>
              <w:rPr>
                <w:color w:val="000000" w:themeColor="text1"/>
              </w:rPr>
            </w:pPr>
            <w:r>
              <w:rPr>
                <w:color w:val="000000" w:themeColor="text1"/>
              </w:rPr>
              <w:t>Step 4.1C: Implementation Outreach</w:t>
            </w:r>
            <w:r>
              <w:rPr>
                <w:color w:val="000000" w:themeColor="text1"/>
              </w:rPr>
              <w:br/>
              <w:t>This step provides recommendations for including outreach and engagement during the implementation process and, in particular, at conclusion of preparing the plan and launching implementation.</w:t>
            </w:r>
          </w:p>
          <w:p w14:paraId="0B0B2813" w14:textId="7EF2444A" w:rsidR="009C11BF" w:rsidRPr="000D6CAC" w:rsidRDefault="00697B80">
            <w:pPr>
              <w:pStyle w:val="ListParagraph"/>
              <w:widowControl w:val="0"/>
              <w:numPr>
                <w:ilvl w:val="0"/>
                <w:numId w:val="33"/>
              </w:numPr>
              <w:tabs>
                <w:tab w:val="left" w:pos="1620"/>
              </w:tabs>
              <w:autoSpaceDE w:val="0"/>
              <w:autoSpaceDN w:val="0"/>
              <w:spacing w:before="160"/>
              <w:ind w:left="720"/>
              <w:rPr>
                <w:color w:val="000000" w:themeColor="text1"/>
              </w:rPr>
            </w:pPr>
            <w:r>
              <w:rPr>
                <w:color w:val="000000" w:themeColor="text1"/>
              </w:rPr>
              <w:t>Step 4.2B: Monitoring and Evaluation</w:t>
            </w:r>
            <w:r>
              <w:rPr>
                <w:color w:val="000000" w:themeColor="text1"/>
              </w:rPr>
              <w:br/>
              <w:t>This step focuses on accountability and transparency, ensuring the planning team keeps the community informed throughout implementation. It includes tracking progress against milestones, identifying delays, and communicating key decision points.</w:t>
            </w:r>
          </w:p>
          <w:p w14:paraId="5E7E465A" w14:textId="2A2FA531" w:rsidR="001F431A" w:rsidRPr="00C941FB" w:rsidRDefault="00697B80">
            <w:pPr>
              <w:pStyle w:val="ListParagraph"/>
              <w:widowControl w:val="0"/>
              <w:numPr>
                <w:ilvl w:val="0"/>
                <w:numId w:val="33"/>
              </w:numPr>
              <w:tabs>
                <w:tab w:val="left" w:pos="1620"/>
              </w:tabs>
              <w:autoSpaceDE w:val="0"/>
              <w:autoSpaceDN w:val="0"/>
              <w:spacing w:before="160"/>
              <w:ind w:left="720"/>
              <w:rPr>
                <w:color w:val="000000" w:themeColor="text1"/>
              </w:rPr>
            </w:pPr>
            <w:r>
              <w:rPr>
                <w:color w:val="000000" w:themeColor="text1"/>
              </w:rPr>
              <w:t>Step 4.3C: Adjustment and Outreach</w:t>
            </w:r>
            <w:r>
              <w:rPr>
                <w:color w:val="000000" w:themeColor="text1"/>
              </w:rPr>
              <w:br/>
              <w:t>This step focuses on ensuring outreach and engagement occurs throughout the implementation process, including informing the community of any changes or modifications to strategies identified in Phase 3.</w:t>
            </w:r>
          </w:p>
        </w:tc>
      </w:tr>
    </w:tbl>
    <w:p w14:paraId="65A53DF9" w14:textId="55907E7D" w:rsidR="001A69CC" w:rsidRDefault="007407D4" w:rsidP="00FF764A">
      <w:pPr>
        <w:pStyle w:val="Heading3"/>
        <w:spacing w:after="160" w:line="240" w:lineRule="auto"/>
      </w:pPr>
      <w:bookmarkStart w:id="60" w:name="_bookmark47"/>
      <w:bookmarkStart w:id="61" w:name="_Toc235802679"/>
      <w:bookmarkEnd w:id="60"/>
      <w:r>
        <w:lastRenderedPageBreak/>
        <w:t>Step 1.3A: Identify Partners</w:t>
      </w:r>
      <w:bookmarkEnd w:id="61"/>
    </w:p>
    <w:p w14:paraId="36D3F2BD" w14:textId="3DAC8892" w:rsidR="001A69CC" w:rsidRPr="00D41C97" w:rsidRDefault="001A69CC" w:rsidP="00FF764A">
      <w:pPr>
        <w:spacing w:before="160" w:line="240" w:lineRule="auto"/>
      </w:pPr>
      <w:r>
        <w:t>The engagement process should be inclusive and multidisciplinary. It should include people of varying levels of authority, including those empowered to make recommendations and decisions and representatives of governmental and non-governmental organizations. Partner mapping is the process of visualizing relationships and prioritizing engagement efforts through understanding perspectives and interests in the community. For each partner, the planning team should decide who should be involved; what their role will be in the process and the plan implementation; and how, when, and how often they should be engaged.</w:t>
      </w:r>
    </w:p>
    <w:p w14:paraId="07D93408" w14:textId="0742F258" w:rsidR="001A69CC" w:rsidRDefault="2527751A" w:rsidP="00FF764A">
      <w:pPr>
        <w:spacing w:before="160" w:line="240" w:lineRule="auto"/>
      </w:pPr>
      <w:r>
        <w:t xml:space="preserve">State law, as mandated by </w:t>
      </w:r>
      <w:hyperlink r:id="rId106">
        <w:r w:rsidRPr="20389150">
          <w:rPr>
            <w:rStyle w:val="Hyperlink"/>
          </w:rPr>
          <w:t>AB-52</w:t>
        </w:r>
      </w:hyperlink>
      <w:r w:rsidRPr="20389150">
        <w:rPr>
          <w:color w:val="FF0000"/>
        </w:rPr>
        <w:t xml:space="preserve"> </w:t>
      </w:r>
      <w:r w:rsidRPr="20389150">
        <w:rPr>
          <w:color w:val="000000" w:themeColor="text1"/>
        </w:rPr>
        <w:t>and governors’ Executive Orders (</w:t>
      </w:r>
      <w:hyperlink r:id="rId107" w:history="1">
        <w:r w:rsidR="00E91CE4">
          <w:rPr>
            <w:rStyle w:val="Hyperlink"/>
          </w:rPr>
          <w:t>Order B-10-11</w:t>
        </w:r>
      </w:hyperlink>
      <w:r w:rsidR="00E91CE4" w:rsidRPr="00E91CE4">
        <w:rPr>
          <w:color w:val="000000" w:themeColor="text1"/>
        </w:rPr>
        <w:t xml:space="preserve"> </w:t>
      </w:r>
      <w:r w:rsidR="002021C6" w:rsidRPr="20389150">
        <w:rPr>
          <w:color w:val="000000" w:themeColor="text1"/>
        </w:rPr>
        <w:t xml:space="preserve">&amp; </w:t>
      </w:r>
      <w:hyperlink r:id="rId108" w:history="1">
        <w:r w:rsidR="00E91CE4">
          <w:rPr>
            <w:rStyle w:val="Hyperlink"/>
          </w:rPr>
          <w:t>N-15-19</w:t>
        </w:r>
      </w:hyperlink>
      <w:r w:rsidR="00E91CE4">
        <w:rPr>
          <w:color w:val="000000" w:themeColor="text1"/>
        </w:rPr>
        <w:t xml:space="preserve">), </w:t>
      </w:r>
      <w:r w:rsidRPr="20389150">
        <w:rPr>
          <w:color w:val="000000" w:themeColor="text1"/>
        </w:rPr>
        <w:t>and</w:t>
      </w:r>
      <w:r>
        <w:t xml:space="preserve"> </w:t>
      </w:r>
      <w:hyperlink r:id="rId109">
        <w:r w:rsidRPr="20389150">
          <w:rPr>
            <w:rStyle w:val="Hyperlink"/>
          </w:rPr>
          <w:t>SB 18</w:t>
        </w:r>
      </w:hyperlink>
      <w:r>
        <w:t xml:space="preserve"> (Burton, 2004) requires local agencies to meaningfully consult with California Native American Tribes to aid in the protection of traditional Tribal cultural places through local planning processes. Beyond meeting this statutory requirement, early and meaningful Tribal consultation helps local jurisdictions better understand Tribal priorities, incorporate Indigenous knowledge and perspectives where appropriate, strengthen relationships with </w:t>
      </w:r>
      <w:r w:rsidR="005552BD">
        <w:t>Tribes</w:t>
      </w:r>
      <w:r>
        <w:t xml:space="preserve">, and ultimately improve planning outcomes.  Local agencies should follow the </w:t>
      </w:r>
      <w:hyperlink r:id="rId110">
        <w:r w:rsidRPr="20389150">
          <w:rPr>
            <w:rStyle w:val="Hyperlink"/>
          </w:rPr>
          <w:t>State of California Tribal Consultation Guidelines</w:t>
        </w:r>
      </w:hyperlink>
      <w:r>
        <w:t xml:space="preserve"> for any climate adaptation-related update to the General Plan or other planning documents as early as possible in the planning phase.</w:t>
      </w:r>
    </w:p>
    <w:p w14:paraId="7B2D5E65" w14:textId="1C89E250" w:rsidR="000D5D7C" w:rsidRPr="000D5D7C" w:rsidRDefault="000D5D7C" w:rsidP="00FF764A">
      <w:pPr>
        <w:spacing w:before="160" w:line="240" w:lineRule="auto"/>
        <w:rPr>
          <w:b/>
          <w:bCs/>
        </w:rPr>
      </w:pPr>
      <w:r w:rsidRPr="000D5D7C">
        <w:rPr>
          <w:b/>
          <w:bCs/>
        </w:rPr>
        <w:t>Best Practices for Tribal Consultation</w:t>
      </w:r>
    </w:p>
    <w:p w14:paraId="5D715704" w14:textId="653FC67C" w:rsidR="003A6252" w:rsidRDefault="005A69F8" w:rsidP="003A6252">
      <w:pPr>
        <w:spacing w:before="160" w:line="240" w:lineRule="auto"/>
      </w:pPr>
      <w:hyperlink r:id="rId111" w:history="1">
        <w:r>
          <w:rPr>
            <w:rStyle w:val="Hyperlink"/>
          </w:rPr>
          <w:t>CNRA's Tribal Consultation Policy</w:t>
        </w:r>
      </w:hyperlink>
      <w:r>
        <w:t xml:space="preserve"> </w:t>
      </w:r>
      <w:r w:rsidR="003A6252" w:rsidRPr="003A6252">
        <w:t xml:space="preserve">and its accompanying </w:t>
      </w:r>
      <w:hyperlink r:id="rId112" w:history="1">
        <w:r w:rsidR="007C577E" w:rsidRPr="007C577E">
          <w:rPr>
            <w:rStyle w:val="Hyperlink"/>
          </w:rPr>
          <w:t>Best Practices (Appendix 2)</w:t>
        </w:r>
      </w:hyperlink>
      <w:r w:rsidR="007C577E" w:rsidRPr="007C577E">
        <w:t xml:space="preserve"> </w:t>
      </w:r>
      <w:r w:rsidR="00457EC6" w:rsidRPr="00457EC6">
        <w:t>are useful references for local governments and other organizations engaging with Tribes. The appendix organizes consultation around three principles: early, often, and meaningful.</w:t>
      </w:r>
    </w:p>
    <w:p w14:paraId="0B89C5E9" w14:textId="77777777" w:rsidR="00457EC6" w:rsidRPr="00457EC6" w:rsidRDefault="00457EC6">
      <w:pPr>
        <w:numPr>
          <w:ilvl w:val="0"/>
          <w:numId w:val="73"/>
        </w:numPr>
        <w:spacing w:before="160" w:line="240" w:lineRule="auto"/>
      </w:pPr>
      <w:r w:rsidRPr="00457EC6">
        <w:rPr>
          <w:b/>
          <w:bCs/>
        </w:rPr>
        <w:t>Early</w:t>
      </w:r>
      <w:r w:rsidRPr="00457EC6">
        <w:t> means beginning “from the onset of a department action, when Tribal input may be effectively incorporated to inform department actions and decisions, and before any major or irreversible decisions have been made or finalized.”</w:t>
      </w:r>
    </w:p>
    <w:p w14:paraId="3F7A369B" w14:textId="77777777" w:rsidR="00457EC6" w:rsidRPr="00457EC6" w:rsidRDefault="00457EC6">
      <w:pPr>
        <w:numPr>
          <w:ilvl w:val="0"/>
          <w:numId w:val="73"/>
        </w:numPr>
        <w:spacing w:before="160" w:line="240" w:lineRule="auto"/>
      </w:pPr>
      <w:r w:rsidRPr="00457EC6">
        <w:rPr>
          <w:b/>
          <w:bCs/>
        </w:rPr>
        <w:t>Often</w:t>
      </w:r>
      <w:r w:rsidRPr="00457EC6">
        <w:t> means building and maintaining relationships with Tribes on an ongoing basis, not only when consultation is required. Early and consistent communication helps establish trust and create opportunities for meaningful collaboration before decisions are made.</w:t>
      </w:r>
    </w:p>
    <w:p w14:paraId="262D7D0D" w14:textId="07E36972" w:rsidR="00457EC6" w:rsidRPr="00457EC6" w:rsidRDefault="00457EC6">
      <w:pPr>
        <w:numPr>
          <w:ilvl w:val="0"/>
          <w:numId w:val="73"/>
        </w:numPr>
        <w:spacing w:before="160" w:line="240" w:lineRule="auto"/>
      </w:pPr>
      <w:r w:rsidRPr="00457EC6">
        <w:rPr>
          <w:b/>
          <w:bCs/>
        </w:rPr>
        <w:t>Meaningful consultation</w:t>
      </w:r>
      <w:r w:rsidRPr="00457EC6">
        <w:t xml:space="preserve"> requires that the department prioritize listening with the intent to fully hear, understand, respect, and consider Tribal feedback and comments. Accordingly, consultation must occur well in advance of any major decisions. Meaningful consultation should help prevent or mitigate potential conflicts by proactively addressing </w:t>
      </w:r>
      <w:r w:rsidRPr="00457EC6">
        <w:lastRenderedPageBreak/>
        <w:t>concerns and should actively seek to build trust between departments and Tribes. “Meaningful” should include a process of reciprocal communication and consideration but does not imply that both parties will reach consensus or agreement. However, a consensus-seeking approach should be pursued throughout the consultation process where feasible.</w:t>
      </w:r>
    </w:p>
    <w:p w14:paraId="520D9BA6" w14:textId="25C441BB" w:rsidR="007A7CC6" w:rsidRDefault="007A7CC6" w:rsidP="003A6252">
      <w:pPr>
        <w:spacing w:before="160" w:line="240" w:lineRule="auto"/>
        <w:rPr>
          <w:b/>
          <w:bCs/>
        </w:rPr>
      </w:pPr>
      <w:r w:rsidRPr="005A69F8">
        <w:rPr>
          <w:b/>
          <w:bCs/>
        </w:rPr>
        <w:t xml:space="preserve">Additional practices from the Appendix worth adopting locally include: </w:t>
      </w:r>
    </w:p>
    <w:p w14:paraId="18F877A9" w14:textId="77777777" w:rsidR="00457EC6" w:rsidRPr="00457EC6" w:rsidRDefault="00457EC6">
      <w:pPr>
        <w:numPr>
          <w:ilvl w:val="0"/>
          <w:numId w:val="74"/>
        </w:numPr>
        <w:spacing w:before="160" w:line="240" w:lineRule="auto"/>
      </w:pPr>
      <w:r w:rsidRPr="00457EC6">
        <w:rPr>
          <w:b/>
          <w:bCs/>
        </w:rPr>
        <w:t>Provide outreach to Tribes using multiple mechanisms</w:t>
      </w:r>
      <w:r w:rsidRPr="00457EC6">
        <w:t> (e.g., email, phone calls, letters, etc.) and accommodate each Tribe’s preferred mode and location for meetings, including on-site visits where a Tribe is willing to host.</w:t>
      </w:r>
    </w:p>
    <w:p w14:paraId="0F1345FF" w14:textId="77777777" w:rsidR="00457EC6" w:rsidRPr="00457EC6" w:rsidRDefault="00457EC6">
      <w:pPr>
        <w:numPr>
          <w:ilvl w:val="0"/>
          <w:numId w:val="74"/>
        </w:numPr>
        <w:spacing w:before="160" w:line="240" w:lineRule="auto"/>
      </w:pPr>
      <w:r w:rsidRPr="00457EC6">
        <w:rPr>
          <w:b/>
          <w:bCs/>
        </w:rPr>
        <w:t>Recognize that it is up to each Tribe to define its areas and resources of interest.</w:t>
      </w:r>
      <w:r w:rsidRPr="00457EC6">
        <w:t> Tribes and Tribal people possess “Traditional Knowledge” (sometimes referred to as “traditional ecological knowledge” or “Indigenous knowledge”). Each Tribe will have its own definition of Traditional Knowledge, but this expertise may generally be summarized as observations, practices, and beliefs unique to a particular group of people that are developed through millennia of interactions and experiences with a specific place or environment. Respect Traditional Knowledge and what Tribes share about how a project may affect their rights and resources. Avoid defining, interpreting, or characterizing these matters without direct input from the affected Tribes.</w:t>
      </w:r>
    </w:p>
    <w:p w14:paraId="7170F291" w14:textId="77777777" w:rsidR="00457EC6" w:rsidRPr="00457EC6" w:rsidRDefault="00457EC6">
      <w:pPr>
        <w:numPr>
          <w:ilvl w:val="0"/>
          <w:numId w:val="74"/>
        </w:numPr>
        <w:spacing w:before="160" w:line="240" w:lineRule="auto"/>
        <w:rPr>
          <w:b/>
          <w:bCs/>
        </w:rPr>
      </w:pPr>
      <w:r w:rsidRPr="00457EC6">
        <w:rPr>
          <w:b/>
          <w:bCs/>
        </w:rPr>
        <w:t>Where funding allows, build resources into project budgets to compensate Tribes for their time and expertise, and incorporate this consideration into early budget forecasting rather than treating it as an afterthought.</w:t>
      </w:r>
    </w:p>
    <w:p w14:paraId="1516A7F4" w14:textId="07B2AC1A" w:rsidR="00457EC6" w:rsidRPr="00457EC6" w:rsidRDefault="00457EC6">
      <w:pPr>
        <w:numPr>
          <w:ilvl w:val="0"/>
          <w:numId w:val="74"/>
        </w:numPr>
        <w:spacing w:before="160" w:line="240" w:lineRule="auto"/>
      </w:pPr>
      <w:r w:rsidRPr="00457EC6">
        <w:rPr>
          <w:b/>
          <w:bCs/>
        </w:rPr>
        <w:t>Maintaining the confidentiality of sensitive Tribal information must be a priority for all departments.</w:t>
      </w:r>
      <w:r w:rsidRPr="00457EC6">
        <w:t> To protect important cultural resources, Tribes often must share a certain amount of sensitive information about those resources (e.g., their locations). Be transparent with Tribes about the limitations the </w:t>
      </w:r>
      <w:hyperlink r:id="rId113" w:history="1">
        <w:r w:rsidR="009E62D4">
          <w:rPr>
            <w:rStyle w:val="Hyperlink"/>
          </w:rPr>
          <w:t>California Public Records Act</w:t>
        </w:r>
      </w:hyperlink>
      <w:r w:rsidR="009E62D4" w:rsidRPr="009E62D4">
        <w:t xml:space="preserve"> </w:t>
      </w:r>
      <w:r w:rsidRPr="00457EC6">
        <w:t>places on an agency’s ability to maintain confidentiality. At the beginning of each consultation meeting, inform Tribes whether notes will be taken and offer to stop taking notes if they wish to discuss anything off the written record during the consultation.</w:t>
      </w:r>
    </w:p>
    <w:p w14:paraId="2135F81C" w14:textId="77777777" w:rsidR="00457EC6" w:rsidRPr="00457EC6" w:rsidRDefault="00457EC6">
      <w:pPr>
        <w:numPr>
          <w:ilvl w:val="0"/>
          <w:numId w:val="74"/>
        </w:numPr>
        <w:spacing w:before="160" w:line="240" w:lineRule="auto"/>
      </w:pPr>
      <w:r w:rsidRPr="00457EC6">
        <w:rPr>
          <w:b/>
          <w:bCs/>
        </w:rPr>
        <w:t>Recognize that Tribes and departments may have limited staff capacity, which can affect their ability to consult and build relationships.</w:t>
      </w:r>
      <w:r w:rsidRPr="00457EC6">
        <w:t xml:space="preserve"> Tribes with limited staff and funding may not have the capacity to respond to every consultation invitation that interests or impacts them. Departments also have limited staff and resources. To address these capacity challenges, departments should make consultation periods as long as possible (the Appendix recommends up to </w:t>
      </w:r>
      <w:r w:rsidRPr="00457EC6">
        <w:lastRenderedPageBreak/>
        <w:t>90 days per round) to provide Tribes with a more realistic opportunity to respond.</w:t>
      </w:r>
    </w:p>
    <w:p w14:paraId="3ECEE155" w14:textId="39C32995" w:rsidR="00457EC6" w:rsidRPr="00457EC6" w:rsidRDefault="00457EC6">
      <w:pPr>
        <w:numPr>
          <w:ilvl w:val="0"/>
          <w:numId w:val="74"/>
        </w:numPr>
        <w:spacing w:before="160" w:line="240" w:lineRule="auto"/>
        <w:rPr>
          <w:b/>
          <w:bCs/>
        </w:rPr>
      </w:pPr>
      <w:r w:rsidRPr="00457EC6">
        <w:rPr>
          <w:b/>
          <w:bCs/>
        </w:rPr>
        <w:t>Document relationships, past consultations, and commitments so that Tribal partnerships and lessons learned do not reset with each staff turnover.</w:t>
      </w:r>
    </w:p>
    <w:p w14:paraId="4CB015A3" w14:textId="3A50EF8A" w:rsidR="005A69F8" w:rsidRPr="005A69F8" w:rsidRDefault="00E91CE4" w:rsidP="005A69F8">
      <w:pPr>
        <w:spacing w:before="160" w:line="240" w:lineRule="auto"/>
        <w:rPr>
          <w:b/>
          <w:bCs/>
        </w:rPr>
      </w:pPr>
      <w:r w:rsidRPr="005A69F8">
        <w:t xml:space="preserve">Additional </w:t>
      </w:r>
      <w:r w:rsidR="005A69F8">
        <w:t xml:space="preserve">policy, resources, and best practices are available on the </w:t>
      </w:r>
      <w:hyperlink r:id="rId114" w:history="1">
        <w:r w:rsidR="005A69F8">
          <w:rPr>
            <w:rStyle w:val="Hyperlink"/>
          </w:rPr>
          <w:t xml:space="preserve">CNRA Tribal Consultation </w:t>
        </w:r>
      </w:hyperlink>
      <w:r w:rsidR="005A69F8">
        <w:t>website.</w:t>
      </w:r>
    </w:p>
    <w:p w14:paraId="746D989A" w14:textId="77777777" w:rsidR="003A6252" w:rsidRPr="003A6252" w:rsidRDefault="003A6252" w:rsidP="00FF764A">
      <w:pPr>
        <w:spacing w:before="160" w:line="24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F5195" w:rsidRPr="00225F42" w14:paraId="39899863" w14:textId="77777777" w:rsidTr="00225F42">
        <w:trPr>
          <w:trHeight w:val="576"/>
        </w:trPr>
        <w:tc>
          <w:tcPr>
            <w:tcW w:w="9350" w:type="dxa"/>
            <w:shd w:val="clear" w:color="auto" w:fill="14581C"/>
            <w:vAlign w:val="center"/>
          </w:tcPr>
          <w:p w14:paraId="10CD92E8" w14:textId="7F8FE58F" w:rsidR="006F5195" w:rsidRPr="00225F42" w:rsidRDefault="006F5195" w:rsidP="00225F42">
            <w:pPr>
              <w:rPr>
                <w:b/>
                <w:bCs/>
                <w:color w:val="FFFFFF" w:themeColor="background1"/>
              </w:rPr>
            </w:pPr>
            <w:r>
              <w:rPr>
                <w:b/>
                <w:bCs/>
                <w:color w:val="FFFFFF" w:themeColor="background1"/>
              </w:rPr>
              <w:t>Put It into Practice</w:t>
            </w:r>
          </w:p>
        </w:tc>
      </w:tr>
      <w:tr w:rsidR="006F5195" w14:paraId="3866932D" w14:textId="77777777" w:rsidTr="008F3683">
        <w:trPr>
          <w:trHeight w:val="2880"/>
        </w:trPr>
        <w:tc>
          <w:tcPr>
            <w:tcW w:w="9350" w:type="dxa"/>
            <w:shd w:val="clear" w:color="auto" w:fill="C2F1C8"/>
          </w:tcPr>
          <w:p w14:paraId="1C30A229" w14:textId="0D1E310B" w:rsidR="00041C73" w:rsidRDefault="00CF0A62" w:rsidP="00502F1F">
            <w:pPr>
              <w:spacing w:before="120" w:after="160"/>
              <w:ind w:right="490"/>
            </w:pPr>
            <w:r>
              <w:t xml:space="preserve">See </w:t>
            </w:r>
            <w:r>
              <w:rPr>
                <w:b/>
                <w:bCs/>
              </w:rPr>
              <w:t xml:space="preserve">Appendix C – </w:t>
            </w:r>
            <w:r>
              <w:rPr>
                <w:b/>
                <w:bCs/>
              </w:rPr>
              <w:fldChar w:fldCharType="begin"/>
            </w:r>
            <w:r>
              <w:rPr>
                <w:b/>
                <w:bCs/>
              </w:rPr>
              <w:instrText xml:space="preserve"> REF _Ref230255891 \h  \* MERGEFORMAT </w:instrText>
            </w:r>
            <w:r>
              <w:rPr>
                <w:b/>
                <w:bCs/>
              </w:rPr>
            </w:r>
            <w:r>
              <w:rPr>
                <w:b/>
                <w:bCs/>
              </w:rPr>
              <w:fldChar w:fldCharType="separate"/>
            </w:r>
            <w:r w:rsidR="00517691" w:rsidRPr="00517691">
              <w:rPr>
                <w:rFonts w:eastAsia="Century Gothic"/>
                <w:b/>
                <w:bCs/>
              </w:rPr>
              <w:t>Partner Mapping</w:t>
            </w:r>
            <w:r>
              <w:rPr>
                <w:b/>
                <w:bCs/>
              </w:rPr>
              <w:fldChar w:fldCharType="end"/>
            </w:r>
          </w:p>
          <w:p w14:paraId="1F3A8A0B" w14:textId="5DA5D59F" w:rsidR="006F5195" w:rsidRPr="000C724C" w:rsidRDefault="006F5195" w:rsidP="00502F1F">
            <w:pPr>
              <w:spacing w:before="120" w:after="160"/>
              <w:ind w:right="490"/>
            </w:pPr>
            <w:r>
              <w:t>For each partner organization, record their interest in the plan, intended role, preferred engagement format, and frequency.</w:t>
            </w:r>
          </w:p>
          <w:tbl>
            <w:tblPr>
              <w:tblStyle w:val="TableGrid"/>
              <w:tblW w:w="0" w:type="auto"/>
              <w:tblLook w:val="04A0" w:firstRow="1" w:lastRow="0" w:firstColumn="1" w:lastColumn="0" w:noHBand="0" w:noVBand="1"/>
              <w:tblCaption w:val="stakeholder mapping"/>
              <w:tblDescription w:val="fillable table to record and track your own stakeholder groups"/>
            </w:tblPr>
            <w:tblGrid>
              <w:gridCol w:w="1719"/>
              <w:gridCol w:w="2491"/>
              <w:gridCol w:w="2171"/>
              <w:gridCol w:w="1268"/>
              <w:gridCol w:w="1455"/>
            </w:tblGrid>
            <w:tr w:rsidR="00812877" w14:paraId="1CF91494" w14:textId="77777777" w:rsidTr="000B6E94">
              <w:tc>
                <w:tcPr>
                  <w:tcW w:w="1719" w:type="dxa"/>
                  <w:vAlign w:val="center"/>
                </w:tcPr>
                <w:p w14:paraId="63219191" w14:textId="58BA8E15" w:rsidR="00812877" w:rsidRPr="00812877" w:rsidRDefault="00BB28B8" w:rsidP="000B6E94">
                  <w:pPr>
                    <w:jc w:val="center"/>
                    <w:rPr>
                      <w:b/>
                      <w:bCs/>
                    </w:rPr>
                  </w:pPr>
                  <w:r>
                    <w:rPr>
                      <w:b/>
                      <w:bCs/>
                    </w:rPr>
                    <w:t>Partner Organization</w:t>
                  </w:r>
                </w:p>
              </w:tc>
              <w:tc>
                <w:tcPr>
                  <w:tcW w:w="2491" w:type="dxa"/>
                  <w:vAlign w:val="center"/>
                </w:tcPr>
                <w:p w14:paraId="19DA4976" w14:textId="1A9869B5" w:rsidR="00812877" w:rsidRPr="00812877" w:rsidRDefault="00812877" w:rsidP="000B6E94">
                  <w:pPr>
                    <w:jc w:val="center"/>
                    <w:rPr>
                      <w:b/>
                      <w:bCs/>
                    </w:rPr>
                  </w:pPr>
                  <w:r>
                    <w:rPr>
                      <w:b/>
                      <w:bCs/>
                    </w:rPr>
                    <w:t>Interest/ Connection to Plan</w:t>
                  </w:r>
                </w:p>
              </w:tc>
              <w:tc>
                <w:tcPr>
                  <w:tcW w:w="2171" w:type="dxa"/>
                  <w:vAlign w:val="center"/>
                </w:tcPr>
                <w:p w14:paraId="6640E8EA" w14:textId="25BE572B" w:rsidR="00812877" w:rsidRPr="00812877" w:rsidRDefault="00812877" w:rsidP="000B6E94">
                  <w:pPr>
                    <w:jc w:val="center"/>
                    <w:rPr>
                      <w:b/>
                      <w:bCs/>
                    </w:rPr>
                  </w:pPr>
                  <w:r>
                    <w:rPr>
                      <w:b/>
                      <w:bCs/>
                    </w:rPr>
                    <w:t>Role (Informant/ Reviewer/</w:t>
                  </w:r>
                  <w:r>
                    <w:rPr>
                      <w:b/>
                      <w:bCs/>
                    </w:rPr>
                    <w:br/>
                    <w:t>Co-Developer)</w:t>
                  </w:r>
                </w:p>
              </w:tc>
              <w:tc>
                <w:tcPr>
                  <w:tcW w:w="1268" w:type="dxa"/>
                  <w:vAlign w:val="center"/>
                </w:tcPr>
                <w:p w14:paraId="633449EC" w14:textId="234BD24E" w:rsidR="00812877" w:rsidRPr="00812877" w:rsidRDefault="00812877" w:rsidP="000B6E94">
                  <w:pPr>
                    <w:jc w:val="center"/>
                    <w:rPr>
                      <w:b/>
                      <w:bCs/>
                    </w:rPr>
                  </w:pPr>
                  <w:r>
                    <w:rPr>
                      <w:b/>
                      <w:bCs/>
                    </w:rPr>
                    <w:t>Preferred Format</w:t>
                  </w:r>
                </w:p>
              </w:tc>
              <w:tc>
                <w:tcPr>
                  <w:tcW w:w="1455" w:type="dxa"/>
                  <w:vAlign w:val="center"/>
                </w:tcPr>
                <w:p w14:paraId="6804D8AB" w14:textId="20DF2F88" w:rsidR="00812877" w:rsidRPr="00812877" w:rsidRDefault="00812877" w:rsidP="000B6E94">
                  <w:pPr>
                    <w:jc w:val="center"/>
                    <w:rPr>
                      <w:b/>
                      <w:bCs/>
                    </w:rPr>
                  </w:pPr>
                  <w:r>
                    <w:rPr>
                      <w:b/>
                      <w:bCs/>
                    </w:rPr>
                    <w:t>Frequency</w:t>
                  </w:r>
                </w:p>
              </w:tc>
            </w:tr>
            <w:tr w:rsidR="00812877" w14:paraId="20FB50A1" w14:textId="77777777" w:rsidTr="000B6E94">
              <w:tc>
                <w:tcPr>
                  <w:tcW w:w="1719" w:type="dxa"/>
                </w:tcPr>
                <w:p w14:paraId="1A97404B" w14:textId="77777777" w:rsidR="00812877" w:rsidRDefault="00812877" w:rsidP="00812877">
                  <w:pPr>
                    <w:ind w:right="490"/>
                  </w:pPr>
                </w:p>
              </w:tc>
              <w:tc>
                <w:tcPr>
                  <w:tcW w:w="2491" w:type="dxa"/>
                </w:tcPr>
                <w:p w14:paraId="378A3E82" w14:textId="77777777" w:rsidR="00812877" w:rsidRDefault="00812877" w:rsidP="00812877">
                  <w:pPr>
                    <w:ind w:right="490"/>
                  </w:pPr>
                </w:p>
              </w:tc>
              <w:tc>
                <w:tcPr>
                  <w:tcW w:w="2171" w:type="dxa"/>
                </w:tcPr>
                <w:p w14:paraId="4D8CE315" w14:textId="77777777" w:rsidR="00812877" w:rsidRDefault="00812877" w:rsidP="00812877">
                  <w:pPr>
                    <w:ind w:right="490"/>
                  </w:pPr>
                </w:p>
              </w:tc>
              <w:tc>
                <w:tcPr>
                  <w:tcW w:w="1268" w:type="dxa"/>
                </w:tcPr>
                <w:p w14:paraId="30F07F03" w14:textId="77777777" w:rsidR="00812877" w:rsidRDefault="00812877" w:rsidP="00812877">
                  <w:pPr>
                    <w:ind w:right="490"/>
                  </w:pPr>
                </w:p>
              </w:tc>
              <w:tc>
                <w:tcPr>
                  <w:tcW w:w="1455" w:type="dxa"/>
                </w:tcPr>
                <w:p w14:paraId="15455C86" w14:textId="77777777" w:rsidR="00812877" w:rsidRDefault="00812877" w:rsidP="00812877">
                  <w:pPr>
                    <w:ind w:right="490"/>
                  </w:pPr>
                </w:p>
              </w:tc>
            </w:tr>
            <w:tr w:rsidR="00812877" w14:paraId="2A53BAB8" w14:textId="77777777" w:rsidTr="000B6E94">
              <w:tc>
                <w:tcPr>
                  <w:tcW w:w="1719" w:type="dxa"/>
                </w:tcPr>
                <w:p w14:paraId="6451030F" w14:textId="77777777" w:rsidR="00812877" w:rsidRDefault="00812877" w:rsidP="00812877">
                  <w:pPr>
                    <w:ind w:right="490"/>
                  </w:pPr>
                </w:p>
              </w:tc>
              <w:tc>
                <w:tcPr>
                  <w:tcW w:w="2491" w:type="dxa"/>
                </w:tcPr>
                <w:p w14:paraId="12EF36BC" w14:textId="77777777" w:rsidR="00812877" w:rsidRDefault="00812877" w:rsidP="00812877">
                  <w:pPr>
                    <w:ind w:right="490"/>
                  </w:pPr>
                </w:p>
              </w:tc>
              <w:tc>
                <w:tcPr>
                  <w:tcW w:w="2171" w:type="dxa"/>
                </w:tcPr>
                <w:p w14:paraId="7E138D6E" w14:textId="77777777" w:rsidR="00812877" w:rsidRDefault="00812877" w:rsidP="00812877">
                  <w:pPr>
                    <w:ind w:right="490"/>
                  </w:pPr>
                </w:p>
              </w:tc>
              <w:tc>
                <w:tcPr>
                  <w:tcW w:w="1268" w:type="dxa"/>
                </w:tcPr>
                <w:p w14:paraId="4F25AB92" w14:textId="77777777" w:rsidR="00812877" w:rsidRDefault="00812877" w:rsidP="00812877">
                  <w:pPr>
                    <w:ind w:right="490"/>
                  </w:pPr>
                </w:p>
              </w:tc>
              <w:tc>
                <w:tcPr>
                  <w:tcW w:w="1455" w:type="dxa"/>
                </w:tcPr>
                <w:p w14:paraId="7333EE8E" w14:textId="77777777" w:rsidR="00812877" w:rsidRDefault="00812877" w:rsidP="00812877">
                  <w:pPr>
                    <w:ind w:right="490"/>
                  </w:pPr>
                </w:p>
              </w:tc>
            </w:tr>
          </w:tbl>
          <w:p w14:paraId="6EA7DA17" w14:textId="4E34ABAF" w:rsidR="006F5195" w:rsidRPr="00225F42" w:rsidRDefault="00225F42" w:rsidP="006F5195">
            <w:pPr>
              <w:rPr>
                <w:sz w:val="12"/>
                <w:szCs w:val="12"/>
              </w:rPr>
            </w:pPr>
            <w:r>
              <w:rPr>
                <w:sz w:val="12"/>
                <w:szCs w:val="12"/>
              </w:rPr>
              <w:t xml:space="preserve">  </w:t>
            </w:r>
          </w:p>
        </w:tc>
      </w:tr>
    </w:tbl>
    <w:p w14:paraId="2A720EAC" w14:textId="3EB9E51F" w:rsidR="001434BD" w:rsidRPr="00CF7723" w:rsidRDefault="00732DCD" w:rsidP="009D6DBA">
      <w:pPr>
        <w:pStyle w:val="Heading4"/>
        <w:spacing w:after="160" w:line="240" w:lineRule="auto"/>
        <w:rPr>
          <w:rFonts w:asciiTheme="minorHAnsi" w:hAnsiTheme="minorHAnsi"/>
        </w:rPr>
      </w:pPr>
      <w:r>
        <w:t>Integrating Equity into Community Outreach and Engagement</w:t>
      </w:r>
    </w:p>
    <w:p w14:paraId="01EBA36F" w14:textId="38BFC6DC" w:rsidR="00AE0414" w:rsidRDefault="00B80876" w:rsidP="00FF764A">
      <w:pPr>
        <w:pStyle w:val="BodyText"/>
        <w:spacing w:before="160" w:line="240" w:lineRule="auto"/>
      </w:pPr>
      <w:r>
        <w:t xml:space="preserve">The California Racial Equity Commission (REC) developed a </w:t>
      </w:r>
      <w:hyperlink r:id="rId115">
        <w:r>
          <w:rPr>
            <w:rStyle w:val="Hyperlink"/>
          </w:rPr>
          <w:t>Racial Equity Framework</w:t>
        </w:r>
      </w:hyperlink>
      <w:r>
        <w:t xml:space="preserve"> to support government entities to advance racial equity across the state. This framework provides resources and restorative practices to address harm, navigate healing, and strengthen relational trust across institutions, communities, and public systems. It emphasizes the importance of partnering with community-based organizations such as nonprofits, grassroots organizations, when engaging with communities, and describes mechanisms through which participation can be encouraged, like compensation. Collaborating with organizations that have established relationships with marginalized or underserved populations can significantly strengthen engagement efforts. When assembling the planning team for a climate adaptation plan, this approach should be reflected by intentionally including representatives from these trusted organizations to ensure community perspectives are embedded throughout the planning process.</w:t>
      </w:r>
    </w:p>
    <w:p w14:paraId="730C4E8E" w14:textId="24285DF0" w:rsidR="004B38FD" w:rsidRPr="00193BC0" w:rsidRDefault="00313F8A" w:rsidP="00FF764A">
      <w:pPr>
        <w:pStyle w:val="BodyText"/>
        <w:spacing w:before="160" w:line="240" w:lineRule="auto"/>
      </w:pPr>
      <w:r>
        <w:t>The REC also highlights the</w:t>
      </w:r>
      <w:r>
        <w:rPr>
          <w:i/>
        </w:rPr>
        <w:t xml:space="preserve"> </w:t>
      </w:r>
      <w:hyperlink r:id="rId116" w:history="1">
        <w:r>
          <w:rPr>
            <w:rStyle w:val="Hyperlink"/>
            <w:iCs/>
          </w:rPr>
          <w:t>Spectrum of Community Engagement to Ownership</w:t>
        </w:r>
      </w:hyperlink>
      <w:r>
        <w:t xml:space="preserve">, a framework developed by Rosa Gonzalez of Facilitating Power. This tool supports local jurisdictions, community-based organizations, and community leaders in selecting engagement approaches that elevate community </w:t>
      </w:r>
      <w:r>
        <w:lastRenderedPageBreak/>
        <w:t>leadership and advance community-driven solutions. Engaging residents, businesses, students, and other community members is essential because they bring lived experience, local knowledge, cultural insight, and practical ideas that may not be visible to local governments. Those most affected by climate impacts are uniquely positioned to identify priorities, co-develop solutions, and help ensure strategies are both effective and equitable. Centering these voices not only strengthens the quality and relevance of planning outcomes, but also fosters trust, builds capacity, and creates a shared sense of ownership that supports long-term implementation success.</w:t>
      </w:r>
    </w:p>
    <w:p w14:paraId="4A774A47" w14:textId="6DD24C2A" w:rsidR="003834C8" w:rsidRPr="00193BC0" w:rsidRDefault="003A4B24" w:rsidP="00FF764A">
      <w:pPr>
        <w:pStyle w:val="BodyText"/>
        <w:spacing w:before="160" w:line="240" w:lineRule="auto"/>
      </w:pPr>
      <w:r>
        <w:t>F</w:t>
      </w:r>
      <w:r w:rsidR="611B6246">
        <w:t>or f</w:t>
      </w:r>
      <w:r>
        <w:t xml:space="preserve">urther guidance on applying the </w:t>
      </w:r>
      <w:hyperlink r:id="rId117">
        <w:r w:rsidRPr="20389150">
          <w:rPr>
            <w:rStyle w:val="Hyperlink"/>
          </w:rPr>
          <w:t>Racial Equity Framework</w:t>
        </w:r>
      </w:hyperlink>
      <w:r>
        <w:t xml:space="preserve"> </w:t>
      </w:r>
      <w:r w:rsidR="3F6D4647">
        <w:t>refer to</w:t>
      </w:r>
      <w:r>
        <w:t xml:space="preserve"> </w:t>
      </w:r>
      <w:r w:rsidRPr="20389150">
        <w:rPr>
          <w:b/>
          <w:bCs/>
        </w:rPr>
        <w:t xml:space="preserve">Appendix A - </w:t>
      </w:r>
      <w:r>
        <w:rPr>
          <w:b/>
          <w:bCs/>
        </w:rPr>
        <w:fldChar w:fldCharType="begin"/>
      </w:r>
      <w:r>
        <w:rPr>
          <w:b/>
          <w:bCs/>
        </w:rPr>
        <w:instrText xml:space="preserve"> REF _Ref230256547 \h  \* MERGEFORMAT </w:instrText>
      </w:r>
      <w:r>
        <w:rPr>
          <w:b/>
          <w:bCs/>
        </w:rPr>
      </w:r>
      <w:r>
        <w:rPr>
          <w:b/>
          <w:bCs/>
        </w:rPr>
        <w:fldChar w:fldCharType="separate"/>
      </w:r>
      <w:r w:rsidR="00517691" w:rsidRPr="00517691">
        <w:rPr>
          <w:b/>
          <w:bCs/>
        </w:rPr>
        <w:t>The Spectrum of Community Engagement to Ownership</w:t>
      </w:r>
      <w:r>
        <w:rPr>
          <w:b/>
          <w:bCs/>
        </w:rPr>
        <w:fldChar w:fldCharType="end"/>
      </w:r>
      <w:r>
        <w:t>.</w:t>
      </w:r>
    </w:p>
    <w:p w14:paraId="322E7604" w14:textId="61A7B721" w:rsidR="00D232B8" w:rsidRDefault="00CF71BD" w:rsidP="00DD73C1">
      <w:pPr>
        <w:pStyle w:val="BodyText"/>
        <w:spacing w:before="160" w:line="240" w:lineRule="auto"/>
      </w:pPr>
      <w:r>
        <w:t>Additionally, it is recommended that all core planning team members receive training in outreach and engagement practices prior to engaging partners. This may include</w:t>
      </w:r>
      <w:r>
        <w:rPr>
          <w:spacing w:val="-5"/>
        </w:rPr>
        <w:t xml:space="preserve"> </w:t>
      </w:r>
      <w:r>
        <w:t>topics</w:t>
      </w:r>
      <w:r>
        <w:rPr>
          <w:spacing w:val="-5"/>
        </w:rPr>
        <w:t xml:space="preserve"> </w:t>
      </w:r>
      <w:r>
        <w:t>such</w:t>
      </w:r>
      <w:r>
        <w:rPr>
          <w:spacing w:val="-5"/>
        </w:rPr>
        <w:t xml:space="preserve"> </w:t>
      </w:r>
      <w:r>
        <w:t>as</w:t>
      </w:r>
      <w:r>
        <w:rPr>
          <w:spacing w:val="-5"/>
        </w:rPr>
        <w:t xml:space="preserve"> </w:t>
      </w:r>
      <w:r>
        <w:t>cultural</w:t>
      </w:r>
      <w:r>
        <w:rPr>
          <w:spacing w:val="-6"/>
        </w:rPr>
        <w:t xml:space="preserve"> </w:t>
      </w:r>
      <w:r>
        <w:t>humility, structural, and systemic inequities. While these issues may not traditionally be addressed in the context of climate risk, understanding these dynamics is essential to conducting equitable engagement and working effectively with disproportionately vulnerable</w:t>
      </w:r>
      <w:r>
        <w:rPr>
          <w:spacing w:val="-1"/>
        </w:rPr>
        <w:t xml:space="preserve"> </w:t>
      </w:r>
      <w:r>
        <w:t>populations.</w:t>
      </w:r>
      <w:bookmarkStart w:id="62" w:name="_bookmark50"/>
      <w:bookmarkEnd w:id="62"/>
    </w:p>
    <w:p w14:paraId="05BD81E5" w14:textId="6DC95D34" w:rsidR="00D232B8" w:rsidRDefault="00D232B8" w:rsidP="00FF764A">
      <w:pPr>
        <w:pStyle w:val="Heading4"/>
        <w:spacing w:after="160" w:line="240" w:lineRule="auto"/>
      </w:pPr>
      <w:r>
        <w:t>Outreach for Local and Tribal Hazard</w:t>
      </w:r>
      <w:r>
        <w:rPr>
          <w:spacing w:val="-2"/>
        </w:rPr>
        <w:t xml:space="preserve"> </w:t>
      </w:r>
      <w:r>
        <w:t>Mitigation</w:t>
      </w:r>
      <w:r>
        <w:rPr>
          <w:spacing w:val="-2"/>
        </w:rPr>
        <w:t xml:space="preserve"> </w:t>
      </w:r>
      <w:r>
        <w:t>Plans</w:t>
      </w:r>
    </w:p>
    <w:p w14:paraId="3E0A1B0B" w14:textId="50CBEDB7" w:rsidR="00D232B8" w:rsidRPr="00052982" w:rsidRDefault="00D232B8" w:rsidP="00FF764A">
      <w:pPr>
        <w:spacing w:before="160" w:line="240" w:lineRule="auto"/>
        <w:ind w:right="495"/>
        <w:rPr>
          <w:color w:val="000000" w:themeColor="text1"/>
        </w:rPr>
      </w:pPr>
      <w:r>
        <w:rPr>
          <w:color w:val="000000" w:themeColor="text1"/>
        </w:rPr>
        <w:t xml:space="preserve">Local Hazard Mitigation Plans (LHMPs) and Tribal Hazard Mitigation Plans (THMPs) must provide opportunities for public </w:t>
      </w:r>
      <w:r w:rsidRPr="002C1BAF">
        <w:rPr>
          <w:color w:val="000000" w:themeColor="text1"/>
        </w:rPr>
        <w:t>and partner</w:t>
      </w:r>
      <w:r>
        <w:rPr>
          <w:color w:val="000000" w:themeColor="text1"/>
        </w:rPr>
        <w:t xml:space="preserve"> participation throughout the planning process, including an opportunity to review and comment on the draft plan prior to formal adoption.</w:t>
      </w:r>
    </w:p>
    <w:p w14:paraId="24BC5B6D" w14:textId="28249861" w:rsidR="00D232B8" w:rsidRDefault="00D232B8" w:rsidP="00FF764A">
      <w:pPr>
        <w:spacing w:before="160" w:line="240" w:lineRule="auto"/>
        <w:ind w:right="495"/>
        <w:rPr>
          <w:color w:val="000000" w:themeColor="text1"/>
        </w:rPr>
      </w:pPr>
      <w:r>
        <w:rPr>
          <w:color w:val="000000" w:themeColor="text1"/>
        </w:rPr>
        <w:t>At minimum, the planning process must document how the public was given an opportunity to participate and how comments were considered and incorporated. For LHMPs, this includes outreach to community partners, neighboring jurisdictions, special districts, private sector partners, and representatives of community organizations. For THMPs, outreach should reflect Tribal governance structures and cultural protocols and include engagement with Tribal leadership, departments and programs, elders, youth, cultural resource representatives, and other community members, as appropriate.</w:t>
      </w:r>
    </w:p>
    <w:p w14:paraId="690C23AF" w14:textId="6743168B" w:rsidR="00D232B8" w:rsidRDefault="00D232B8" w:rsidP="00FF764A">
      <w:pPr>
        <w:spacing w:before="160" w:line="240" w:lineRule="auto"/>
        <w:ind w:right="495"/>
        <w:rPr>
          <w:color w:val="000000" w:themeColor="text1"/>
        </w:rPr>
      </w:pPr>
      <w:r>
        <w:rPr>
          <w:color w:val="000000" w:themeColor="text1"/>
        </w:rPr>
        <w:t>For the most current LHMP and THMP requirements and detailed guidance on public outreach and participation, please refer to:</w:t>
      </w:r>
    </w:p>
    <w:p w14:paraId="5A0F475E" w14:textId="7E3A4E83" w:rsidR="00687C7C" w:rsidRPr="00D1230B" w:rsidRDefault="00D5140B">
      <w:pPr>
        <w:pStyle w:val="ListParagraph"/>
        <w:widowControl w:val="0"/>
        <w:numPr>
          <w:ilvl w:val="0"/>
          <w:numId w:val="33"/>
        </w:numPr>
        <w:autoSpaceDE w:val="0"/>
        <w:autoSpaceDN w:val="0"/>
        <w:spacing w:before="160" w:line="240" w:lineRule="auto"/>
        <w:ind w:left="720"/>
        <w:rPr>
          <w:szCs w:val="24"/>
        </w:rPr>
      </w:pPr>
      <w:hyperlink r:id="rId118" w:history="1">
        <w:r>
          <w:rPr>
            <w:rStyle w:val="Hyperlink"/>
            <w:color w:val="3333FF"/>
            <w:szCs w:val="24"/>
          </w:rPr>
          <w:t>Local Mitigation Planning Policy Guide</w:t>
        </w:r>
      </w:hyperlink>
    </w:p>
    <w:p w14:paraId="2523C510" w14:textId="242CBC65" w:rsidR="00D5140B" w:rsidRPr="00687C7C" w:rsidRDefault="00D5140B">
      <w:pPr>
        <w:pStyle w:val="ListParagraph"/>
        <w:widowControl w:val="0"/>
        <w:numPr>
          <w:ilvl w:val="0"/>
          <w:numId w:val="33"/>
        </w:numPr>
        <w:autoSpaceDE w:val="0"/>
        <w:autoSpaceDN w:val="0"/>
        <w:spacing w:before="160" w:line="240" w:lineRule="auto"/>
        <w:ind w:left="720"/>
        <w:rPr>
          <w:szCs w:val="24"/>
        </w:rPr>
      </w:pPr>
      <w:hyperlink r:id="rId119" w:history="1">
        <w:r>
          <w:rPr>
            <w:rStyle w:val="Hyperlink"/>
            <w:color w:val="3333FF"/>
            <w:szCs w:val="24"/>
          </w:rPr>
          <w:t>Local Mitigation Planning Handbook</w:t>
        </w:r>
      </w:hyperlink>
    </w:p>
    <w:p w14:paraId="11161B67" w14:textId="487DB62E" w:rsidR="00D232B8" w:rsidRPr="00D1230B" w:rsidRDefault="00D5140B">
      <w:pPr>
        <w:pStyle w:val="ListParagraph"/>
        <w:widowControl w:val="0"/>
        <w:numPr>
          <w:ilvl w:val="0"/>
          <w:numId w:val="33"/>
        </w:numPr>
        <w:autoSpaceDE w:val="0"/>
        <w:autoSpaceDN w:val="0"/>
        <w:spacing w:before="160" w:line="240" w:lineRule="auto"/>
        <w:ind w:left="720"/>
        <w:rPr>
          <w:szCs w:val="24"/>
        </w:rPr>
      </w:pPr>
      <w:hyperlink r:id="rId120" w:history="1">
        <w:r>
          <w:rPr>
            <w:rStyle w:val="Hyperlink"/>
            <w:color w:val="3333FF"/>
            <w:szCs w:val="24"/>
          </w:rPr>
          <w:t>Tribal Mitigation Plan Review Guide</w:t>
        </w:r>
      </w:hyperlink>
    </w:p>
    <w:p w14:paraId="1745DA61" w14:textId="3744002A" w:rsidR="00CD52B2" w:rsidRPr="00DD73C1" w:rsidRDefault="00D5140B">
      <w:pPr>
        <w:pStyle w:val="ListParagraph"/>
        <w:widowControl w:val="0"/>
        <w:numPr>
          <w:ilvl w:val="0"/>
          <w:numId w:val="33"/>
        </w:numPr>
        <w:autoSpaceDE w:val="0"/>
        <w:autoSpaceDN w:val="0"/>
        <w:spacing w:before="160" w:line="240" w:lineRule="auto"/>
        <w:ind w:left="720"/>
        <w:rPr>
          <w:szCs w:val="24"/>
        </w:rPr>
      </w:pPr>
      <w:hyperlink r:id="rId121" w:history="1">
        <w:r>
          <w:rPr>
            <w:rStyle w:val="Hyperlink"/>
            <w:color w:val="3333FF"/>
            <w:szCs w:val="24"/>
          </w:rPr>
          <w:t>Tribal Mitigation Planning Handbook</w:t>
        </w:r>
      </w:hyperlink>
    </w:p>
    <w:p w14:paraId="6EA7C810" w14:textId="4015B8A1" w:rsidR="005E57BB" w:rsidRPr="00E1079D" w:rsidRDefault="005E57BB" w:rsidP="00FF764A">
      <w:pPr>
        <w:pStyle w:val="Heading4"/>
        <w:spacing w:after="160" w:line="240" w:lineRule="auto"/>
      </w:pPr>
      <w:r>
        <w:t>Leveraging Public-Private Partnerships</w:t>
      </w:r>
    </w:p>
    <w:p w14:paraId="76516EAE" w14:textId="413DF5D8" w:rsidR="00401E0C" w:rsidRDefault="009449B5" w:rsidP="00FF764A">
      <w:pPr>
        <w:pStyle w:val="BodyText"/>
        <w:spacing w:before="160" w:line="240" w:lineRule="auto"/>
      </w:pPr>
      <w:r>
        <w:t>Planning entities should consider leveraging public-private partnerships to support community adaptation planning efforts. Protecting a healthy local economy is a critical part of maintaining a community’s long-term resilience, and many businesses recognize the threat that climate change may pose to their activities and financial health. Businesses also can provide increased investments and other resources that may not always be available to local governments.</w:t>
      </w:r>
    </w:p>
    <w:p w14:paraId="1EE9C3A2" w14:textId="4790217E" w:rsidR="006D4FE4" w:rsidRPr="00DD73C1" w:rsidRDefault="00CF71BD" w:rsidP="00FF764A">
      <w:pPr>
        <w:pStyle w:val="BodyText"/>
        <w:spacing w:before="160" w:line="240" w:lineRule="auto"/>
        <w:rPr>
          <w:b/>
          <w:bCs/>
        </w:rPr>
      </w:pPr>
      <w:r>
        <w:t xml:space="preserve">Opportunities for public-private partnerships include creating an economic working group or advisory body, establishing training and capacity-building opportunities such as resilience or continuity planning workshops, and setting adaptation standards for permitting new private developments. Utilities and private landowners are also important partners where they play an essential role in recharge, floodplain restoration, and infrastructure resilience. Communities can partner with local businesses as well as larger companies, and the State’s large Investor-Owned Utilities (IOU), including </w:t>
      </w:r>
      <w:r w:rsidR="00253B37">
        <w:t xml:space="preserve">Pacific Gas and Electric Company, </w:t>
      </w:r>
      <w:r w:rsidR="00E60517">
        <w:t xml:space="preserve">Southern California Edison, Southern California Gas Company, San Diego Gas &amp; Electric Company. </w:t>
      </w:r>
      <w:r>
        <w:t>Under the California Public Utilities Commission’s (CPUC) guidance, IOUs conduct community engagement as part of their Climate Adaptation and Vulnerability Assessments (CAVAs), providing opportunities for local governments and Tribes to coordinate on shared climate risks, infrastructure needs, and adaptation strategies.</w:t>
      </w:r>
    </w:p>
    <w:tbl>
      <w:tblPr>
        <w:tblStyle w:val="TableGrid"/>
        <w:tblW w:w="0" w:type="auto"/>
        <w:jc w:val="right"/>
        <w:tblLook w:val="04A0" w:firstRow="1" w:lastRow="0" w:firstColumn="1" w:lastColumn="0" w:noHBand="0" w:noVBand="1"/>
      </w:tblPr>
      <w:tblGrid>
        <w:gridCol w:w="9360"/>
      </w:tblGrid>
      <w:tr w:rsidR="00260BF5" w14:paraId="13DF09E9" w14:textId="77777777" w:rsidTr="00260BF5">
        <w:trPr>
          <w:trHeight w:val="576"/>
          <w:jc w:val="right"/>
        </w:trPr>
        <w:tc>
          <w:tcPr>
            <w:tcW w:w="9360" w:type="dxa"/>
            <w:tcBorders>
              <w:top w:val="nil"/>
              <w:left w:val="nil"/>
              <w:bottom w:val="nil"/>
              <w:right w:val="nil"/>
            </w:tcBorders>
            <w:shd w:val="clear" w:color="auto" w:fill="1F5485"/>
            <w:vAlign w:val="center"/>
          </w:tcPr>
          <w:p w14:paraId="5229423D" w14:textId="77777777" w:rsidR="00260BF5" w:rsidRPr="00CC26F6" w:rsidRDefault="00260BF5" w:rsidP="00260BF5">
            <w:pPr>
              <w:pStyle w:val="CalloutBoxTitle"/>
              <w:rPr>
                <w:color w:val="FFFFFF" w:themeColor="background1"/>
              </w:rPr>
            </w:pPr>
            <w:r>
              <w:rPr>
                <w:color w:val="FFFFFF" w:themeColor="background1"/>
              </w:rPr>
              <w:t>Case Study: Capital Regional Climate Readiness Collaborative</w:t>
            </w:r>
          </w:p>
        </w:tc>
      </w:tr>
      <w:tr w:rsidR="00260BF5" w14:paraId="08BA20BF" w14:textId="77777777" w:rsidTr="00260BF5">
        <w:trPr>
          <w:jc w:val="right"/>
        </w:trPr>
        <w:tc>
          <w:tcPr>
            <w:tcW w:w="9360" w:type="dxa"/>
            <w:tcBorders>
              <w:top w:val="nil"/>
              <w:left w:val="nil"/>
              <w:bottom w:val="nil"/>
              <w:right w:val="nil"/>
            </w:tcBorders>
            <w:shd w:val="clear" w:color="auto" w:fill="DCEAF7"/>
          </w:tcPr>
          <w:p w14:paraId="6E8BEAC3" w14:textId="7EB98AAA" w:rsidR="00260BF5" w:rsidRPr="00760515" w:rsidRDefault="00260BF5" w:rsidP="00260BF5">
            <w:pPr>
              <w:spacing w:before="120" w:after="120"/>
            </w:pPr>
            <w:r>
              <w:t xml:space="preserve">The </w:t>
            </w:r>
            <w:hyperlink r:id="rId122">
              <w:r>
                <w:rPr>
                  <w:color w:val="3333FF"/>
                  <w:u w:val="single" w:color="3333FF"/>
                </w:rPr>
                <w:t>Capital Regional Climate Readiness Collaborative</w:t>
              </w:r>
            </w:hyperlink>
            <w:r>
              <w:t xml:space="preserve"> is a membership network encompassing 6 counties in the Sacramento Area: El Dorado, Placer, Sacramento, Sutter, Yolo, and Yuba. It is exploring strategies to bring economic sectors such as agriculture, manufacturing, government, professional services, and technology into climate resilience planning efforts. Working with these businesses</w:t>
            </w:r>
            <w:r>
              <w:rPr>
                <w:spacing w:val="-8"/>
              </w:rPr>
              <w:t xml:space="preserve"> </w:t>
            </w:r>
            <w:r>
              <w:t>is</w:t>
            </w:r>
            <w:r>
              <w:rPr>
                <w:spacing w:val="-8"/>
              </w:rPr>
              <w:t xml:space="preserve"> </w:t>
            </w:r>
            <w:r>
              <w:t>essential</w:t>
            </w:r>
            <w:r>
              <w:rPr>
                <w:spacing w:val="-9"/>
              </w:rPr>
              <w:t xml:space="preserve"> </w:t>
            </w:r>
            <w:r>
              <w:t>to</w:t>
            </w:r>
            <w:r>
              <w:rPr>
                <w:spacing w:val="-8"/>
              </w:rPr>
              <w:t xml:space="preserve"> </w:t>
            </w:r>
            <w:r>
              <w:t>preserve economic vitality of the region in the face of water scarcity, heat waves, extreme weather, and other climate change hazards. The Capital Regional Climate</w:t>
            </w:r>
            <w:r>
              <w:rPr>
                <w:spacing w:val="-17"/>
              </w:rPr>
              <w:t xml:space="preserve"> </w:t>
            </w:r>
            <w:r>
              <w:t>Readiness</w:t>
            </w:r>
            <w:r>
              <w:rPr>
                <w:spacing w:val="-17"/>
              </w:rPr>
              <w:t xml:space="preserve"> </w:t>
            </w:r>
            <w:r>
              <w:t>Collaborative coordinates with local and regional businesses to plan and prepare for disasters, invest in climate-smart</w:t>
            </w:r>
            <w:r>
              <w:rPr>
                <w:spacing w:val="-14"/>
              </w:rPr>
              <w:t xml:space="preserve"> </w:t>
            </w:r>
            <w:r>
              <w:t>strategies,</w:t>
            </w:r>
            <w:r>
              <w:rPr>
                <w:spacing w:val="-14"/>
              </w:rPr>
              <w:t xml:space="preserve"> </w:t>
            </w:r>
            <w:r>
              <w:t>promote green jobs, and encourage diversity in supply chains to increase economic resilience.</w:t>
            </w:r>
          </w:p>
        </w:tc>
      </w:tr>
    </w:tbl>
    <w:p w14:paraId="094C5C1D" w14:textId="77777777" w:rsidR="00332B67" w:rsidRDefault="00332B67" w:rsidP="00332B67">
      <w:pPr>
        <w:spacing w:before="160" w:line="240" w:lineRule="auto"/>
        <w:rPr>
          <w:b/>
        </w:rPr>
      </w:pPr>
    </w:p>
    <w:p w14:paraId="7D6D76DF" w14:textId="07337D22" w:rsidR="00507A4C" w:rsidRPr="00507A4C" w:rsidRDefault="00FB20D4" w:rsidP="008229BC">
      <w:pPr>
        <w:pStyle w:val="Heading3"/>
        <w:spacing w:after="160" w:line="240" w:lineRule="auto"/>
      </w:pPr>
      <w:bookmarkStart w:id="63" w:name="_Toc235802680"/>
      <w:r>
        <w:t>Step 1.3B: Developing a Community Outreach and Engagement Plan</w:t>
      </w:r>
      <w:bookmarkEnd w:id="63"/>
    </w:p>
    <w:p w14:paraId="345C4F4C" w14:textId="4D71C5D9" w:rsidR="00507A4C" w:rsidRPr="00507A4C" w:rsidRDefault="00507A4C" w:rsidP="008229BC">
      <w:pPr>
        <w:spacing w:before="160" w:line="240" w:lineRule="auto"/>
      </w:pPr>
      <w:r>
        <w:rPr>
          <w:szCs w:val="20"/>
        </w:rPr>
        <w:t xml:space="preserve">After the core planning team has been assembled and the partner mapping exercise is complete, a community outreach and engagement plan can be prepared. The plan can be simple, goal-oriented, and flexible to adapt over time. </w:t>
      </w:r>
      <w:r>
        <w:t>Ideally, as noted in the 2019 Regional Resilience Toolkit, an outreach and engagement plan should:</w:t>
      </w:r>
    </w:p>
    <w:p w14:paraId="545AE369" w14:textId="6424B5A2"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Identify partners (partner mapping is one method).</w:t>
      </w:r>
    </w:p>
    <w:p w14:paraId="3DD313F4"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Determine culturally appropriate outreach needs and strategies.</w:t>
      </w:r>
    </w:p>
    <w:p w14:paraId="65B14530"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Align planning and outreach messages to community values, priorities, and lived experiences.</w:t>
      </w:r>
    </w:p>
    <w:p w14:paraId="5CB84290" w14:textId="109F9446"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Establish clear outreach goals for each partner organization and broader community.</w:t>
      </w:r>
    </w:p>
    <w:p w14:paraId="23DE7F62"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Define how best to engage individuals and groups, including specific objectives and roles.</w:t>
      </w:r>
    </w:p>
    <w:p w14:paraId="29C989C0"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Identify the most effective engagement methods for each group, such as in-person meetings, digital communications, one-on-one conversations, or partnerships with trusted community-based organizations.</w:t>
      </w:r>
    </w:p>
    <w:p w14:paraId="33B6589A"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Describe how outreach and engagement activities will be coordinated with other planning efforts.</w:t>
      </w:r>
    </w:p>
    <w:p w14:paraId="7571DB37"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Assess the need for an advisory group, including its purpose, structure, and membership.</w:t>
      </w:r>
    </w:p>
    <w:p w14:paraId="2BF3D3EE"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Clarify the focus and intended outcomes of each event, or input opportunity.</w:t>
      </w:r>
    </w:p>
    <w:p w14:paraId="44160A2F" w14:textId="77777777" w:rsidR="00507A4C" w:rsidRPr="00507A4C" w:rsidRDefault="00507A4C">
      <w:pPr>
        <w:pStyle w:val="ListParagraph"/>
        <w:widowControl w:val="0"/>
        <w:numPr>
          <w:ilvl w:val="0"/>
          <w:numId w:val="33"/>
        </w:numPr>
        <w:autoSpaceDE w:val="0"/>
        <w:autoSpaceDN w:val="0"/>
        <w:spacing w:before="160" w:line="240" w:lineRule="auto"/>
        <w:ind w:left="720"/>
        <w:rPr>
          <w:szCs w:val="20"/>
        </w:rPr>
      </w:pPr>
      <w:r>
        <w:rPr>
          <w:szCs w:val="20"/>
        </w:rPr>
        <w:t xml:space="preserve">Provide a </w:t>
      </w:r>
      <w:r>
        <w:t>timeline</w:t>
      </w:r>
      <w:r>
        <w:rPr>
          <w:szCs w:val="20"/>
        </w:rPr>
        <w:t xml:space="preserve"> or schedule outlining activities, objectives, and responsible parties.</w:t>
      </w:r>
    </w:p>
    <w:p w14:paraId="1C9173CF" w14:textId="77777777" w:rsidR="00CF71BD" w:rsidRDefault="00CF71BD" w:rsidP="008229BC">
      <w:pPr>
        <w:spacing w:before="160" w:line="240" w:lineRule="auto"/>
        <w:rPr>
          <w:szCs w:val="20"/>
        </w:rPr>
      </w:pPr>
    </w:p>
    <w:p w14:paraId="28A7F725" w14:textId="1C685CB7" w:rsidR="00CF71BD" w:rsidRDefault="0056586D" w:rsidP="008229BC">
      <w:pPr>
        <w:pStyle w:val="Heading3"/>
        <w:spacing w:after="160" w:line="240" w:lineRule="auto"/>
      </w:pPr>
      <w:bookmarkStart w:id="64" w:name="_bookmark54"/>
      <w:bookmarkStart w:id="65" w:name="_Toc224722665"/>
      <w:bookmarkStart w:id="66" w:name="_Toc235802681"/>
      <w:bookmarkEnd w:id="64"/>
      <w:r>
        <w:t xml:space="preserve">Step 1.3C: </w:t>
      </w:r>
      <w:bookmarkEnd w:id="65"/>
      <w:r>
        <w:t>Developing Engagement and Outreach Activities</w:t>
      </w:r>
      <w:bookmarkEnd w:id="66"/>
    </w:p>
    <w:p w14:paraId="044334F8" w14:textId="017BB495" w:rsidR="00927C76" w:rsidRDefault="00CF71BD" w:rsidP="008229BC">
      <w:pPr>
        <w:pStyle w:val="BodyText"/>
        <w:spacing w:before="160" w:line="240" w:lineRule="auto"/>
      </w:pPr>
      <w:r>
        <w:t>Keeping partner mapping in mind is important for each outreach and engagement activity. Moreover, the core planning team should determine what they are trying to achieve and help set expectations for the public. For each engagement and outreach activity, ask the following questions:</w:t>
      </w:r>
    </w:p>
    <w:p w14:paraId="7908BBEE" w14:textId="77777777" w:rsidR="00AB15F7" w:rsidRDefault="3C7D1C7A">
      <w:pPr>
        <w:pStyle w:val="ListParagraph"/>
        <w:widowControl w:val="0"/>
        <w:numPr>
          <w:ilvl w:val="0"/>
          <w:numId w:val="33"/>
        </w:numPr>
        <w:tabs>
          <w:tab w:val="left" w:pos="1620"/>
        </w:tabs>
        <w:autoSpaceDE w:val="0"/>
        <w:autoSpaceDN w:val="0"/>
        <w:spacing w:before="160" w:line="240" w:lineRule="auto"/>
        <w:ind w:left="720"/>
      </w:pPr>
      <w:r>
        <w:t>What is the goal of the engagement? The outreach and engagement touchpoints throughout the phases suggest activities for specific goals.</w:t>
      </w:r>
    </w:p>
    <w:p w14:paraId="38B3B80B" w14:textId="0B9B25D5" w:rsidR="2EFC0EA7" w:rsidRDefault="736CCB24">
      <w:pPr>
        <w:pStyle w:val="ListParagraph"/>
        <w:widowControl w:val="0"/>
        <w:numPr>
          <w:ilvl w:val="0"/>
          <w:numId w:val="33"/>
        </w:numPr>
        <w:tabs>
          <w:tab w:val="left" w:pos="1620"/>
        </w:tabs>
        <w:autoSpaceDE w:val="0"/>
        <w:autoSpaceDN w:val="0"/>
        <w:spacing w:before="160" w:line="240" w:lineRule="auto"/>
        <w:ind w:left="720"/>
      </w:pPr>
      <w:r>
        <w:t>How will input be used?</w:t>
      </w:r>
    </w:p>
    <w:p w14:paraId="43D0A209" w14:textId="0EE5FECE" w:rsidR="00CF71BD" w:rsidRDefault="736CCB24">
      <w:pPr>
        <w:pStyle w:val="ListParagraph"/>
        <w:widowControl w:val="0"/>
        <w:numPr>
          <w:ilvl w:val="0"/>
          <w:numId w:val="33"/>
        </w:numPr>
        <w:tabs>
          <w:tab w:val="left" w:pos="1620"/>
        </w:tabs>
        <w:autoSpaceDE w:val="0"/>
        <w:autoSpaceDN w:val="0"/>
        <w:spacing w:before="160" w:line="240" w:lineRule="auto"/>
        <w:ind w:left="720"/>
      </w:pPr>
      <w:r>
        <w:t>What will come of it? Think beyond ‘updating a plan’ - articulate what this effort means to the community.</w:t>
      </w:r>
    </w:p>
    <w:p w14:paraId="6973B02D" w14:textId="02AF3E86" w:rsidR="00CF71BD" w:rsidRDefault="53001791" w:rsidP="008229BC">
      <w:pPr>
        <w:pStyle w:val="BodyText"/>
        <w:spacing w:before="160" w:line="240" w:lineRule="auto"/>
      </w:pPr>
      <w:r>
        <w:rPr>
          <w:rFonts w:eastAsia="Century Gothic" w:cs="Century Gothic"/>
          <w:color w:val="000000" w:themeColor="text1"/>
          <w:szCs w:val="24"/>
        </w:rPr>
        <w:t>It is critical to ensure community members understand the nature of the process being undertaken and what will come of it. They need to understand how exactly their input will be recorded and used.</w:t>
      </w:r>
    </w:p>
    <w:p w14:paraId="2289C8C4" w14:textId="0676593D" w:rsidR="00CF71BD" w:rsidRDefault="0A9D693A" w:rsidP="008229BC">
      <w:pPr>
        <w:pStyle w:val="BodyText"/>
        <w:spacing w:before="160" w:line="240" w:lineRule="auto"/>
      </w:pPr>
      <w:r>
        <w:t>After considering the goals of an activity, local agencies and communities need to decide what level of engagement is appropriate. Core activities and characteristics necessary to build a robust public engagement process include:</w:t>
      </w:r>
    </w:p>
    <w:p w14:paraId="1AE7C313" w14:textId="1306F991" w:rsidR="00CF71BD" w:rsidRDefault="250624AB">
      <w:pPr>
        <w:pStyle w:val="ListParagraph"/>
        <w:widowControl w:val="0"/>
        <w:numPr>
          <w:ilvl w:val="0"/>
          <w:numId w:val="33"/>
        </w:numPr>
        <w:tabs>
          <w:tab w:val="left" w:pos="1620"/>
        </w:tabs>
        <w:autoSpaceDE w:val="0"/>
        <w:autoSpaceDN w:val="0"/>
        <w:spacing w:before="160" w:line="240" w:lineRule="auto"/>
        <w:ind w:left="720"/>
      </w:pPr>
      <w:r>
        <w:t>Providing educational opportunities so community members understand climate risks, data, and planning goals.</w:t>
      </w:r>
    </w:p>
    <w:p w14:paraId="48336866" w14:textId="33AB0B45" w:rsidR="00CF71BD" w:rsidRDefault="250624AB">
      <w:pPr>
        <w:pStyle w:val="ListParagraph"/>
        <w:widowControl w:val="0"/>
        <w:numPr>
          <w:ilvl w:val="0"/>
          <w:numId w:val="33"/>
        </w:numPr>
        <w:tabs>
          <w:tab w:val="left" w:pos="1620"/>
        </w:tabs>
        <w:autoSpaceDE w:val="0"/>
        <w:autoSpaceDN w:val="0"/>
        <w:spacing w:before="160" w:line="240" w:lineRule="auto"/>
        <w:ind w:left="720"/>
      </w:pPr>
      <w:r>
        <w:t>Soliciting meaningful community input that influences analysis, priorities, and decisions.</w:t>
      </w:r>
    </w:p>
    <w:p w14:paraId="7738E93E" w14:textId="29B24401" w:rsidR="00CF71BD" w:rsidRDefault="00CF71BD">
      <w:pPr>
        <w:pStyle w:val="ListParagraph"/>
        <w:widowControl w:val="0"/>
        <w:numPr>
          <w:ilvl w:val="0"/>
          <w:numId w:val="33"/>
        </w:numPr>
        <w:tabs>
          <w:tab w:val="left" w:pos="1620"/>
        </w:tabs>
        <w:autoSpaceDE w:val="0"/>
        <w:autoSpaceDN w:val="0"/>
        <w:spacing w:before="160" w:line="240" w:lineRule="auto"/>
        <w:ind w:left="720"/>
      </w:pPr>
      <w:r>
        <w:t>Maintaining a direct method of communication with the community specifically for the climate adaptation planning effort.</w:t>
      </w:r>
    </w:p>
    <w:p w14:paraId="6095FCF1" w14:textId="221A62F4" w:rsidR="003A724C" w:rsidRPr="009011F6" w:rsidRDefault="003A724C">
      <w:pPr>
        <w:pStyle w:val="ListParagraph"/>
        <w:numPr>
          <w:ilvl w:val="0"/>
          <w:numId w:val="33"/>
        </w:numPr>
        <w:spacing w:before="80" w:after="80" w:line="240" w:lineRule="auto"/>
        <w:rPr>
          <w:rFonts w:ascii="Times New Roman" w:eastAsia="Times New Roman" w:hAnsi="Times New Roman" w:cs="Times New Roman"/>
          <w:kern w:val="0"/>
          <w:szCs w:val="24"/>
          <w14:ligatures w14:val="none"/>
        </w:rPr>
      </w:pPr>
      <w:r>
        <w:rPr>
          <w:rFonts w:eastAsia="Times New Roman" w:cs="Times New Roman"/>
          <w:color w:val="000000"/>
          <w:kern w:val="0"/>
          <w:szCs w:val="24"/>
          <w14:ligatures w14:val="none"/>
        </w:rPr>
        <w:t>Building trust in the engagement process includes a final step of responding to contributors and commenters on how their feedback was incorporated, combined with other feedback, or determined to be out of scope.</w:t>
      </w:r>
    </w:p>
    <w:p w14:paraId="4B81F11B" w14:textId="42AE9DB4" w:rsidR="009011F6" w:rsidRDefault="00CF71BD" w:rsidP="008229BC">
      <w:pPr>
        <w:pStyle w:val="BodyText"/>
        <w:spacing w:before="160" w:line="240" w:lineRule="auto"/>
      </w:pPr>
      <w:r>
        <w:t>Outreach can include, but is not limited to, in-person and virtual meetings on specific topics or geographic areas, roundtables, listening sessions, forums, community festivals, workshops, or pop-up events.</w:t>
      </w:r>
      <w:bookmarkStart w:id="67" w:name="_bookmark55"/>
      <w:bookmarkEnd w:id="67"/>
    </w:p>
    <w:tbl>
      <w:tblPr>
        <w:tblStyle w:val="TableGrid"/>
        <w:tblW w:w="0" w:type="auto"/>
        <w:tblLayout w:type="fixed"/>
        <w:tblLook w:val="04A0" w:firstRow="1" w:lastRow="0" w:firstColumn="1" w:lastColumn="0" w:noHBand="0" w:noVBand="1"/>
      </w:tblPr>
      <w:tblGrid>
        <w:gridCol w:w="9450"/>
      </w:tblGrid>
      <w:tr w:rsidR="00201170" w14:paraId="7D000001" w14:textId="77777777" w:rsidTr="20389150">
        <w:trPr>
          <w:trHeight w:val="576"/>
        </w:trPr>
        <w:tc>
          <w:tcPr>
            <w:tcW w:w="9450" w:type="dxa"/>
            <w:tcBorders>
              <w:top w:val="nil"/>
              <w:left w:val="nil"/>
              <w:bottom w:val="nil"/>
              <w:right w:val="nil"/>
            </w:tcBorders>
            <w:shd w:val="clear" w:color="auto" w:fill="404040" w:themeFill="text1" w:themeFillTint="BF"/>
            <w:vAlign w:val="center"/>
          </w:tcPr>
          <w:p w14:paraId="5A09F6DE" w14:textId="3BC82B15" w:rsidR="00201170" w:rsidRDefault="00201170">
            <w:pPr>
              <w:pStyle w:val="CalloutBoxTitle"/>
              <w:rPr>
                <w:color w:val="FFFFFF" w:themeColor="background1"/>
              </w:rPr>
            </w:pPr>
            <w:r>
              <w:rPr>
                <w:color w:val="FFFFFF" w:themeColor="background1"/>
              </w:rPr>
              <w:t>Equity assessment for climate adaptation planning</w:t>
            </w:r>
          </w:p>
        </w:tc>
      </w:tr>
      <w:tr w:rsidR="00201170" w14:paraId="7D000002" w14:textId="77777777" w:rsidTr="20389150">
        <w:tc>
          <w:tcPr>
            <w:tcW w:w="9450" w:type="dxa"/>
            <w:tcBorders>
              <w:top w:val="nil"/>
              <w:left w:val="nil"/>
              <w:bottom w:val="nil"/>
              <w:right w:val="nil"/>
            </w:tcBorders>
            <w:shd w:val="clear" w:color="auto" w:fill="F2F2F2" w:themeFill="background1" w:themeFillShade="F2"/>
          </w:tcPr>
          <w:p w14:paraId="7382ADBC" w14:textId="77777777" w:rsidR="00201170" w:rsidRPr="00201170" w:rsidRDefault="00201170" w:rsidP="00201170">
            <w:pPr>
              <w:spacing w:before="120"/>
              <w:rPr>
                <w:color w:val="000000" w:themeColor="text1"/>
              </w:rPr>
            </w:pPr>
            <w:r>
              <w:rPr>
                <w:color w:val="000000" w:themeColor="text1"/>
              </w:rPr>
              <w:t xml:space="preserve">Consider incorporating an </w:t>
            </w:r>
            <w:r>
              <w:rPr>
                <w:b/>
                <w:bCs/>
                <w:color w:val="000000" w:themeColor="text1"/>
              </w:rPr>
              <w:t>equity assessment</w:t>
            </w:r>
            <w:r>
              <w:rPr>
                <w:color w:val="000000" w:themeColor="text1"/>
              </w:rPr>
              <w:t xml:space="preserve"> into your adaptation planning process to better understand how climate risks, adaptation benefits, and potential burdens are distributed across communities. An equity assessment can help identify disproportionately affected populations, inform equitable outreach and engagement, and ensure adaptation strategies advance resilience without exacerbating existing disparities.</w:t>
            </w:r>
          </w:p>
          <w:p w14:paraId="13D2FF41" w14:textId="1DF066B5" w:rsidR="00584E4E" w:rsidRDefault="610D7257" w:rsidP="008229BC">
            <w:pPr>
              <w:spacing w:before="160" w:after="160"/>
              <w:rPr>
                <w:color w:val="000000" w:themeColor="text1"/>
              </w:rPr>
            </w:pPr>
            <w:r w:rsidRPr="20389150">
              <w:rPr>
                <w:color w:val="000000" w:themeColor="text1"/>
              </w:rPr>
              <w:t xml:space="preserve">The </w:t>
            </w:r>
            <w:hyperlink r:id="rId123">
              <w:r w:rsidR="740A7710" w:rsidRPr="20389150">
                <w:rPr>
                  <w:rStyle w:val="Hyperlink"/>
                </w:rPr>
                <w:t>Regional Shoreline Adaptation Plan requires an Equity Assessment</w:t>
              </w:r>
            </w:hyperlink>
            <w:r w:rsidRPr="20389150">
              <w:rPr>
                <w:color w:val="000000" w:themeColor="text1"/>
              </w:rPr>
              <w:t xml:space="preserve"> as part of its minimum standards and integrates equity throughout the planning process, including equitable outreach and engagement, existing conditions, vulnerability assessment, adaptation strategies, implementation, and project prioritization. Section 3.3.3 of the Minimum Standards provides a useful example that governments can adapt to their own planning efforts</w:t>
            </w:r>
            <w:r w:rsidR="1B0B978D" w:rsidRPr="20389150">
              <w:rPr>
                <w:color w:val="000000" w:themeColor="text1"/>
              </w:rPr>
              <w:t>.</w:t>
            </w:r>
          </w:p>
        </w:tc>
      </w:tr>
    </w:tbl>
    <w:p w14:paraId="7D000003" w14:textId="77777777" w:rsidR="00201170" w:rsidRDefault="00201170">
      <w:pPr>
        <w:spacing w:before="160" w:line="240" w:lineRule="auto"/>
      </w:pPr>
    </w:p>
    <w:tbl>
      <w:tblPr>
        <w:tblStyle w:val="TableGrid"/>
        <w:tblW w:w="9540" w:type="dxa"/>
        <w:tblInd w:w="-90" w:type="dxa"/>
        <w:tblLook w:val="04A0" w:firstRow="1" w:lastRow="0" w:firstColumn="1" w:lastColumn="0" w:noHBand="0" w:noVBand="1"/>
      </w:tblPr>
      <w:tblGrid>
        <w:gridCol w:w="9540"/>
      </w:tblGrid>
      <w:tr w:rsidR="00322019" w:rsidRPr="00AE513B" w14:paraId="2650CC76" w14:textId="77777777" w:rsidTr="0092096A">
        <w:trPr>
          <w:trHeight w:val="504"/>
        </w:trPr>
        <w:tc>
          <w:tcPr>
            <w:tcW w:w="9540" w:type="dxa"/>
            <w:tcBorders>
              <w:top w:val="nil"/>
              <w:left w:val="nil"/>
              <w:bottom w:val="nil"/>
              <w:right w:val="nil"/>
            </w:tcBorders>
            <w:shd w:val="clear" w:color="auto" w:fill="1F5383"/>
            <w:vAlign w:val="center"/>
          </w:tcPr>
          <w:p w14:paraId="3E1E2A7D" w14:textId="56FBDF91" w:rsidR="00322019" w:rsidRPr="00AE513B" w:rsidRDefault="00322019" w:rsidP="00304E37">
            <w:pPr>
              <w:rPr>
                <w:rStyle w:val="Heading3Char"/>
                <w:b w:val="0"/>
                <w:bCs/>
                <w:color w:val="FFFFFF" w:themeColor="background1"/>
                <w:sz w:val="24"/>
                <w:szCs w:val="24"/>
              </w:rPr>
            </w:pPr>
            <w:r>
              <w:rPr>
                <w:b/>
                <w:bCs/>
                <w:color w:val="FFFFFF" w:themeColor="background1"/>
              </w:rPr>
              <w:t>Case Study: Marin County Multi-Jurisdictional Hazard Mitigation Plan’s</w:t>
            </w:r>
            <w:r>
              <w:rPr>
                <w:rStyle w:val="Heading3Char"/>
                <w:b w:val="0"/>
                <w:bCs/>
                <w:color w:val="FFFFFF" w:themeColor="background1"/>
                <w:sz w:val="24"/>
                <w:szCs w:val="24"/>
              </w:rPr>
              <w:t xml:space="preserve"> </w:t>
            </w:r>
            <w:r>
              <w:rPr>
                <w:b/>
                <w:bCs/>
                <w:color w:val="FFFFFF" w:themeColor="background1"/>
              </w:rPr>
              <w:t>Equity and Whole Community Approach</w:t>
            </w:r>
          </w:p>
        </w:tc>
      </w:tr>
      <w:tr w:rsidR="00322019" w:rsidRPr="00C11E8A" w14:paraId="312FF741" w14:textId="77777777" w:rsidTr="0092096A">
        <w:tc>
          <w:tcPr>
            <w:tcW w:w="9540" w:type="dxa"/>
            <w:tcBorders>
              <w:top w:val="nil"/>
              <w:left w:val="nil"/>
              <w:bottom w:val="nil"/>
              <w:right w:val="nil"/>
            </w:tcBorders>
            <w:shd w:val="clear" w:color="auto" w:fill="DCEAF7"/>
          </w:tcPr>
          <w:p w14:paraId="04C0968C" w14:textId="79FE79D1" w:rsidR="00322019" w:rsidRPr="0023742A" w:rsidRDefault="00322019" w:rsidP="006E2CA5">
            <w:pPr>
              <w:spacing w:before="120" w:after="120"/>
            </w:pPr>
            <w:r>
              <w:t xml:space="preserve">During the development of </w:t>
            </w:r>
            <w:hyperlink r:id="rId124" w:history="1">
              <w:r>
                <w:rPr>
                  <w:rStyle w:val="Hyperlink"/>
                  <w:i/>
                </w:rPr>
                <w:t>Marin County Operational Area Multi-Jurisdictional Hazard Mitigation Plan 2023</w:t>
              </w:r>
            </w:hyperlink>
            <w:r>
              <w:t>, the Marin County Office of Emergency Management (OEM) and the Steering Committee prioritized equity and engagement of the whole community. As a means to reach as many members of the community as possible, Marin County OEM required that services be universally designed and delivered from the beginning to allow for the greatest level of engagement and feedback possible. Elements of the equity approach included:</w:t>
            </w:r>
          </w:p>
          <w:p w14:paraId="6B5C3DDE" w14:textId="77777777" w:rsidR="00322019" w:rsidRPr="00C63513" w:rsidRDefault="00322019">
            <w:pPr>
              <w:pStyle w:val="ListParagraph"/>
              <w:widowControl w:val="0"/>
              <w:numPr>
                <w:ilvl w:val="0"/>
                <w:numId w:val="33"/>
              </w:numPr>
              <w:tabs>
                <w:tab w:val="left" w:pos="1620"/>
              </w:tabs>
              <w:autoSpaceDE w:val="0"/>
              <w:autoSpaceDN w:val="0"/>
              <w:spacing w:before="120" w:after="160"/>
              <w:ind w:left="720"/>
            </w:pPr>
            <w:r>
              <w:t xml:space="preserve">The County provided </w:t>
            </w:r>
            <w:r>
              <w:rPr>
                <w:bCs/>
              </w:rPr>
              <w:t>multiple</w:t>
            </w:r>
            <w:r>
              <w:t xml:space="preserve"> means for public engagement via hybrid meetings (in-person meetings with a virtual attendance and comment option).</w:t>
            </w:r>
          </w:p>
          <w:p w14:paraId="4CBE52A7" w14:textId="77777777" w:rsidR="00322019" w:rsidRPr="00C63513" w:rsidRDefault="00322019">
            <w:pPr>
              <w:pStyle w:val="ListParagraph"/>
              <w:widowControl w:val="0"/>
              <w:numPr>
                <w:ilvl w:val="0"/>
                <w:numId w:val="33"/>
              </w:numPr>
              <w:tabs>
                <w:tab w:val="left" w:pos="1620"/>
              </w:tabs>
              <w:autoSpaceDE w:val="0"/>
              <w:autoSpaceDN w:val="0"/>
              <w:spacing w:before="160" w:after="160"/>
              <w:ind w:left="720"/>
            </w:pPr>
            <w:r>
              <w:t xml:space="preserve">All </w:t>
            </w:r>
            <w:r>
              <w:rPr>
                <w:bCs/>
              </w:rPr>
              <w:t>presentations</w:t>
            </w:r>
            <w:r>
              <w:t xml:space="preserve"> were accompanied by American Sign Language (ASL), Closed-Captioning, and Spanish Interpretation.</w:t>
            </w:r>
          </w:p>
          <w:p w14:paraId="3C75A4D0" w14:textId="77777777" w:rsidR="00322019" w:rsidRPr="00C63513" w:rsidRDefault="00322019">
            <w:pPr>
              <w:pStyle w:val="ListParagraph"/>
              <w:widowControl w:val="0"/>
              <w:numPr>
                <w:ilvl w:val="0"/>
                <w:numId w:val="33"/>
              </w:numPr>
              <w:tabs>
                <w:tab w:val="left" w:pos="1620"/>
              </w:tabs>
              <w:autoSpaceDE w:val="0"/>
              <w:autoSpaceDN w:val="0"/>
              <w:spacing w:before="160" w:after="160"/>
              <w:ind w:left="720"/>
            </w:pPr>
            <w:r>
              <w:rPr>
                <w:bCs/>
              </w:rPr>
              <w:t>Presentations</w:t>
            </w:r>
            <w:r>
              <w:t xml:space="preserve"> were reviewed by accessibility professionals prior to broadcasting to ensure the documents were able to be read by screen-readers.</w:t>
            </w:r>
          </w:p>
          <w:p w14:paraId="084098BB" w14:textId="77777777" w:rsidR="00322019" w:rsidRPr="00C63513" w:rsidRDefault="00322019">
            <w:pPr>
              <w:pStyle w:val="ListParagraph"/>
              <w:widowControl w:val="0"/>
              <w:numPr>
                <w:ilvl w:val="0"/>
                <w:numId w:val="33"/>
              </w:numPr>
              <w:tabs>
                <w:tab w:val="left" w:pos="1620"/>
              </w:tabs>
              <w:autoSpaceDE w:val="0"/>
              <w:autoSpaceDN w:val="0"/>
              <w:spacing w:before="160" w:after="160"/>
              <w:ind w:left="720"/>
            </w:pPr>
            <w:r>
              <w:t xml:space="preserve">All </w:t>
            </w:r>
            <w:r>
              <w:rPr>
                <w:bCs/>
              </w:rPr>
              <w:t>presentations</w:t>
            </w:r>
            <w:r>
              <w:t xml:space="preserve"> were available online and recorded for people who may not have been able to attend the live presentations.</w:t>
            </w:r>
          </w:p>
        </w:tc>
      </w:tr>
    </w:tbl>
    <w:p w14:paraId="57590F0B" w14:textId="77777777" w:rsidR="009011F6" w:rsidRPr="001C0B97" w:rsidRDefault="009011F6" w:rsidP="006E2CA5">
      <w:pPr>
        <w:spacing w:after="0" w:line="240" w:lineRule="auto"/>
        <w:rPr>
          <w:sz w:val="16"/>
          <w:szCs w:val="14"/>
        </w:rPr>
      </w:pPr>
    </w:p>
    <w:tbl>
      <w:tblPr>
        <w:tblStyle w:val="TableGrid"/>
        <w:tblW w:w="9540" w:type="dxa"/>
        <w:tblInd w:w="-90" w:type="dxa"/>
        <w:tblLook w:val="04A0" w:firstRow="1" w:lastRow="0" w:firstColumn="1" w:lastColumn="0" w:noHBand="0" w:noVBand="1"/>
      </w:tblPr>
      <w:tblGrid>
        <w:gridCol w:w="9540"/>
      </w:tblGrid>
      <w:tr w:rsidR="006E2CA5" w:rsidRPr="0029332D" w14:paraId="38ACE32A" w14:textId="77777777" w:rsidTr="0092096A">
        <w:trPr>
          <w:trHeight w:val="504"/>
        </w:trPr>
        <w:tc>
          <w:tcPr>
            <w:tcW w:w="9540" w:type="dxa"/>
            <w:tcBorders>
              <w:top w:val="nil"/>
              <w:left w:val="nil"/>
              <w:bottom w:val="nil"/>
              <w:right w:val="nil"/>
            </w:tcBorders>
            <w:shd w:val="clear" w:color="auto" w:fill="1F5383"/>
            <w:vAlign w:val="center"/>
          </w:tcPr>
          <w:p w14:paraId="0ACEC01E" w14:textId="77777777" w:rsidR="006E2CA5" w:rsidRPr="0029332D" w:rsidRDefault="006E2CA5" w:rsidP="00304E37">
            <w:pPr>
              <w:rPr>
                <w:b/>
                <w:bCs/>
                <w:iCs/>
                <w:color w:val="FFFFFF" w:themeColor="background1"/>
              </w:rPr>
            </w:pPr>
            <w:r>
              <w:rPr>
                <w:b/>
                <w:bCs/>
                <w:iCs/>
                <w:color w:val="FFFFFF" w:themeColor="background1"/>
              </w:rPr>
              <w:t>Case Study: City of Los Angeles Vulnerability Assessment</w:t>
            </w:r>
          </w:p>
        </w:tc>
      </w:tr>
      <w:tr w:rsidR="006E2CA5" w14:paraId="4859C272" w14:textId="77777777" w:rsidTr="0092096A">
        <w:tc>
          <w:tcPr>
            <w:tcW w:w="9540" w:type="dxa"/>
            <w:tcBorders>
              <w:top w:val="nil"/>
              <w:left w:val="nil"/>
              <w:bottom w:val="nil"/>
              <w:right w:val="nil"/>
            </w:tcBorders>
            <w:shd w:val="clear" w:color="auto" w:fill="DCEAF7"/>
          </w:tcPr>
          <w:p w14:paraId="5B9398CC" w14:textId="7C3A7D03" w:rsidR="006E2CA5" w:rsidRDefault="002A31D5" w:rsidP="00304E37">
            <w:pPr>
              <w:spacing w:before="120" w:after="120"/>
              <w:rPr>
                <w:iCs/>
              </w:rPr>
            </w:pPr>
            <w:r>
              <w:rPr>
                <w:iCs/>
              </w:rPr>
              <w:t xml:space="preserve">The City of Los Angeles’ </w:t>
            </w:r>
            <w:hyperlink r:id="rId125" w:tgtFrame="_blank" w:history="1">
              <w:r>
                <w:rPr>
                  <w:rStyle w:val="Hyperlink"/>
                  <w:i/>
                  <w:iCs/>
                </w:rPr>
                <w:t>Climate Vulnerability Assessment 2024</w:t>
              </w:r>
            </w:hyperlink>
            <w:r>
              <w:t xml:space="preserve"> had a community engagement process in which the Community Partners Program played a key role in identifying needs and developing equitable climate adaptation strategies co-created with those most affected by climate impacts. The community partners include the </w:t>
            </w:r>
            <w:proofErr w:type="spellStart"/>
            <w:r>
              <w:t>Fernandeño</w:t>
            </w:r>
            <w:proofErr w:type="spellEnd"/>
            <w:r>
              <w:t xml:space="preserve"> </w:t>
            </w:r>
            <w:proofErr w:type="spellStart"/>
            <w:r>
              <w:t>Tataviam</w:t>
            </w:r>
            <w:proofErr w:type="spellEnd"/>
            <w:r>
              <w:t xml:space="preserve"> Band of Mission Indians, Pacoima Beautiful, Promesa Boyle Heights, Rising Communities, Strategic Concepts in Organizing and Policy Education, and Strength Based Community Change. These CBOs led outreach in their respective communities, leveraging local expertise and trusted relationships to engage vulnerable populations. Through this process, they gathered lived experiences from unhoused individuals, LGBTQIA+ residents, and outdoor farmworkers; reviewed climate data; identified gaps; and facilitated discussions to co-develop strategies grounded in community priorities.</w:t>
            </w:r>
          </w:p>
        </w:tc>
      </w:tr>
    </w:tbl>
    <w:p w14:paraId="1CDF3E0C" w14:textId="2F277E67" w:rsidR="00563CFC" w:rsidRDefault="00563CFC" w:rsidP="001C0B97">
      <w:pPr>
        <w:spacing w:before="160" w:line="240" w:lineRule="auto"/>
        <w:rPr>
          <w:rStyle w:val="Heading3Char"/>
          <w:color w:val="auto"/>
          <w:sz w:val="24"/>
          <w:szCs w:val="24"/>
        </w:rPr>
      </w:pPr>
      <w:r>
        <w:t xml:space="preserve">It is helpful to think of outreach and engagement activities existing along a spectrum of participation, rather than as a single approach. The 2024 </w:t>
      </w:r>
      <w:hyperlink r:id="rId126" w:history="1">
        <w:r>
          <w:rPr>
            <w:rStyle w:val="Hyperlink"/>
          </w:rPr>
          <w:t>International Association for Public Participation (IAP2) Spectrum</w:t>
        </w:r>
      </w:hyperlink>
      <w:r>
        <w:t xml:space="preserve"> (</w:t>
      </w:r>
      <w:r>
        <w:rPr>
          <w:u w:val="single"/>
        </w:rPr>
        <w:fldChar w:fldCharType="begin"/>
      </w:r>
      <w:r>
        <w:rPr>
          <w:u w:val="single"/>
        </w:rPr>
        <w:instrText xml:space="preserve"> REF _Ref229408283 \h  \* MERGEFORMAT </w:instrText>
      </w:r>
      <w:r>
        <w:rPr>
          <w:u w:val="single"/>
        </w:rPr>
      </w:r>
      <w:r>
        <w:rPr>
          <w:u w:val="single"/>
        </w:rPr>
        <w:fldChar w:fldCharType="separate"/>
      </w:r>
      <w:r w:rsidR="00517691" w:rsidRPr="00517691">
        <w:rPr>
          <w:iCs/>
          <w:szCs w:val="24"/>
          <w:u w:val="single"/>
        </w:rPr>
        <w:t>Figure 7</w:t>
      </w:r>
      <w:r>
        <w:rPr>
          <w:u w:val="single"/>
        </w:rPr>
        <w:fldChar w:fldCharType="end"/>
      </w:r>
      <w:r>
        <w:t>) is a widely used conceptual model that illustrates different levels of public participation, ranging from providing information to deferring decision-making authority to the public. It can help guide decisions on what level of engagement and participation is appropriate for the goals.</w:t>
      </w:r>
    </w:p>
    <w:p w14:paraId="2D4FF2CD" w14:textId="77777777" w:rsidR="00A50B4C" w:rsidRDefault="00A50B4C" w:rsidP="00BB5ACB">
      <w:pPr>
        <w:pStyle w:val="BodyText"/>
        <w:spacing w:after="0" w:line="240" w:lineRule="auto"/>
        <w:rPr>
          <w:rStyle w:val="Heading3Char"/>
          <w:color w:val="auto"/>
          <w:sz w:val="24"/>
          <w:szCs w:val="24"/>
        </w:rPr>
        <w:sectPr w:rsidR="00A50B4C" w:rsidSect="007F0E62">
          <w:pgSz w:w="12240" w:h="15840" w:code="1"/>
          <w:pgMar w:top="1440" w:right="1440" w:bottom="1440" w:left="1440" w:header="720" w:footer="720" w:gutter="0"/>
          <w:cols w:space="720"/>
          <w:docGrid w:linePitch="360"/>
        </w:sectPr>
      </w:pPr>
    </w:p>
    <w:tbl>
      <w:tblPr>
        <w:tblStyle w:val="TableGrid"/>
        <w:tblW w:w="13855" w:type="dxa"/>
        <w:tblInd w:w="-275" w:type="dxa"/>
        <w:tblLook w:val="04A0" w:firstRow="1" w:lastRow="0" w:firstColumn="1" w:lastColumn="0" w:noHBand="0" w:noVBand="1"/>
      </w:tblPr>
      <w:tblGrid>
        <w:gridCol w:w="13855"/>
      </w:tblGrid>
      <w:tr w:rsidR="00DB4477" w14:paraId="7E0F1840" w14:textId="77777777" w:rsidTr="20389150">
        <w:trPr>
          <w:trHeight w:val="432"/>
        </w:trPr>
        <w:tc>
          <w:tcPr>
            <w:tcW w:w="13855" w:type="dxa"/>
            <w:shd w:val="clear" w:color="auto" w:fill="000000" w:themeFill="text1"/>
            <w:vAlign w:val="center"/>
          </w:tcPr>
          <w:p w14:paraId="298F6B2B" w14:textId="204F3697" w:rsidR="00DB4477" w:rsidRPr="00406DB6" w:rsidRDefault="003F6688" w:rsidP="00BB5ACB">
            <w:pPr>
              <w:pStyle w:val="BodyText"/>
              <w:rPr>
                <w:b/>
                <w:bCs/>
                <w:iCs/>
              </w:rPr>
            </w:pPr>
            <w:bookmarkStart w:id="68" w:name="_Ref229408283"/>
            <w:r>
              <w:rPr>
                <w:b/>
                <w:bCs/>
                <w:iCs/>
              </w:rPr>
              <w:t xml:space="preserve">Figure </w:t>
            </w:r>
            <w:r>
              <w:rPr>
                <w:b/>
                <w:bCs/>
                <w:iCs/>
              </w:rPr>
              <w:fldChar w:fldCharType="begin"/>
            </w:r>
            <w:r>
              <w:rPr>
                <w:b/>
                <w:bCs/>
                <w:iCs/>
              </w:rPr>
              <w:instrText xml:space="preserve"> SEQ Figure \* ARABIC </w:instrText>
            </w:r>
            <w:r>
              <w:rPr>
                <w:b/>
                <w:bCs/>
                <w:iCs/>
              </w:rPr>
              <w:fldChar w:fldCharType="separate"/>
            </w:r>
            <w:r w:rsidR="00517691">
              <w:rPr>
                <w:b/>
                <w:bCs/>
                <w:iCs/>
                <w:noProof/>
              </w:rPr>
              <w:t>7</w:t>
            </w:r>
            <w:r>
              <w:rPr>
                <w:b/>
                <w:bCs/>
                <w:iCs/>
              </w:rPr>
              <w:fldChar w:fldCharType="end"/>
            </w:r>
            <w:bookmarkEnd w:id="68"/>
            <w:r>
              <w:rPr>
                <w:b/>
                <w:bCs/>
                <w:iCs/>
              </w:rPr>
              <w:t>. IAP2 Spectrum illustrating different levels of public participation</w:t>
            </w:r>
          </w:p>
        </w:tc>
      </w:tr>
      <w:tr w:rsidR="00DB4477" w14:paraId="0D92718C" w14:textId="77777777" w:rsidTr="20389150">
        <w:trPr>
          <w:trHeight w:val="7829"/>
        </w:trPr>
        <w:tc>
          <w:tcPr>
            <w:tcW w:w="13855" w:type="dxa"/>
          </w:tcPr>
          <w:p w14:paraId="5567030A" w14:textId="49809701" w:rsidR="008229BC" w:rsidRPr="0063609B" w:rsidRDefault="008229BC" w:rsidP="00BB5ACB">
            <w:pPr>
              <w:pStyle w:val="BodyText"/>
              <w:rPr>
                <w:rStyle w:val="Heading3Char"/>
                <w:color w:val="auto"/>
                <w:sz w:val="24"/>
                <w:szCs w:val="24"/>
              </w:rPr>
            </w:pPr>
            <w:r>
              <w:rPr>
                <w:rFonts w:eastAsiaTheme="majorEastAsia" w:cstheme="majorBidi"/>
                <w:i/>
                <w:noProof/>
                <w:color w:val="0F4761" w:themeColor="accent1" w:themeShade="BF"/>
              </w:rPr>
              <mc:AlternateContent>
                <mc:Choice Requires="wps">
                  <w:drawing>
                    <wp:anchor distT="0" distB="0" distL="114300" distR="114300" simplePos="0" relativeHeight="251658258" behindDoc="0" locked="0" layoutInCell="1" allowOverlap="1" wp14:anchorId="461AB1E5" wp14:editId="06369B82">
                      <wp:simplePos x="0" y="0"/>
                      <wp:positionH relativeFrom="column">
                        <wp:posOffset>299720</wp:posOffset>
                      </wp:positionH>
                      <wp:positionV relativeFrom="paragraph">
                        <wp:posOffset>86612</wp:posOffset>
                      </wp:positionV>
                      <wp:extent cx="8080375" cy="628650"/>
                      <wp:effectExtent l="0" t="0" r="0" b="0"/>
                      <wp:wrapNone/>
                      <wp:docPr id="1150861233" name="Arrow: Right 3" descr="Arrow going left to right showing increasing impact on the decision"/>
                      <wp:cNvGraphicFramePr/>
                      <a:graphic xmlns:a="http://schemas.openxmlformats.org/drawingml/2006/main">
                        <a:graphicData uri="http://schemas.microsoft.com/office/word/2010/wordprocessingShape">
                          <wps:wsp>
                            <wps:cNvSpPr/>
                            <wps:spPr>
                              <a:xfrm>
                                <a:off x="0" y="0"/>
                                <a:ext cx="8080375" cy="628650"/>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A594CE" w14:textId="77777777" w:rsidR="00DB4477" w:rsidRPr="00B21F99" w:rsidRDefault="00DB4477" w:rsidP="00DB4477">
                                  <w:pPr>
                                    <w:spacing w:after="0"/>
                                    <w:jc w:val="center"/>
                                    <w:rPr>
                                      <w:b/>
                                      <w:bCs/>
                                    </w:rPr>
                                  </w:pPr>
                                  <w:r>
                                    <w:rPr>
                                      <w:b/>
                                      <w:bCs/>
                                    </w:rPr>
                                    <w:t>Increasing Impact on the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AB1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30" type="#_x0000_t13" alt="Arrow going left to right showing increasing impact on the decision" style="position:absolute;margin-left:23.6pt;margin-top:6.8pt;width:636.25pt;height:4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" adj="20760" fillcolor="#156082 [3204]" stroked="f" strokeweight="1pt">
                      <v:textbox>
                        <w:txbxContent>
                          <w:p w14:paraId="56A594CE" w14:textId="77777777" w:rsidR="00DB4477" w:rsidRPr="00B21F99" w:rsidRDefault="00DB4477" w:rsidP="00DB4477">
                            <w:pPr>
                              <w:spacing w:after="0"/>
                              <w:jc w:val="center"/>
                              <w:rPr>
                                <w:b/>
                                <w:bCs/>
                              </w:rPr>
                            </w:pPr>
                            <w:r>
                              <w:rPr>
                                <w:b/>
                                <w:bCs/>
                              </w:rPr>
                              <w:t>Increasing Impact on the Decision</w:t>
                            </w:r>
                          </w:p>
                        </w:txbxContent>
                      </v:textbox>
                    </v:shape>
                  </w:pict>
                </mc:Fallback>
              </mc:AlternateContent>
            </w:r>
          </w:p>
          <w:p w14:paraId="242241F8" w14:textId="5B2F87FB" w:rsidR="00DB4477" w:rsidRPr="0063609B" w:rsidRDefault="00DB4477" w:rsidP="00BB5ACB">
            <w:pPr>
              <w:pStyle w:val="BodyText"/>
              <w:rPr>
                <w:rStyle w:val="Heading3Char"/>
                <w:color w:val="auto"/>
                <w:sz w:val="24"/>
                <w:szCs w:val="24"/>
              </w:rPr>
            </w:pPr>
          </w:p>
          <w:p w14:paraId="51497E2A" w14:textId="77777777" w:rsidR="00DB4477" w:rsidRPr="0063609B" w:rsidRDefault="00DB4477" w:rsidP="00BB5ACB">
            <w:pPr>
              <w:pStyle w:val="BodyText"/>
              <w:rPr>
                <w:rStyle w:val="Heading3Char"/>
                <w:color w:val="auto"/>
                <w:sz w:val="24"/>
                <w:szCs w:val="24"/>
              </w:rPr>
            </w:pPr>
          </w:p>
          <w:p w14:paraId="0B79FE82" w14:textId="77777777" w:rsidR="00DB4477" w:rsidRPr="0063609B" w:rsidRDefault="00DB4477" w:rsidP="00BB5ACB">
            <w:pPr>
              <w:pStyle w:val="BodyText"/>
              <w:rPr>
                <w:rStyle w:val="Heading3Char"/>
                <w:color w:val="auto"/>
                <w:sz w:val="24"/>
                <w:szCs w:val="24"/>
              </w:rPr>
            </w:pPr>
          </w:p>
          <w:p w14:paraId="62256E42" w14:textId="77777777" w:rsidR="00DB4477" w:rsidRPr="006F6974" w:rsidRDefault="00DB4477" w:rsidP="00BB5ACB">
            <w:pPr>
              <w:pStyle w:val="BodyText"/>
              <w:rPr>
                <w:rStyle w:val="Heading3Char"/>
                <w:sz w:val="12"/>
                <w:szCs w:val="12"/>
              </w:rPr>
            </w:pPr>
          </w:p>
          <w:tbl>
            <w:tblPr>
              <w:tblStyle w:val="TableGrid"/>
              <w:tblpPr w:leftFromText="180" w:rightFromText="180" w:vertAnchor="text" w:horzAnchor="margin" w:tblpY="-135"/>
              <w:tblOverlap w:val="never"/>
              <w:tblW w:w="13603" w:type="dxa"/>
              <w:tblLook w:val="04A0" w:firstRow="1" w:lastRow="0" w:firstColumn="1" w:lastColumn="0" w:noHBand="0" w:noVBand="1"/>
            </w:tblPr>
            <w:tblGrid>
              <w:gridCol w:w="1785"/>
              <w:gridCol w:w="2260"/>
              <w:gridCol w:w="2853"/>
              <w:gridCol w:w="2576"/>
              <w:gridCol w:w="2364"/>
              <w:gridCol w:w="1765"/>
            </w:tblGrid>
            <w:tr w:rsidR="00DB4477" w14:paraId="6CC234DB" w14:textId="77777777" w:rsidTr="00024C23">
              <w:tc>
                <w:tcPr>
                  <w:tcW w:w="1785" w:type="dxa"/>
                </w:tcPr>
                <w:p w14:paraId="5103BA2F" w14:textId="77777777" w:rsidR="00DB4477" w:rsidRDefault="00DB4477" w:rsidP="00BB5ACB">
                  <w:pPr>
                    <w:pStyle w:val="BodyText"/>
                  </w:pPr>
                </w:p>
              </w:tc>
              <w:tc>
                <w:tcPr>
                  <w:tcW w:w="2260" w:type="dxa"/>
                </w:tcPr>
                <w:p w14:paraId="170A7F9C" w14:textId="77777777" w:rsidR="00DB4477" w:rsidRPr="00F10FB7" w:rsidRDefault="00DB4477" w:rsidP="00BB5ACB">
                  <w:pPr>
                    <w:pStyle w:val="BodyText"/>
                  </w:pPr>
                  <w:r>
                    <w:t>Inform</w:t>
                  </w:r>
                </w:p>
              </w:tc>
              <w:tc>
                <w:tcPr>
                  <w:tcW w:w="2853" w:type="dxa"/>
                </w:tcPr>
                <w:p w14:paraId="08CE31AE" w14:textId="77777777" w:rsidR="00DB4477" w:rsidRPr="00F10FB7" w:rsidRDefault="00DB4477" w:rsidP="00BB5ACB">
                  <w:pPr>
                    <w:pStyle w:val="BodyText"/>
                  </w:pPr>
                  <w:r>
                    <w:t>Consult</w:t>
                  </w:r>
                </w:p>
              </w:tc>
              <w:tc>
                <w:tcPr>
                  <w:tcW w:w="2576" w:type="dxa"/>
                </w:tcPr>
                <w:p w14:paraId="6954A7EA" w14:textId="77777777" w:rsidR="00DB4477" w:rsidRPr="00F10FB7" w:rsidRDefault="00DB4477" w:rsidP="00BB5ACB">
                  <w:pPr>
                    <w:pStyle w:val="BodyText"/>
                  </w:pPr>
                  <w:r>
                    <w:t>Involve</w:t>
                  </w:r>
                </w:p>
              </w:tc>
              <w:tc>
                <w:tcPr>
                  <w:tcW w:w="2364" w:type="dxa"/>
                </w:tcPr>
                <w:p w14:paraId="6FBAB5B0" w14:textId="77777777" w:rsidR="00DB4477" w:rsidRPr="00F10FB7" w:rsidRDefault="00DB4477" w:rsidP="00BB5ACB">
                  <w:pPr>
                    <w:pStyle w:val="BodyText"/>
                  </w:pPr>
                  <w:r>
                    <w:t>Collaborate</w:t>
                  </w:r>
                </w:p>
              </w:tc>
              <w:tc>
                <w:tcPr>
                  <w:tcW w:w="1765" w:type="dxa"/>
                </w:tcPr>
                <w:p w14:paraId="68D9208A" w14:textId="77777777" w:rsidR="00DB4477" w:rsidRPr="00F10FB7" w:rsidRDefault="00DB4477" w:rsidP="00BB5ACB">
                  <w:pPr>
                    <w:pStyle w:val="BodyText"/>
                  </w:pPr>
                  <w:r>
                    <w:t>Empower</w:t>
                  </w:r>
                </w:p>
              </w:tc>
            </w:tr>
            <w:tr w:rsidR="00DB4477" w14:paraId="7035AB91" w14:textId="77777777" w:rsidTr="00024C23">
              <w:tc>
                <w:tcPr>
                  <w:tcW w:w="1785" w:type="dxa"/>
                </w:tcPr>
                <w:p w14:paraId="7172B6E2" w14:textId="2E513F9F" w:rsidR="00DB4477" w:rsidRPr="00F10FB7" w:rsidRDefault="00DB4477" w:rsidP="00BB5ACB">
                  <w:pPr>
                    <w:pStyle w:val="BodyText"/>
                  </w:pPr>
                  <w:r>
                    <w:t>Public Participation Goal</w:t>
                  </w:r>
                </w:p>
              </w:tc>
              <w:tc>
                <w:tcPr>
                  <w:tcW w:w="2260" w:type="dxa"/>
                </w:tcPr>
                <w:p w14:paraId="58DEE9B8" w14:textId="6892F0A6" w:rsidR="00DB4477" w:rsidRDefault="00DB4477" w:rsidP="00BB5ACB">
                  <w:pPr>
                    <w:pStyle w:val="BodyText"/>
                  </w:pPr>
                  <w:r>
                    <w:t>To provide the public with balanced and objective information to assist them in understanding the problem, alternatives, opportunities, and/or solutions.</w:t>
                  </w:r>
                </w:p>
              </w:tc>
              <w:tc>
                <w:tcPr>
                  <w:tcW w:w="2853" w:type="dxa"/>
                </w:tcPr>
                <w:p w14:paraId="7AB92E27" w14:textId="56D901ED" w:rsidR="00DB4477" w:rsidRDefault="00DB4477" w:rsidP="00BB5ACB">
                  <w:pPr>
                    <w:pStyle w:val="BodyText"/>
                  </w:pPr>
                  <w:r>
                    <w:t>To obtain public feedback on analysis, alternatives, and/or decisions.</w:t>
                  </w:r>
                </w:p>
              </w:tc>
              <w:tc>
                <w:tcPr>
                  <w:tcW w:w="2576" w:type="dxa"/>
                </w:tcPr>
                <w:p w14:paraId="2D2C871B" w14:textId="3EF6E410" w:rsidR="00DB4477" w:rsidRDefault="00DB4477" w:rsidP="00BB5ACB">
                  <w:pPr>
                    <w:pStyle w:val="BodyText"/>
                  </w:pPr>
                  <w:r>
                    <w:t>To work directly with the public throughout the process to ensure that public concerns and aspirations are consistently understood and considered.</w:t>
                  </w:r>
                </w:p>
              </w:tc>
              <w:tc>
                <w:tcPr>
                  <w:tcW w:w="2364" w:type="dxa"/>
                </w:tcPr>
                <w:p w14:paraId="2047D0E1" w14:textId="657F5DD3" w:rsidR="00DB4477" w:rsidRDefault="00DB4477" w:rsidP="00BB5ACB">
                  <w:pPr>
                    <w:pStyle w:val="BodyText"/>
                  </w:pPr>
                  <w:r>
                    <w:t>To partner with the public in each aspect of the decision, including the development of alternatives and the identification of the preferred solution.</w:t>
                  </w:r>
                </w:p>
              </w:tc>
              <w:tc>
                <w:tcPr>
                  <w:tcW w:w="1765" w:type="dxa"/>
                </w:tcPr>
                <w:p w14:paraId="7E2518CF" w14:textId="486F316B" w:rsidR="00DB4477" w:rsidRDefault="00DB4477" w:rsidP="00BB5ACB">
                  <w:pPr>
                    <w:pStyle w:val="BodyText"/>
                  </w:pPr>
                  <w:r>
                    <w:t>To place final decision making in the hands of the public.</w:t>
                  </w:r>
                </w:p>
              </w:tc>
            </w:tr>
            <w:tr w:rsidR="00DB4477" w14:paraId="5133BF37" w14:textId="77777777" w:rsidTr="00024C23">
              <w:tc>
                <w:tcPr>
                  <w:tcW w:w="1785" w:type="dxa"/>
                </w:tcPr>
                <w:p w14:paraId="5603C8F1" w14:textId="687B8816" w:rsidR="00DB4477" w:rsidRPr="00F10FB7" w:rsidRDefault="00DB4477" w:rsidP="00BB5ACB">
                  <w:pPr>
                    <w:pStyle w:val="BodyText"/>
                  </w:pPr>
                  <w:r>
                    <w:t>Promise to the Public</w:t>
                  </w:r>
                </w:p>
              </w:tc>
              <w:tc>
                <w:tcPr>
                  <w:tcW w:w="2260" w:type="dxa"/>
                </w:tcPr>
                <w:p w14:paraId="6A40BBB6" w14:textId="5BEBB732" w:rsidR="00DB4477" w:rsidRDefault="00DB4477" w:rsidP="00BB5ACB">
                  <w:pPr>
                    <w:pStyle w:val="BodyText"/>
                  </w:pPr>
                  <w:r>
                    <w:t>We will keep you informed.</w:t>
                  </w:r>
                </w:p>
              </w:tc>
              <w:tc>
                <w:tcPr>
                  <w:tcW w:w="2853" w:type="dxa"/>
                </w:tcPr>
                <w:p w14:paraId="506E201D" w14:textId="18F4EAA4" w:rsidR="00DB4477" w:rsidRDefault="00DB4477" w:rsidP="00BB5ACB">
                  <w:pPr>
                    <w:pStyle w:val="BodyText"/>
                  </w:pPr>
                  <w:r>
                    <w:t>We will keep you informed, listen to and acknowledge concerns and aspirations, and provide feedback on how public input influenced the decision. We will seek your feedback on drafts and proposals.</w:t>
                  </w:r>
                </w:p>
              </w:tc>
              <w:tc>
                <w:tcPr>
                  <w:tcW w:w="2576" w:type="dxa"/>
                </w:tcPr>
                <w:p w14:paraId="2BD2E110" w14:textId="111B8727" w:rsidR="00DB4477" w:rsidRDefault="00DB4477" w:rsidP="00BB5ACB">
                  <w:pPr>
                    <w:pStyle w:val="BodyText"/>
                  </w:pPr>
                  <w:r>
                    <w:t>We will work with you to ensure that your concerns and aspirations are directly reflected in the alternatives developed and provide feedback on how public input influenced the decision.</w:t>
                  </w:r>
                </w:p>
              </w:tc>
              <w:tc>
                <w:tcPr>
                  <w:tcW w:w="2364" w:type="dxa"/>
                </w:tcPr>
                <w:p w14:paraId="5410E533" w14:textId="0DB68FAE" w:rsidR="00DB4477" w:rsidRDefault="00DB4477" w:rsidP="00BB5ACB">
                  <w:pPr>
                    <w:pStyle w:val="BodyText"/>
                  </w:pPr>
                  <w:r>
                    <w:t>We will work together with you to formulate solutions and incorporate your advice and recommendations into the decisions to the maximum extent possible.</w:t>
                  </w:r>
                </w:p>
              </w:tc>
              <w:tc>
                <w:tcPr>
                  <w:tcW w:w="1765" w:type="dxa"/>
                </w:tcPr>
                <w:p w14:paraId="2735ACD2" w14:textId="170A91A4" w:rsidR="00DB4477" w:rsidRDefault="00DB4477" w:rsidP="00BB5ACB">
                  <w:pPr>
                    <w:pStyle w:val="BodyText"/>
                  </w:pPr>
                  <w:r>
                    <w:t>We will implement what you decide.</w:t>
                  </w:r>
                </w:p>
              </w:tc>
            </w:tr>
          </w:tbl>
          <w:p w14:paraId="493B9365" w14:textId="77777777" w:rsidR="00DB4477" w:rsidRDefault="00DB4477" w:rsidP="00BB5ACB">
            <w:pPr>
              <w:pStyle w:val="BodyText"/>
            </w:pPr>
          </w:p>
        </w:tc>
      </w:tr>
    </w:tbl>
    <w:p w14:paraId="32F12ADF" w14:textId="77777777" w:rsidR="003F6688" w:rsidRDefault="003F6688" w:rsidP="00BB5ACB">
      <w:pPr>
        <w:pStyle w:val="BodyText"/>
        <w:spacing w:after="0" w:line="240" w:lineRule="auto"/>
        <w:rPr>
          <w:rStyle w:val="Heading3Char"/>
          <w:color w:val="auto"/>
          <w:sz w:val="24"/>
          <w:szCs w:val="24"/>
        </w:rPr>
        <w:sectPr w:rsidR="003F6688" w:rsidSect="003F6688">
          <w:pgSz w:w="15840" w:h="12240" w:orient="landscape"/>
          <w:pgMar w:top="1440" w:right="1440" w:bottom="1440" w:left="1440" w:header="720" w:footer="720" w:gutter="0"/>
          <w:cols w:space="720"/>
          <w:docGrid w:linePitch="360"/>
        </w:sectPr>
      </w:pPr>
    </w:p>
    <w:p w14:paraId="7DE5D63E" w14:textId="645A7291" w:rsidR="00357622" w:rsidRPr="002D3EF6" w:rsidRDefault="00615CE8" w:rsidP="008229BC">
      <w:pPr>
        <w:pStyle w:val="Heading4"/>
        <w:spacing w:after="160" w:line="240" w:lineRule="auto"/>
      </w:pPr>
      <w:r>
        <w:t>Effective Strategies to Meet Communities Where They Are</w:t>
      </w:r>
    </w:p>
    <w:p w14:paraId="7A55420B" w14:textId="67CA12F2" w:rsidR="004942B6" w:rsidRPr="00B17CBE" w:rsidRDefault="003D101D" w:rsidP="008229BC">
      <w:pPr>
        <w:spacing w:before="160" w:line="240" w:lineRule="auto"/>
      </w:pPr>
      <w:r>
        <w:t>Effective public engagement and outreach strategies will differ depending on the community, local culture, and geographic region. Strategies will also differ depending on the current and historic political climate and topic being addressed. To support a comprehensive climate adaptation planning process and foster long-term community resilience and trust, it is important to reach all members of the community.</w:t>
      </w:r>
    </w:p>
    <w:p w14:paraId="58A35B77" w14:textId="5B8C3EE8" w:rsidR="00622E48" w:rsidRPr="00622E48" w:rsidRDefault="1DF61696" w:rsidP="00484432">
      <w:pPr>
        <w:spacing w:before="160" w:line="240" w:lineRule="auto"/>
      </w:pPr>
      <w:r>
        <w:t>Equity in adaptation planning requires actively removing barriers so that all community members can participate in, access, and benefit from the planning process. Equity challenges should be identified and addressed continuously, rather than treated as a one-time task. Above all, it is important to meet a community where it is at. Effective and equitable engagement requires intentional design. The following list includes best practices to ensure outreach efforts are accessible and inclusive.</w:t>
      </w:r>
    </w:p>
    <w:p w14:paraId="22837640" w14:textId="413A7DB3" w:rsidR="00DA681E" w:rsidRPr="00DA681E" w:rsidRDefault="00622E48" w:rsidP="00DA0E28">
      <w:pPr>
        <w:pStyle w:val="BodyText"/>
        <w:spacing w:before="160" w:after="0" w:line="240" w:lineRule="auto"/>
      </w:pPr>
      <w:r>
        <w:rPr>
          <w:b/>
          <w:bCs/>
        </w:rPr>
        <w:t>Communication and Information Access</w:t>
      </w:r>
    </w:p>
    <w:p w14:paraId="1C4FB6D1" w14:textId="4E45B829" w:rsidR="00622E48" w:rsidRPr="00622E48" w:rsidRDefault="00622E48">
      <w:pPr>
        <w:pStyle w:val="ListParagraph"/>
        <w:widowControl w:val="0"/>
        <w:numPr>
          <w:ilvl w:val="0"/>
          <w:numId w:val="33"/>
        </w:numPr>
        <w:tabs>
          <w:tab w:val="left" w:pos="1620"/>
        </w:tabs>
        <w:autoSpaceDE w:val="0"/>
        <w:autoSpaceDN w:val="0"/>
        <w:spacing w:line="240" w:lineRule="auto"/>
        <w:ind w:left="720"/>
      </w:pPr>
      <w:r>
        <w:t>Use clear, simple language and avoid technical jargon.</w:t>
      </w:r>
    </w:p>
    <w:p w14:paraId="2062EAA2" w14:textId="77777777" w:rsidR="00D238E7" w:rsidRDefault="00622E48">
      <w:pPr>
        <w:pStyle w:val="ListParagraph"/>
        <w:widowControl w:val="0"/>
        <w:numPr>
          <w:ilvl w:val="0"/>
          <w:numId w:val="33"/>
        </w:numPr>
        <w:tabs>
          <w:tab w:val="left" w:pos="1620"/>
        </w:tabs>
        <w:autoSpaceDE w:val="0"/>
        <w:autoSpaceDN w:val="0"/>
        <w:spacing w:before="160" w:line="240" w:lineRule="auto"/>
        <w:ind w:left="720"/>
      </w:pPr>
      <w:r>
        <w:t xml:space="preserve">Utilize trusted communication channels such as local radio, community newsletters, social media, and newspapers.  </w:t>
      </w:r>
    </w:p>
    <w:p w14:paraId="6014005D" w14:textId="5D54985E" w:rsidR="00622E48" w:rsidRDefault="00622E48">
      <w:pPr>
        <w:pStyle w:val="ListParagraph"/>
        <w:widowControl w:val="0"/>
        <w:numPr>
          <w:ilvl w:val="0"/>
          <w:numId w:val="33"/>
        </w:numPr>
        <w:tabs>
          <w:tab w:val="left" w:pos="1620"/>
        </w:tabs>
        <w:autoSpaceDE w:val="0"/>
        <w:autoSpaceDN w:val="0"/>
        <w:spacing w:before="160" w:line="240" w:lineRule="auto"/>
        <w:ind w:left="720"/>
      </w:pPr>
      <w:r>
        <w:t>Offer multilingual translation and interpretation for materials and meetings. These translations should reflect the languages most commonly spoken by the community the planning team is doing outreach in.</w:t>
      </w:r>
    </w:p>
    <w:p w14:paraId="55F089DE" w14:textId="0334C8BB" w:rsidR="000B6FFE" w:rsidRPr="00622E48" w:rsidRDefault="000B6FFE">
      <w:pPr>
        <w:pStyle w:val="ListParagraph"/>
        <w:widowControl w:val="0"/>
        <w:numPr>
          <w:ilvl w:val="0"/>
          <w:numId w:val="33"/>
        </w:numPr>
        <w:tabs>
          <w:tab w:val="left" w:pos="1620"/>
        </w:tabs>
        <w:autoSpaceDE w:val="0"/>
        <w:autoSpaceDN w:val="0"/>
        <w:spacing w:before="160" w:line="240" w:lineRule="auto"/>
        <w:ind w:left="720"/>
      </w:pPr>
      <w:r>
        <w:t xml:space="preserve">Ensure meetings, materials and activities are accessible to people with disabilities by providing closed captioning, sign language interpretation, accessible documents, assistive listening devices, and above all, opportunities for individuals to request additional accommodation. </w:t>
      </w:r>
    </w:p>
    <w:p w14:paraId="2B17A47C" w14:textId="77777777" w:rsidR="005C3E3C" w:rsidRDefault="005C3E3C" w:rsidP="00025F92">
      <w:pPr>
        <w:pStyle w:val="BodyText"/>
        <w:spacing w:before="160" w:after="0" w:line="240" w:lineRule="auto"/>
        <w:rPr>
          <w:b/>
          <w:bCs/>
        </w:rPr>
      </w:pPr>
    </w:p>
    <w:tbl>
      <w:tblPr>
        <w:tblStyle w:val="TableGrid"/>
        <w:tblW w:w="0" w:type="auto"/>
        <w:tblLayout w:type="fixed"/>
        <w:tblLook w:val="04A0" w:firstRow="1" w:lastRow="0" w:firstColumn="1" w:lastColumn="0" w:noHBand="0" w:noVBand="1"/>
      </w:tblPr>
      <w:tblGrid>
        <w:gridCol w:w="9450"/>
      </w:tblGrid>
      <w:tr w:rsidR="005C3E3C" w14:paraId="7C000002" w14:textId="77777777">
        <w:trPr>
          <w:trHeight w:val="576"/>
        </w:trPr>
        <w:tc>
          <w:tcPr>
            <w:tcW w:w="9450" w:type="dxa"/>
            <w:tcBorders>
              <w:top w:val="nil"/>
              <w:left w:val="nil"/>
              <w:bottom w:val="nil"/>
              <w:right w:val="nil"/>
            </w:tcBorders>
            <w:shd w:val="clear" w:color="auto" w:fill="14581C"/>
            <w:vAlign w:val="center"/>
          </w:tcPr>
          <w:p w14:paraId="7C000001" w14:textId="77777777" w:rsidR="005C3E3C" w:rsidRDefault="005C3E3C">
            <w:pPr>
              <w:pStyle w:val="CalloutBoxTitle"/>
              <w:rPr>
                <w:color w:val="FFFFFF" w:themeColor="background1"/>
              </w:rPr>
            </w:pPr>
            <w:r>
              <w:rPr>
                <w:color w:val="FFFFFF" w:themeColor="background1"/>
              </w:rPr>
              <w:t>Practitioner resource — The Adaptation Roadmap</w:t>
            </w:r>
          </w:p>
        </w:tc>
      </w:tr>
      <w:tr w:rsidR="005C3E3C" w14:paraId="7C000003" w14:textId="77777777">
        <w:tc>
          <w:tcPr>
            <w:tcW w:w="9450" w:type="dxa"/>
            <w:tcBorders>
              <w:top w:val="nil"/>
              <w:left w:val="nil"/>
              <w:bottom w:val="nil"/>
              <w:right w:val="nil"/>
            </w:tcBorders>
            <w:shd w:val="clear" w:color="auto" w:fill="C2F1C8"/>
          </w:tcPr>
          <w:p w14:paraId="58A582DC" w14:textId="77777777" w:rsidR="005C3E3C" w:rsidRPr="001918BC" w:rsidRDefault="005C3E3C" w:rsidP="005C3E3C">
            <w:pPr>
              <w:spacing w:before="120" w:line="278" w:lineRule="auto"/>
              <w:rPr>
                <w:color w:val="000000" w:themeColor="text1"/>
              </w:rPr>
            </w:pPr>
            <w:r>
              <w:rPr>
                <w:b/>
                <w:bCs/>
                <w:color w:val="000000" w:themeColor="text1"/>
              </w:rPr>
              <w:t>Centering People in Decision-Making</w:t>
            </w:r>
          </w:p>
          <w:p w14:paraId="609A071D" w14:textId="77777777" w:rsidR="005C3E3C" w:rsidRPr="001918BC" w:rsidRDefault="005C3E3C" w:rsidP="005C3E3C">
            <w:pPr>
              <w:spacing w:line="278" w:lineRule="auto"/>
              <w:rPr>
                <w:color w:val="000000" w:themeColor="text1"/>
              </w:rPr>
            </w:pPr>
            <w:r>
              <w:rPr>
                <w:color w:val="000000" w:themeColor="text1"/>
              </w:rPr>
              <w:t>Effective adaptation planning is grounded in community values, lived experiences, and local knowledge. The Adaptation Roadmap provides practitioners with tools and guidance for designing collaborative and equitable planning processes, including strategies for meaningful engagement, effective communication, and incorporating diverse perspectives into adaptation decisions.</w:t>
            </w:r>
          </w:p>
          <w:p w14:paraId="100FD188" w14:textId="5574FD15" w:rsidR="005C3E3C" w:rsidRPr="001918BC" w:rsidRDefault="005C3E3C" w:rsidP="005C3E3C">
            <w:pPr>
              <w:spacing w:after="160"/>
              <w:rPr>
                <w:color w:val="000000" w:themeColor="text1"/>
              </w:rPr>
            </w:pPr>
            <w:r>
              <w:rPr>
                <w:b/>
                <w:bCs/>
                <w:color w:val="000000" w:themeColor="text1"/>
              </w:rPr>
              <w:t>Learn more:</w:t>
            </w:r>
            <w:r>
              <w:rPr>
                <w:color w:val="000000" w:themeColor="text1"/>
              </w:rPr>
              <w:t xml:space="preserve"> </w:t>
            </w:r>
            <w:hyperlink r:id="rId127" w:history="1">
              <w:r>
                <w:rPr>
                  <w:rStyle w:val="Hyperlink"/>
                </w:rPr>
                <w:t>Adaptation Roadmap: A Practitioner's Guide to Plan and Implement a Collaborative, Equitable, Integrative, and Flexible Approach to Sea Level Rise Adaptation</w:t>
              </w:r>
            </w:hyperlink>
          </w:p>
        </w:tc>
      </w:tr>
    </w:tbl>
    <w:p w14:paraId="7A5EEABD" w14:textId="11BD35FF" w:rsidR="00622E48" w:rsidRPr="00622E48" w:rsidRDefault="00622E48" w:rsidP="00025F92">
      <w:pPr>
        <w:pStyle w:val="BodyText"/>
        <w:spacing w:before="160" w:after="0" w:line="240" w:lineRule="auto"/>
      </w:pPr>
      <w:r>
        <w:rPr>
          <w:b/>
          <w:bCs/>
        </w:rPr>
        <w:t>Partnerships and Community Trust</w:t>
      </w:r>
    </w:p>
    <w:p w14:paraId="266057A3" w14:textId="4CE50F68" w:rsidR="00622E48" w:rsidRPr="00622E48" w:rsidRDefault="00622E48">
      <w:pPr>
        <w:pStyle w:val="ListParagraph"/>
        <w:widowControl w:val="0"/>
        <w:numPr>
          <w:ilvl w:val="0"/>
          <w:numId w:val="33"/>
        </w:numPr>
        <w:tabs>
          <w:tab w:val="left" w:pos="1620"/>
        </w:tabs>
        <w:autoSpaceDE w:val="0"/>
        <w:autoSpaceDN w:val="0"/>
        <w:spacing w:line="240" w:lineRule="auto"/>
        <w:ind w:left="720"/>
      </w:pPr>
      <w:r>
        <w:t>Consider partnering with other local organizations to put on an event, including with local businesses, restaurants, and associations. Many agencies often contract engagement to community-based organizations that already have a strong presence in the community. Think about leveraging existing relationships in the community.</w:t>
      </w:r>
    </w:p>
    <w:p w14:paraId="590ECF2C" w14:textId="2002CEEE" w:rsidR="00622E48" w:rsidRPr="00622E48" w:rsidRDefault="00622E48" w:rsidP="00025F92">
      <w:pPr>
        <w:pStyle w:val="BodyText"/>
        <w:spacing w:after="0" w:line="240" w:lineRule="auto"/>
      </w:pPr>
      <w:r>
        <w:rPr>
          <w:b/>
          <w:bCs/>
        </w:rPr>
        <w:t>Meeting Format and Scheduling</w:t>
      </w:r>
    </w:p>
    <w:p w14:paraId="282EA55A" w14:textId="16300B96" w:rsidR="00622E48" w:rsidRPr="00622E48" w:rsidRDefault="00622E48">
      <w:pPr>
        <w:pStyle w:val="ListParagraph"/>
        <w:widowControl w:val="0"/>
        <w:numPr>
          <w:ilvl w:val="0"/>
          <w:numId w:val="33"/>
        </w:numPr>
        <w:tabs>
          <w:tab w:val="left" w:pos="1620"/>
        </w:tabs>
        <w:autoSpaceDE w:val="0"/>
        <w:autoSpaceDN w:val="0"/>
        <w:spacing w:line="240" w:lineRule="auto"/>
        <w:ind w:left="720"/>
      </w:pPr>
      <w:r>
        <w:t>Offer meetings at varied times (daytime, evening, weekend) based on what would work best for the community. Again, try to meet community members where they are at. If people usually grocery shop in the evening after work, one option is to set up a booth outside the shop from 6-8 PM. Be aware of major employment patterns and how they affect availability. For example, in agricultural areas, Saturday meetings may not work during harvest season.</w:t>
      </w:r>
    </w:p>
    <w:p w14:paraId="208A236C" w14:textId="426C6D93" w:rsidR="00622E48" w:rsidRPr="00622E48" w:rsidRDefault="00622E48">
      <w:pPr>
        <w:pStyle w:val="ListParagraph"/>
        <w:widowControl w:val="0"/>
        <w:numPr>
          <w:ilvl w:val="0"/>
          <w:numId w:val="33"/>
        </w:numPr>
        <w:tabs>
          <w:tab w:val="left" w:pos="1620"/>
        </w:tabs>
        <w:autoSpaceDE w:val="0"/>
        <w:autoSpaceDN w:val="0"/>
        <w:spacing w:before="160" w:line="240" w:lineRule="auto"/>
        <w:ind w:left="720"/>
      </w:pPr>
      <w:r>
        <w:t>Provide alternatives to in-person engagement when in-person gatherings are inaccessible or create barriers to engagement with vulnerable populations.</w:t>
      </w:r>
    </w:p>
    <w:p w14:paraId="6E7DA2C6" w14:textId="42221DC3" w:rsidR="00622E48" w:rsidRPr="00622E48" w:rsidRDefault="00622E48" w:rsidP="00EE1D14">
      <w:pPr>
        <w:pStyle w:val="BodyText"/>
        <w:spacing w:after="0" w:line="240" w:lineRule="auto"/>
      </w:pPr>
      <w:r>
        <w:rPr>
          <w:b/>
          <w:bCs/>
        </w:rPr>
        <w:t>Location and Transportation Accessibility</w:t>
      </w:r>
    </w:p>
    <w:p w14:paraId="64DA7D24" w14:textId="5CE5373C" w:rsidR="00622E48" w:rsidRPr="00622E48" w:rsidRDefault="00622E48">
      <w:pPr>
        <w:pStyle w:val="ListParagraph"/>
        <w:widowControl w:val="0"/>
        <w:numPr>
          <w:ilvl w:val="0"/>
          <w:numId w:val="33"/>
        </w:numPr>
        <w:tabs>
          <w:tab w:val="left" w:pos="1620"/>
        </w:tabs>
        <w:autoSpaceDE w:val="0"/>
        <w:autoSpaceDN w:val="0"/>
        <w:spacing w:line="240" w:lineRule="auto"/>
        <w:ind w:left="720"/>
      </w:pPr>
      <w:r>
        <w:t>Host events in familiar, accessible locations (libraries, community centers, schools, churches, farmers’ markets).</w:t>
      </w:r>
    </w:p>
    <w:p w14:paraId="2CFFA79E" w14:textId="36F14295" w:rsidR="00622E48" w:rsidRDefault="00622E48">
      <w:pPr>
        <w:pStyle w:val="ListParagraph"/>
        <w:widowControl w:val="0"/>
        <w:numPr>
          <w:ilvl w:val="0"/>
          <w:numId w:val="33"/>
        </w:numPr>
        <w:tabs>
          <w:tab w:val="left" w:pos="1620"/>
        </w:tabs>
        <w:autoSpaceDE w:val="0"/>
        <w:autoSpaceDN w:val="0"/>
        <w:spacing w:before="160" w:line="240" w:lineRule="auto"/>
        <w:ind w:left="720"/>
      </w:pPr>
      <w:r>
        <w:t>Ensure locations are accessible by multiple modes of transportation. Especially if car ownership is low, hold meetings within walking distance or on transit lines. When possible, arrange vans or provide travel stipends to support participation.</w:t>
      </w:r>
    </w:p>
    <w:p w14:paraId="0E4BD559" w14:textId="77777777" w:rsidR="00A827CF" w:rsidRPr="00622E48" w:rsidRDefault="00A827CF">
      <w:pPr>
        <w:pStyle w:val="ListParagraph"/>
        <w:widowControl w:val="0"/>
        <w:numPr>
          <w:ilvl w:val="0"/>
          <w:numId w:val="33"/>
        </w:numPr>
        <w:tabs>
          <w:tab w:val="left" w:pos="1620"/>
        </w:tabs>
        <w:autoSpaceDE w:val="0"/>
        <w:autoSpaceDN w:val="0"/>
        <w:spacing w:before="160" w:line="240" w:lineRule="auto"/>
        <w:ind w:left="720"/>
      </w:pPr>
      <w:r>
        <w:t xml:space="preserve">When possible, build upon existing community events and gatherings instead of creating new opportunities for engagement. This approach can reduce participation barriers and reach more community members. </w:t>
      </w:r>
    </w:p>
    <w:p w14:paraId="66CE348F" w14:textId="7973B1D9" w:rsidR="00622E48" w:rsidRPr="00622E48" w:rsidRDefault="00622E48" w:rsidP="00EE1D14">
      <w:pPr>
        <w:pStyle w:val="BodyText"/>
        <w:spacing w:after="0" w:line="240" w:lineRule="auto"/>
      </w:pPr>
      <w:r>
        <w:rPr>
          <w:b/>
          <w:bCs/>
        </w:rPr>
        <w:t>Family and Youth</w:t>
      </w:r>
    </w:p>
    <w:p w14:paraId="0FC33BD3" w14:textId="075659B7" w:rsidR="00622E48" w:rsidRPr="00622E48" w:rsidRDefault="00622E48">
      <w:pPr>
        <w:pStyle w:val="ListParagraph"/>
        <w:widowControl w:val="0"/>
        <w:numPr>
          <w:ilvl w:val="0"/>
          <w:numId w:val="33"/>
        </w:numPr>
        <w:tabs>
          <w:tab w:val="left" w:pos="1620"/>
        </w:tabs>
        <w:autoSpaceDE w:val="0"/>
        <w:autoSpaceDN w:val="0"/>
        <w:spacing w:line="240" w:lineRule="auto"/>
        <w:ind w:left="720"/>
      </w:pPr>
      <w:r>
        <w:t>Recognize that childcare is critical for participation in communities with many young children. When planning events, consider offering childcare services, youth activities, or youth engagement opportunities.</w:t>
      </w:r>
    </w:p>
    <w:p w14:paraId="4FDADA61" w14:textId="3997EBA6" w:rsidR="00622E48" w:rsidRPr="00CF7723" w:rsidRDefault="00622E48" w:rsidP="00025F92">
      <w:pPr>
        <w:pStyle w:val="BodyText"/>
        <w:spacing w:after="0" w:line="240" w:lineRule="auto"/>
        <w:rPr>
          <w:b/>
        </w:rPr>
      </w:pPr>
      <w:r>
        <w:rPr>
          <w:b/>
          <w:bCs/>
        </w:rPr>
        <w:t>Food</w:t>
      </w:r>
      <w:r>
        <w:rPr>
          <w:b/>
        </w:rPr>
        <w:t xml:space="preserve"> and Beverages</w:t>
      </w:r>
    </w:p>
    <w:p w14:paraId="19F89514" w14:textId="60CAC01C" w:rsidR="00622E48" w:rsidRPr="00622E48" w:rsidRDefault="00622E48">
      <w:pPr>
        <w:pStyle w:val="ListParagraph"/>
        <w:widowControl w:val="0"/>
        <w:numPr>
          <w:ilvl w:val="0"/>
          <w:numId w:val="33"/>
        </w:numPr>
        <w:tabs>
          <w:tab w:val="left" w:pos="1620"/>
        </w:tabs>
        <w:autoSpaceDE w:val="0"/>
        <w:autoSpaceDN w:val="0"/>
        <w:spacing w:line="240" w:lineRule="auto"/>
        <w:ind w:left="720"/>
      </w:pPr>
      <w:r>
        <w:t>When possible, offer food and beverages to participants.</w:t>
      </w:r>
    </w:p>
    <w:p w14:paraId="707BF1EF" w14:textId="7D1D8A52" w:rsidR="00622E48" w:rsidRPr="00622E48" w:rsidRDefault="00622E48">
      <w:pPr>
        <w:pStyle w:val="ListParagraph"/>
        <w:widowControl w:val="0"/>
        <w:numPr>
          <w:ilvl w:val="0"/>
          <w:numId w:val="33"/>
        </w:numPr>
        <w:tabs>
          <w:tab w:val="left" w:pos="1620"/>
        </w:tabs>
        <w:autoSpaceDE w:val="0"/>
        <w:autoSpaceDN w:val="0"/>
        <w:spacing w:before="160" w:line="240" w:lineRule="auto"/>
        <w:ind w:left="720"/>
      </w:pPr>
      <w:r>
        <w:t>If the event overlaps with a mealtime, provide that meal for the attendees.</w:t>
      </w:r>
    </w:p>
    <w:p w14:paraId="5DFD5D93" w14:textId="18B16854" w:rsidR="00622E48" w:rsidRPr="00622E48" w:rsidRDefault="00E533E2">
      <w:pPr>
        <w:pStyle w:val="ListParagraph"/>
        <w:widowControl w:val="0"/>
        <w:numPr>
          <w:ilvl w:val="0"/>
          <w:numId w:val="33"/>
        </w:numPr>
        <w:tabs>
          <w:tab w:val="left" w:pos="1620"/>
        </w:tabs>
        <w:autoSpaceDE w:val="0"/>
        <w:autoSpaceDN w:val="0"/>
        <w:spacing w:before="160" w:line="240" w:lineRule="auto"/>
        <w:ind w:left="720"/>
      </w:pPr>
      <w:r>
        <w:t>Provide food that the community likes</w:t>
      </w:r>
      <w:r w:rsidR="6682FB94">
        <w:t>; c</w:t>
      </w:r>
      <w:r>
        <w:t>onsider partnering with favorite local restaurants or the culinary department at a local college. If there is a booth where people just stop by, offer quick snacks.</w:t>
      </w:r>
    </w:p>
    <w:p w14:paraId="5BFBC510" w14:textId="25C3BF76" w:rsidR="00622E48" w:rsidRPr="00622E48" w:rsidRDefault="00622E48" w:rsidP="00025F92">
      <w:pPr>
        <w:pStyle w:val="BodyText"/>
        <w:spacing w:after="0" w:line="240" w:lineRule="auto"/>
      </w:pPr>
      <w:r>
        <w:rPr>
          <w:b/>
        </w:rPr>
        <w:t>Financial Compensation</w:t>
      </w:r>
    </w:p>
    <w:p w14:paraId="4C610733" w14:textId="0A3297DB" w:rsidR="00622E48" w:rsidRPr="00B17CBE" w:rsidRDefault="00864AD9">
      <w:pPr>
        <w:pStyle w:val="ListParagraph"/>
        <w:widowControl w:val="0"/>
        <w:numPr>
          <w:ilvl w:val="0"/>
          <w:numId w:val="33"/>
        </w:numPr>
        <w:tabs>
          <w:tab w:val="left" w:pos="1620"/>
        </w:tabs>
        <w:autoSpaceDE w:val="0"/>
        <w:autoSpaceDN w:val="0"/>
        <w:spacing w:line="240" w:lineRule="auto"/>
        <w:ind w:left="720"/>
      </w:pPr>
      <w:r>
        <w:t xml:space="preserve">If possible, consider offering participants stipends for their participation in surveys, workshops, or focus groups that inform the plan. The </w:t>
      </w:r>
      <w:hyperlink r:id="rId128" w:history="1">
        <w:r>
          <w:rPr>
            <w:rStyle w:val="Hyperlink"/>
          </w:rPr>
          <w:t>Living Wage Calculator</w:t>
        </w:r>
      </w:hyperlink>
      <w:r>
        <w:t xml:space="preserve"> can be helpful for determining stipend amounts.</w:t>
      </w:r>
    </w:p>
    <w:p w14:paraId="5D84E742" w14:textId="755711F7" w:rsidR="00FC46BE" w:rsidRDefault="00641DA5" w:rsidP="00EE1D14">
      <w:pPr>
        <w:spacing w:before="160" w:line="240" w:lineRule="auto"/>
      </w:pPr>
      <w:r>
        <w:t xml:space="preserve">Refer to </w:t>
      </w:r>
      <w:r>
        <w:rPr>
          <w:b/>
        </w:rPr>
        <w:t xml:space="preserve">Appendix A - </w:t>
      </w:r>
      <w:r>
        <w:rPr>
          <w:b/>
          <w:bCs/>
        </w:rPr>
        <w:fldChar w:fldCharType="begin"/>
      </w:r>
      <w:r>
        <w:rPr>
          <w:b/>
          <w:bCs/>
        </w:rPr>
        <w:instrText xml:space="preserve"> REF _Ref230256373 \h  \* MERGEFORMAT </w:instrText>
      </w:r>
      <w:r>
        <w:rPr>
          <w:b/>
          <w:bCs/>
        </w:rPr>
      </w:r>
      <w:r>
        <w:rPr>
          <w:b/>
          <w:bCs/>
        </w:rPr>
        <w:fldChar w:fldCharType="separate"/>
      </w:r>
      <w:r w:rsidR="00517691" w:rsidRPr="00517691">
        <w:rPr>
          <w:b/>
          <w:bCs/>
        </w:rPr>
        <w:t>Best Practices for Conducting Outreach and Engagement Activities</w:t>
      </w:r>
      <w:r>
        <w:rPr>
          <w:b/>
          <w:bCs/>
        </w:rPr>
        <w:fldChar w:fldCharType="end"/>
      </w:r>
      <w:r>
        <w:t xml:space="preserve"> for a comprehensive list of suggested engagement activities that can be replicated to support the plan’s community engagement.</w:t>
      </w:r>
    </w:p>
    <w:tbl>
      <w:tblPr>
        <w:tblStyle w:val="TableGrid"/>
        <w:tblW w:w="0" w:type="auto"/>
        <w:tblLook w:val="04A0" w:firstRow="1" w:lastRow="0" w:firstColumn="1" w:lastColumn="0" w:noHBand="0" w:noVBand="1"/>
        <w:tblDescription w:val="Case Study: Meeting Communities Where They Are"/>
      </w:tblPr>
      <w:tblGrid>
        <w:gridCol w:w="9350"/>
      </w:tblGrid>
      <w:tr w:rsidR="006277A4" w:rsidRPr="006277A4" w14:paraId="32DA74DB" w14:textId="77777777" w:rsidTr="00E454D1">
        <w:trPr>
          <w:trHeight w:val="576"/>
        </w:trPr>
        <w:tc>
          <w:tcPr>
            <w:tcW w:w="9350" w:type="dxa"/>
            <w:tcBorders>
              <w:top w:val="nil"/>
              <w:left w:val="nil"/>
              <w:bottom w:val="nil"/>
              <w:right w:val="nil"/>
            </w:tcBorders>
            <w:shd w:val="clear" w:color="auto" w:fill="1F5383"/>
            <w:vAlign w:val="center"/>
          </w:tcPr>
          <w:p w14:paraId="1BC6C0AD" w14:textId="417FD389" w:rsidR="006277A4" w:rsidRPr="006277A4" w:rsidRDefault="006277A4" w:rsidP="00BB5ACB">
            <w:pPr>
              <w:rPr>
                <w:b/>
                <w:bCs/>
                <w:color w:val="FFFFFF" w:themeColor="background1"/>
              </w:rPr>
            </w:pPr>
            <w:r>
              <w:rPr>
                <w:b/>
                <w:bCs/>
                <w:color w:val="FFFFFF" w:themeColor="background1"/>
              </w:rPr>
              <w:t>Case Study: Meeting Communities Where They Are</w:t>
            </w:r>
          </w:p>
        </w:tc>
      </w:tr>
      <w:tr w:rsidR="003F219E" w14:paraId="38404957" w14:textId="77777777" w:rsidTr="003F219E">
        <w:tc>
          <w:tcPr>
            <w:tcW w:w="9350" w:type="dxa"/>
            <w:tcBorders>
              <w:top w:val="nil"/>
              <w:left w:val="nil"/>
              <w:bottom w:val="nil"/>
              <w:right w:val="nil"/>
            </w:tcBorders>
            <w:shd w:val="clear" w:color="auto" w:fill="DCEAF7"/>
          </w:tcPr>
          <w:p w14:paraId="47E506BD" w14:textId="01E7C4DE" w:rsidR="003F219E" w:rsidRDefault="00F16C27" w:rsidP="00604894">
            <w:pPr>
              <w:pStyle w:val="BodyText"/>
              <w:spacing w:before="120" w:after="120"/>
            </w:pPr>
            <w:r>
              <w:t xml:space="preserve">When developing their </w:t>
            </w:r>
            <w:hyperlink r:id="rId129" w:history="1">
              <w:r>
                <w:rPr>
                  <w:rStyle w:val="Hyperlink"/>
                  <w:i/>
                  <w:iCs/>
                </w:rPr>
                <w:t>Eastern Coachella Valley (ECV) Shade Equity Master Plan</w:t>
              </w:r>
            </w:hyperlink>
            <w:r>
              <w:rPr>
                <w:i/>
                <w:iCs/>
              </w:rPr>
              <w:t xml:space="preserve">, </w:t>
            </w:r>
            <w:proofErr w:type="spellStart"/>
            <w:r>
              <w:t>Kounkuey</w:t>
            </w:r>
            <w:proofErr w:type="spellEnd"/>
            <w:r>
              <w:t xml:space="preserve"> Design Initiative (KDI) partnered with the Oasis Leadership Committee (OLC), a local resident-led advocacy group, to guide their engagement process. Through this partnership, KDI compensated OLC members for their participation in the project and for participating in a graduate-level course on extreme heat taught at UCLA. KDI originally planned to host several in-person design workshops. However, after Immigration and Customs Enforcement (ICE) launched several deportation raids in the region, OLC members warned that local residents did not feel safe attending public meetings. In response, the OLC and KDI developed a decentralized, intimate engagement model. The KDI team created workshop toolkits for the OLC to facilitate "Dinner Table Dialogues," small, private design workshops hosted by individual families in their homes. This approach enabled the OLC to conduct 32 home workshops, eight in each of the four communities, reaching more than 140 residents and ensuring robust participation in a safe and trusted environment.</w:t>
            </w:r>
          </w:p>
        </w:tc>
      </w:tr>
    </w:tbl>
    <w:p w14:paraId="43D6006A" w14:textId="77777777" w:rsidR="004942B6" w:rsidRPr="00CF71BD" w:rsidRDefault="004942B6" w:rsidP="008229BC">
      <w:pPr>
        <w:spacing w:before="160" w:line="240" w:lineRule="auto"/>
      </w:pPr>
    </w:p>
    <w:p w14:paraId="4173B4E8" w14:textId="3FED224A" w:rsidR="00CF71BD" w:rsidRDefault="00CF71BD" w:rsidP="008229BC">
      <w:pPr>
        <w:pStyle w:val="Heading2"/>
        <w:spacing w:before="160" w:after="160" w:line="240" w:lineRule="auto"/>
      </w:pPr>
      <w:bookmarkStart w:id="69" w:name="Phase_1_Wrap-Up"/>
      <w:bookmarkStart w:id="70" w:name="_bookmark56"/>
      <w:bookmarkStart w:id="71" w:name="_Toc224722666"/>
      <w:bookmarkStart w:id="72" w:name="_Toc235802682"/>
      <w:bookmarkEnd w:id="69"/>
      <w:bookmarkEnd w:id="70"/>
      <w:r>
        <w:t>Phase</w:t>
      </w:r>
      <w:r>
        <w:rPr>
          <w:spacing w:val="-3"/>
        </w:rPr>
        <w:t xml:space="preserve"> </w:t>
      </w:r>
      <w:r>
        <w:t>1</w:t>
      </w:r>
      <w:r>
        <w:rPr>
          <w:spacing w:val="-2"/>
        </w:rPr>
        <w:t xml:space="preserve"> </w:t>
      </w:r>
      <w:r>
        <w:t>Wrap-</w:t>
      </w:r>
      <w:r>
        <w:rPr>
          <w:spacing w:val="-5"/>
        </w:rPr>
        <w:t>Up</w:t>
      </w:r>
      <w:bookmarkEnd w:id="71"/>
      <w:bookmarkEnd w:id="72"/>
    </w:p>
    <w:p w14:paraId="7E42F228" w14:textId="230287A8" w:rsidR="00AF1E47" w:rsidRDefault="00CF71BD" w:rsidP="008229BC">
      <w:pPr>
        <w:pStyle w:val="BodyText"/>
        <w:spacing w:before="160" w:line="240" w:lineRule="auto"/>
      </w:pPr>
      <w:r>
        <w:rPr>
          <w:spacing w:val="-3"/>
        </w:rPr>
        <w:t>Phase 1 of the APG is an essential step for defining the purpose and scope of the plan and identifying key partners that should be involved in the adaptation planning process. This section also provides guidance on funding and financing an adaptation plan, including available tools and resources. Phase 1 also emphasizes the importance of preparing a community engagement and outreach plan to inform the adaptation planning process. Once</w:t>
      </w:r>
      <w:r>
        <w:t xml:space="preserve"> all scoping activities in Phase 1 are complete, communities can prepare to assess vulnerability, which is discussed in </w:t>
      </w:r>
      <w:hyperlink w:anchor="_Toc235190059" w:history="1">
        <w:r>
          <w:rPr>
            <w:rStyle w:val="Hyperlink"/>
          </w:rPr>
          <w:t>Phase 2</w:t>
        </w:r>
      </w:hyperlink>
      <w:r>
        <w:t>.</w:t>
      </w:r>
    </w:p>
    <w:p w14:paraId="1E7C7F02" w14:textId="77777777" w:rsidR="00457EEB" w:rsidRDefault="00457EEB" w:rsidP="002F370C">
      <w:pPr>
        <w:pStyle w:val="Heading1"/>
        <w:sectPr w:rsidR="00457EEB" w:rsidSect="00BD0707">
          <w:headerReference w:type="even" r:id="rId130"/>
          <w:pgSz w:w="12240" w:h="15840"/>
          <w:pgMar w:top="1440" w:right="1440" w:bottom="1440" w:left="1440" w:header="720" w:footer="720" w:gutter="0"/>
          <w:cols w:space="720"/>
          <w:docGrid w:linePitch="360"/>
        </w:sectPr>
      </w:pPr>
      <w:bookmarkStart w:id="73" w:name="_Toc224722667"/>
    </w:p>
    <w:p w14:paraId="4C45465A" w14:textId="4691286E" w:rsidR="00CF71BD" w:rsidRPr="00B17CBE" w:rsidRDefault="00CF71BD" w:rsidP="002F370C">
      <w:pPr>
        <w:pStyle w:val="Heading1"/>
      </w:pPr>
      <w:bookmarkStart w:id="74" w:name="_Toc235802683"/>
      <w:r>
        <w:t>PHASE 2: ASSESS VULNERABILITY</w:t>
      </w:r>
      <w:bookmarkEnd w:id="73"/>
      <w:bookmarkEnd w:id="74"/>
    </w:p>
    <w:p w14:paraId="0CDA5092" w14:textId="57256CC4" w:rsidR="00CF71BD" w:rsidRPr="00B17CBE" w:rsidRDefault="00CF71BD" w:rsidP="008229BC">
      <w:pPr>
        <w:spacing w:before="160" w:line="240" w:lineRule="auto"/>
      </w:pPr>
      <w:r>
        <w:t>Phase 1 developed the scope, goals, team, and engagement approach for building a community’s resilience to climate change. Phase 2 walks through conducting a vulnerability assessment (VA), which identifies and characterizes the climate hazards a community faces and the conditions that position a community to be vulnerable to those hazards.</w:t>
      </w:r>
    </w:p>
    <w:p w14:paraId="2CF14595" w14:textId="5C2C1F75" w:rsidR="00EB488E" w:rsidRDefault="00CF71BD" w:rsidP="008229BC">
      <w:pPr>
        <w:spacing w:before="160" w:line="240" w:lineRule="auto"/>
      </w:pPr>
      <w:r>
        <w:t xml:space="preserve">This guidance uses the best available knowledge from state and federal resources for conducting vulnerability assessments. The approach is designed to ensure that the resulting vulnerability assessment meets Safety Element requirements in </w:t>
      </w:r>
      <w:hyperlink r:id="rId131">
        <w:r w:rsidRPr="55DEB025">
          <w:rPr>
            <w:rStyle w:val="Hyperlink"/>
          </w:rPr>
          <w:t>California Government Code § 65302(g)(4)</w:t>
        </w:r>
      </w:hyperlink>
      <w:r>
        <w:t xml:space="preserve">, as updated by </w:t>
      </w:r>
      <w:hyperlink r:id="rId132">
        <w:r w:rsidRPr="55DEB025">
          <w:rPr>
            <w:rStyle w:val="Hyperlink"/>
          </w:rPr>
          <w:t>SB 379</w:t>
        </w:r>
      </w:hyperlink>
      <w:r>
        <w:t xml:space="preserve"> and </w:t>
      </w:r>
      <w:hyperlink r:id="rId133">
        <w:r w:rsidRPr="55DEB025">
          <w:rPr>
            <w:rStyle w:val="Hyperlink"/>
          </w:rPr>
          <w:t>SB 1035</w:t>
        </w:r>
      </w:hyperlink>
      <w:r>
        <w:t xml:space="preserve">. This approach to a vulnerability assessment aligns closely with FEMA’s Hazard Mitigation Planning Risk Assessment Process, and the APG makes Tribal and Local Hazard Mitigation Planning policy connections when this is the case. Phase 2 presents four steps for completing the vulnerability assessment—exposure, </w:t>
      </w:r>
      <w:r w:rsidR="00DE4DF3">
        <w:t xml:space="preserve">vulnerability, </w:t>
      </w:r>
      <w:r>
        <w:t xml:space="preserve">potential impacts, adaptive capacity, and prioritization. This phase provides users with a process to identify: 1) a community’s major climate vulnerabilities and 2) which vulnerabilities to prioritize when developing adaptation strategies in Phase 3. Steps 2.1-2.4 in this phase should be followed sequentially (see </w:t>
      </w:r>
      <w:r>
        <w:rPr>
          <w:u w:val="single"/>
        </w:rPr>
        <w:fldChar w:fldCharType="begin"/>
      </w:r>
      <w:r>
        <w:rPr>
          <w:u w:val="single"/>
        </w:rPr>
        <w:instrText xml:space="preserve"> REF _Ref229408750 \h  \* MERGEFORMAT </w:instrText>
      </w:r>
      <w:r>
        <w:rPr>
          <w:u w:val="single"/>
        </w:rPr>
      </w:r>
      <w:r>
        <w:rPr>
          <w:u w:val="single"/>
        </w:rPr>
        <w:fldChar w:fldCharType="separate"/>
      </w:r>
      <w:r w:rsidR="00517691" w:rsidRPr="00517691">
        <w:rPr>
          <w:u w:val="single"/>
        </w:rPr>
        <w:t>Figure 8</w:t>
      </w:r>
      <w:r>
        <w:rPr>
          <w:u w:val="single"/>
        </w:rPr>
        <w:fldChar w:fldCharType="end"/>
      </w:r>
      <w:r>
        <w:t>).</w:t>
      </w:r>
    </w:p>
    <w:tbl>
      <w:tblPr>
        <w:tblStyle w:val="TableGrid"/>
        <w:tblW w:w="10620" w:type="dxa"/>
        <w:tblInd w:w="-635" w:type="dxa"/>
        <w:tblLook w:val="04A0" w:firstRow="1" w:lastRow="0" w:firstColumn="1" w:lastColumn="0" w:noHBand="0" w:noVBand="1"/>
      </w:tblPr>
      <w:tblGrid>
        <w:gridCol w:w="10620"/>
      </w:tblGrid>
      <w:tr w:rsidR="00464CDB" w14:paraId="4BEC6CAE" w14:textId="77777777" w:rsidTr="55DEB025">
        <w:trPr>
          <w:trHeight w:val="432"/>
        </w:trPr>
        <w:tc>
          <w:tcPr>
            <w:tcW w:w="10620" w:type="dxa"/>
            <w:shd w:val="clear" w:color="auto" w:fill="000000" w:themeFill="text1"/>
            <w:vAlign w:val="center"/>
          </w:tcPr>
          <w:p w14:paraId="0191A826" w14:textId="1A8F24E5" w:rsidR="00464CDB" w:rsidRPr="00464CDB" w:rsidRDefault="50445BDE" w:rsidP="00BB5ACB">
            <w:pPr>
              <w:rPr>
                <w:b/>
                <w:bCs/>
              </w:rPr>
            </w:pPr>
            <w:bookmarkStart w:id="75" w:name="_Ref229408750"/>
            <w:r w:rsidRPr="55DEB025">
              <w:rPr>
                <w:b/>
                <w:bCs/>
              </w:rPr>
              <w:t xml:space="preserve">Figure </w:t>
            </w:r>
            <w:r w:rsidR="00E13597" w:rsidRPr="55DEB025">
              <w:rPr>
                <w:b/>
                <w:bCs/>
              </w:rPr>
              <w:fldChar w:fldCharType="begin"/>
            </w:r>
            <w:r w:rsidR="00E13597" w:rsidRPr="55DEB025">
              <w:rPr>
                <w:b/>
                <w:bCs/>
              </w:rPr>
              <w:instrText xml:space="preserve"> SEQ Figure \* ARABIC </w:instrText>
            </w:r>
            <w:r w:rsidR="00E13597" w:rsidRPr="55DEB025">
              <w:rPr>
                <w:b/>
                <w:bCs/>
              </w:rPr>
              <w:fldChar w:fldCharType="separate"/>
            </w:r>
            <w:r w:rsidR="00517691">
              <w:rPr>
                <w:b/>
                <w:bCs/>
                <w:noProof/>
              </w:rPr>
              <w:t>8</w:t>
            </w:r>
            <w:r w:rsidR="00E13597" w:rsidRPr="55DEB025">
              <w:rPr>
                <w:b/>
                <w:bCs/>
              </w:rPr>
              <w:fldChar w:fldCharType="end"/>
            </w:r>
            <w:bookmarkEnd w:id="75"/>
            <w:r w:rsidRPr="55DEB025">
              <w:rPr>
                <w:b/>
                <w:bCs/>
              </w:rPr>
              <w:t>. Steps in Phase 2</w:t>
            </w:r>
          </w:p>
        </w:tc>
      </w:tr>
      <w:tr w:rsidR="00464CDB" w14:paraId="7DA93EBE" w14:textId="77777777" w:rsidTr="55DEB025">
        <w:trPr>
          <w:trHeight w:val="1440"/>
        </w:trPr>
        <w:tc>
          <w:tcPr>
            <w:tcW w:w="10620" w:type="dxa"/>
          </w:tcPr>
          <w:p w14:paraId="7963F0FC" w14:textId="41F46639" w:rsidR="00AF327C" w:rsidRPr="00AF327C" w:rsidRDefault="000C7F67" w:rsidP="00BB5ACB">
            <w:pPr>
              <w:rPr>
                <w:sz w:val="12"/>
                <w:szCs w:val="12"/>
              </w:rPr>
            </w:pPr>
            <w:r>
              <w:rPr>
                <w:noProof/>
              </w:rPr>
              <w:drawing>
                <wp:anchor distT="0" distB="0" distL="114300" distR="114300" simplePos="0" relativeHeight="251658257" behindDoc="0" locked="0" layoutInCell="1" allowOverlap="1" wp14:anchorId="24E34D52" wp14:editId="2A7E3085">
                  <wp:simplePos x="0" y="0"/>
                  <wp:positionH relativeFrom="column">
                    <wp:posOffset>-59055</wp:posOffset>
                  </wp:positionH>
                  <wp:positionV relativeFrom="paragraph">
                    <wp:posOffset>-24130</wp:posOffset>
                  </wp:positionV>
                  <wp:extent cx="7250430" cy="922020"/>
                  <wp:effectExtent l="19050" t="0" r="0" b="0"/>
                  <wp:wrapNone/>
                  <wp:docPr id="487335150" name="Diagram 1" descr="Step 2.1 is hazard and exposure, step 2.2 is sensitivity and potential impacts, step 2.3 is adaptive capacity, and step 2.4 is prioritize climate vulnerability.">
                    <a:extLst xmlns:a="http://schemas.openxmlformats.org/drawingml/2006/main">
                      <a:ext uri="{FF2B5EF4-FFF2-40B4-BE49-F238E27FC236}">
                        <a16:creationId xmlns:a16="http://schemas.microsoft.com/office/drawing/2014/main" id="{3CBECF75-DF64-2195-038F-FDBDD3D52BA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14:sizeRelH relativeFrom="page">
                    <wp14:pctWidth>0</wp14:pctWidth>
                  </wp14:sizeRelH>
                  <wp14:sizeRelV relativeFrom="page">
                    <wp14:pctHeight>0</wp14:pctHeight>
                  </wp14:sizeRelV>
                </wp:anchor>
              </w:drawing>
            </w:r>
          </w:p>
          <w:p w14:paraId="2FC64C08" w14:textId="47E576CB" w:rsidR="002D3EF6" w:rsidRPr="00B17CBE" w:rsidRDefault="002D3EF6" w:rsidP="00BB5ACB"/>
          <w:p w14:paraId="655F9D94" w14:textId="052428F1" w:rsidR="002D3EF6" w:rsidRPr="00B17CBE" w:rsidRDefault="002D3EF6" w:rsidP="00BB5ACB"/>
          <w:p w14:paraId="202D2C55" w14:textId="010D619D" w:rsidR="002D3EF6" w:rsidRPr="00B17CBE" w:rsidRDefault="002D3EF6" w:rsidP="00BB5ACB"/>
          <w:p w14:paraId="481235DD" w14:textId="227CC8B2" w:rsidR="00464CDB" w:rsidRDefault="00464CDB" w:rsidP="004A2D6A"/>
        </w:tc>
      </w:tr>
    </w:tbl>
    <w:p w14:paraId="48B3A406" w14:textId="77777777" w:rsidR="008C2591" w:rsidRPr="009E6E24" w:rsidRDefault="008C2591" w:rsidP="00A81E47">
      <w:pPr>
        <w:spacing w:after="0"/>
      </w:pPr>
      <w:bookmarkStart w:id="76" w:name="_Toc2247226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2FA6" w:rsidRPr="00AE48E1" w14:paraId="4E266833" w14:textId="77777777">
        <w:trPr>
          <w:trHeight w:val="576"/>
        </w:trPr>
        <w:tc>
          <w:tcPr>
            <w:tcW w:w="9350" w:type="dxa"/>
            <w:shd w:val="clear" w:color="auto" w:fill="404040" w:themeFill="text1" w:themeFillTint="BF"/>
            <w:vAlign w:val="center"/>
          </w:tcPr>
          <w:p w14:paraId="0B90D41F" w14:textId="77777777" w:rsidR="004E2FA6" w:rsidRPr="00AE48E1" w:rsidRDefault="004E2FA6">
            <w:pPr>
              <w:rPr>
                <w:b/>
                <w:color w:val="FFFFFF" w:themeColor="background1"/>
              </w:rPr>
            </w:pPr>
            <w:r>
              <w:rPr>
                <w:b/>
                <w:color w:val="FFFFFF" w:themeColor="background1"/>
              </w:rPr>
              <w:t>How to Use the Appendices in This Phase</w:t>
            </w:r>
          </w:p>
        </w:tc>
      </w:tr>
      <w:tr w:rsidR="004E2FA6" w:rsidRPr="00AE48E1" w14:paraId="2D8E98AA" w14:textId="77777777" w:rsidTr="003E4DEB">
        <w:tc>
          <w:tcPr>
            <w:tcW w:w="9350" w:type="dxa"/>
            <w:shd w:val="clear" w:color="auto" w:fill="F2F2F2" w:themeFill="background1" w:themeFillShade="F2"/>
          </w:tcPr>
          <w:p w14:paraId="7AE3AD03" w14:textId="1DAF0BB6" w:rsidR="00A23332" w:rsidRDefault="004E2FA6" w:rsidP="00157829">
            <w:pPr>
              <w:spacing w:before="120"/>
            </w:pPr>
            <w:r>
              <w:rPr>
                <w:b/>
              </w:rPr>
              <w:t>Appendix A</w:t>
            </w:r>
            <w:r>
              <w:rPr>
                <w:b/>
                <w:bCs/>
              </w:rPr>
              <w:t>: Outreach and Engagement</w:t>
            </w:r>
            <w:r>
              <w:rPr>
                <w:b/>
              </w:rPr>
              <w:t xml:space="preserve">: </w:t>
            </w:r>
            <w:r>
              <w:t>Consult it at engagement touchpoints in 2.2 D and 2.3C, or any time the planning team wants to integrate community voice into the assessment.</w:t>
            </w:r>
          </w:p>
          <w:p w14:paraId="4E832F8A" w14:textId="7AFD6EF9" w:rsidR="004E2FA6" w:rsidRPr="00AE48E1" w:rsidRDefault="004E2FA6" w:rsidP="00157829">
            <w:pPr>
              <w:spacing w:before="160" w:after="160"/>
              <w:rPr>
                <w:bCs/>
              </w:rPr>
            </w:pPr>
            <w:r>
              <w:rPr>
                <w:b/>
              </w:rPr>
              <w:t xml:space="preserve">Appendix B: Climate Data Tools: </w:t>
            </w:r>
            <w:r>
              <w:rPr>
                <w:bCs/>
              </w:rPr>
              <w:t>Various data and mapping tools are referenced throughout this phase. Consult Appendix B for detailed instructions on using these tools.</w:t>
            </w:r>
          </w:p>
          <w:p w14:paraId="0136C776" w14:textId="0601EF23" w:rsidR="004E2FA6" w:rsidRPr="00157829" w:rsidRDefault="004E2FA6" w:rsidP="00A3096B">
            <w:pPr>
              <w:spacing w:after="60"/>
              <w:rPr>
                <w:b/>
              </w:rPr>
            </w:pPr>
            <w:r>
              <w:rPr>
                <w:b/>
              </w:rPr>
              <w:t xml:space="preserve">Appendix C: Worksheets: </w:t>
            </w:r>
            <w:r>
              <w:rPr>
                <w:bCs/>
              </w:rPr>
              <w:t xml:space="preserve">10 worksheets support this phase. Look for the green </w:t>
            </w:r>
            <w:r>
              <w:rPr>
                <w:b/>
              </w:rPr>
              <w:t>Put It into Practice</w:t>
            </w:r>
            <w:r>
              <w:rPr>
                <w:bCs/>
              </w:rPr>
              <w:t xml:space="preserve"> boxes for when to use each one</w:t>
            </w:r>
          </w:p>
        </w:tc>
      </w:tr>
    </w:tbl>
    <w:p w14:paraId="36BB9809" w14:textId="77777777" w:rsidR="004E2FA6" w:rsidRPr="00CA5A50" w:rsidRDefault="004E2FA6" w:rsidP="002A18A0">
      <w:pPr>
        <w:spacing w:before="160" w:line="240" w:lineRule="auto"/>
        <w:rPr>
          <w:b/>
          <w:sz w:val="6"/>
          <w:szCs w:val="4"/>
        </w:rPr>
      </w:pPr>
    </w:p>
    <w:p w14:paraId="445851C9" w14:textId="6DE330DA" w:rsidR="00CF71BD" w:rsidRPr="0082377C" w:rsidRDefault="00CF71BD" w:rsidP="008229BC">
      <w:pPr>
        <w:pStyle w:val="Heading2"/>
        <w:spacing w:before="160" w:after="160" w:line="240" w:lineRule="auto"/>
      </w:pPr>
      <w:bookmarkStart w:id="77" w:name="_Toc235802684"/>
      <w:r>
        <w:t>Key Concepts in Phase 2</w:t>
      </w:r>
      <w:bookmarkEnd w:id="76"/>
      <w:bookmarkEnd w:id="77"/>
    </w:p>
    <w:p w14:paraId="77624868" w14:textId="3E178087" w:rsidR="00AB5170" w:rsidRDefault="00CF71BD" w:rsidP="008229BC">
      <w:pPr>
        <w:spacing w:before="160" w:line="240" w:lineRule="auto"/>
        <w:rPr>
          <w:b/>
          <w:i/>
        </w:rPr>
      </w:pPr>
      <w:r>
        <w:t xml:space="preserve">Vulnerability Assessments typically evaluate three components: </w:t>
      </w:r>
      <w:r>
        <w:rPr>
          <w:b/>
          <w:bCs/>
        </w:rPr>
        <w:t>hazard, exposure, and vulnerability.</w:t>
      </w:r>
      <w:r>
        <w:t xml:space="preserve"> If these terms are already familiar, feel free to skip ahead to Step 2.1.</w:t>
      </w:r>
    </w:p>
    <w:p w14:paraId="653CD5EE" w14:textId="5739D6B6" w:rsidR="00B9378D" w:rsidRDefault="007F0FD2" w:rsidP="008229BC">
      <w:pPr>
        <w:spacing w:before="160" w:line="240" w:lineRule="auto"/>
      </w:pPr>
      <w:r>
        <w:t>A </w:t>
      </w:r>
      <w:r>
        <w:rPr>
          <w:b/>
          <w:bCs/>
        </w:rPr>
        <w:t>natural hazard</w:t>
      </w:r>
      <w:r>
        <w:t> is any potentially damaging physical event or trend, such as a flood, drought, or heatwave. Climate adaptation planning focuses on natural hazards that are affected by climate change, known as </w:t>
      </w:r>
      <w:r>
        <w:rPr>
          <w:b/>
          <w:bCs/>
        </w:rPr>
        <w:t>climate hazards</w:t>
      </w:r>
      <w:r>
        <w:t>. For example, heatwaves are a climate hazard. In California, heatwaves have already become more severe and frequent due to climate change.  </w:t>
      </w:r>
    </w:p>
    <w:p w14:paraId="754DA814" w14:textId="068290E4" w:rsidR="00C55517" w:rsidRDefault="00CF71BD" w:rsidP="008229BC">
      <w:pPr>
        <w:spacing w:before="160" w:line="240" w:lineRule="auto"/>
        <w:rPr>
          <w:color w:val="000000" w:themeColor="text1"/>
        </w:rPr>
      </w:pPr>
      <w:r>
        <w:rPr>
          <w:b/>
          <w:bCs/>
        </w:rPr>
        <w:t>Exposure</w:t>
      </w:r>
      <w:r>
        <w:t xml:space="preserve"> refers </w:t>
      </w:r>
      <w:r w:rsidR="00C55517">
        <w:t xml:space="preserve">to the </w:t>
      </w:r>
      <w:r w:rsidR="00C55517">
        <w:rPr>
          <w:color w:val="000000" w:themeColor="text1"/>
        </w:rPr>
        <w:t>presence of people; livelihoods; species or ecosystems; environmental functions, services, and resources; infrastructure; or economic, social, or cultural assets in places and settings that could be adversely affected</w:t>
      </w:r>
      <w:r w:rsidR="00A02FAB">
        <w:rPr>
          <w:color w:val="000000" w:themeColor="text1"/>
        </w:rPr>
        <w:t xml:space="preserve">. </w:t>
      </w:r>
      <w:r w:rsidR="00C55517" w:rsidRPr="00C55517">
        <w:rPr>
          <w:color w:val="000000" w:themeColor="text1"/>
        </w:rPr>
        <w:t>Planning entities should evaluate climate hazards that are relevant to their planning area based on historical occurrences, current conditions, and future projections. Examining how exposure differs across the planning area helps identify potential impacts.</w:t>
      </w:r>
    </w:p>
    <w:p w14:paraId="225AC4FF" w14:textId="0C853964" w:rsidR="008110E1" w:rsidRPr="008110E1" w:rsidRDefault="002934A6" w:rsidP="008229BC">
      <w:pPr>
        <w:spacing w:before="160" w:line="240" w:lineRule="auto"/>
        <w:rPr>
          <w:color w:val="000000" w:themeColor="text1"/>
        </w:rPr>
      </w:pPr>
      <w:r w:rsidRPr="55DEB025">
        <w:rPr>
          <w:b/>
          <w:bCs/>
          <w:color w:val="000000" w:themeColor="text1"/>
        </w:rPr>
        <w:t>Vulnerability</w:t>
      </w:r>
      <w:r w:rsidRPr="55DEB025">
        <w:rPr>
          <w:color w:val="000000" w:themeColor="text1"/>
        </w:rPr>
        <w:t> </w:t>
      </w:r>
      <w:r w:rsidR="008110E1" w:rsidRPr="55DEB025">
        <w:rPr>
          <w:color w:val="000000" w:themeColor="text1"/>
        </w:rPr>
        <w:t>d</w:t>
      </w:r>
      <w:r w:rsidR="008110E1" w:rsidRPr="55DEB025">
        <w:rPr>
          <w:rFonts w:eastAsiaTheme="minorEastAsia"/>
        </w:rPr>
        <w:t xml:space="preserve">escribes the propensity or predisposition to be adversely affected. Vulnerability encompasses a variety of concepts and elements, including sensitivity or susceptibility to harm and a lack of </w:t>
      </w:r>
      <w:r w:rsidR="2D5B1076" w:rsidRPr="55DEB025">
        <w:rPr>
          <w:rFonts w:eastAsiaTheme="minorEastAsia"/>
        </w:rPr>
        <w:t xml:space="preserve">adaptive </w:t>
      </w:r>
      <w:r w:rsidR="008110E1" w:rsidRPr="55DEB025">
        <w:rPr>
          <w:rFonts w:eastAsiaTheme="minorEastAsia"/>
        </w:rPr>
        <w:t>capacity. For example, a home that has been elevated is less vulnerable to flooding than one that has not. Buried utility lines are less vulnerable to wildfire. Natural systems that are protected are less vulnerable to climate impacts than those that have been degraded.</w:t>
      </w:r>
    </w:p>
    <w:p w14:paraId="0B345265" w14:textId="244C68BC" w:rsidR="00E918B9" w:rsidRDefault="49922C17" w:rsidP="008229BC">
      <w:pPr>
        <w:spacing w:before="160" w:line="240" w:lineRule="auto"/>
        <w:rPr>
          <w:color w:val="000000" w:themeColor="text1"/>
        </w:rPr>
      </w:pPr>
      <w:r>
        <w:rPr>
          <w:rFonts w:eastAsia="Century Gothic" w:cs="Century Gothic"/>
          <w:b/>
          <w:bCs/>
          <w:color w:val="000000" w:themeColor="text1"/>
        </w:rPr>
        <w:t>Social vulnerability</w:t>
      </w:r>
      <w:r>
        <w:rPr>
          <w:rFonts w:eastAsia="Century Gothic" w:cs="Century Gothic"/>
          <w:color w:val="000000" w:themeColor="text1"/>
        </w:rPr>
        <w:t xml:space="preserve"> (also referred to as social sensitivity) refers to the conditions that people or communities experience that can make the impacts of climate change more severe or detrimental for them.</w:t>
      </w:r>
      <w:r>
        <w:rPr>
          <w:color w:val="000000" w:themeColor="text1"/>
        </w:rPr>
        <w:t xml:space="preserve"> This can be measured through the socio-economic conditions that exacerbate climate impacts or influence the ability of people or communities to prepare for, respond to, and recover from climate impacts, like age, language proficiency, transportation access, and income.</w:t>
      </w:r>
    </w:p>
    <w:p w14:paraId="779D3DE9" w14:textId="1E8874D3" w:rsidR="00471CF7" w:rsidRDefault="00471CF7" w:rsidP="008229BC">
      <w:pPr>
        <w:spacing w:before="160" w:line="240" w:lineRule="auto"/>
        <w:rPr>
          <w:color w:val="000000" w:themeColor="text1"/>
        </w:rPr>
      </w:pPr>
      <w:r>
        <w:rPr>
          <w:color w:val="000000" w:themeColor="text1"/>
        </w:rPr>
        <w:t>For example, during floods, older adults may struggle to evacuate, non-English speakers may miss emergency alerts, and households without cars may have difficulty reaching shelters. These vulnerabilities often overlap, as seen in California’s Central Valley, where farm workers face extreme heat alongside low incomes, limited cooling access, and language barriers, increasing their risk of heat-related illness.</w:t>
      </w:r>
    </w:p>
    <w:p w14:paraId="47A964ED" w14:textId="14E39E69" w:rsidR="00A479DD" w:rsidRDefault="5ECDC7EF" w:rsidP="00D06A28">
      <w:pPr>
        <w:spacing w:before="160" w:line="240" w:lineRule="auto"/>
      </w:pPr>
      <w:r>
        <w:rPr>
          <w:b/>
          <w:bCs/>
        </w:rPr>
        <w:t>V</w:t>
      </w:r>
      <w:r>
        <w:rPr>
          <w:rFonts w:cs="Arial"/>
          <w:b/>
          <w:bCs/>
        </w:rPr>
        <w:t>ulnerable communities</w:t>
      </w:r>
      <w:r>
        <w:t xml:space="preserve"> experience heightened exposure and increased sensitivity to climate change and have less capacity and fewer resources to cope with, adapt to, or recover from climate impacts.</w:t>
      </w:r>
      <w:r>
        <w:rPr>
          <w:rFonts w:ascii="Arial" w:hAnsi="Arial" w:cs="Arial"/>
        </w:rPr>
        <w:t> </w:t>
      </w:r>
      <w:r>
        <w:t>These disproportionate effects are caused by physical (built and environmental), social, political, and/or economic factors, which are</w:t>
      </w:r>
      <w:r>
        <w:rPr>
          <w:rFonts w:cs="Century Gothic"/>
        </w:rPr>
        <w:t xml:space="preserve"> </w:t>
      </w:r>
      <w:r>
        <w:t>exacerbated</w:t>
      </w:r>
      <w:r>
        <w:rPr>
          <w:rFonts w:cs="Century Gothic"/>
        </w:rPr>
        <w:t xml:space="preserve"> </w:t>
      </w:r>
      <w:r>
        <w:t>by climate impacts. These factors include, but are not limited to, race, ethnicity, class, gender, sexual orientation, national origin, income inequality, and disability (ICARP, 2026).</w:t>
      </w:r>
    </w:p>
    <w:p w14:paraId="7653B8C7" w14:textId="7AB4E518" w:rsidR="00565B4A" w:rsidRDefault="007B7680" w:rsidP="004929AA">
      <w:pPr>
        <w:spacing w:before="160" w:line="240" w:lineRule="auto"/>
      </w:pPr>
      <w:r>
        <w:rPr>
          <w:b/>
          <w:spacing w:val="-5"/>
        </w:rPr>
        <w:t>Risk</w:t>
      </w:r>
      <w:r>
        <w:rPr>
          <w:szCs w:val="24"/>
        </w:rPr>
        <w:t xml:space="preserve"> </w:t>
      </w:r>
      <w:r>
        <w:t>is the potential for adverse consequences of a hazard on lives, livelihoods, health and well-being, ecosystems and species, economic, social and cultural assets, services (including ecosystem services), and infrastructure. Reducing risk requires action to lessen the hazard, reduce exposure, or strengthen the ability to withstand and recover from impacts.</w:t>
      </w:r>
    </w:p>
    <w:tbl>
      <w:tblPr>
        <w:tblStyle w:val="TableGrid"/>
        <w:tblW w:w="0" w:type="auto"/>
        <w:tblLook w:val="04A0" w:firstRow="1" w:lastRow="0" w:firstColumn="1" w:lastColumn="0" w:noHBand="0" w:noVBand="1"/>
      </w:tblPr>
      <w:tblGrid>
        <w:gridCol w:w="9350"/>
      </w:tblGrid>
      <w:tr w:rsidR="00E13597" w14:paraId="16A61FE7" w14:textId="77777777" w:rsidTr="001A4DB7">
        <w:trPr>
          <w:trHeight w:val="432"/>
        </w:trPr>
        <w:tc>
          <w:tcPr>
            <w:tcW w:w="9350" w:type="dxa"/>
            <w:shd w:val="clear" w:color="auto" w:fill="000000" w:themeFill="text1"/>
            <w:vAlign w:val="center"/>
          </w:tcPr>
          <w:p w14:paraId="395BED29" w14:textId="7F605B96" w:rsidR="00E13597" w:rsidRDefault="00E13597" w:rsidP="00BB5ACB">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9</w:t>
            </w:r>
            <w:r>
              <w:rPr>
                <w:b/>
                <w:bCs/>
              </w:rPr>
              <w:fldChar w:fldCharType="end"/>
            </w:r>
            <w:r>
              <w:rPr>
                <w:b/>
                <w:bCs/>
              </w:rPr>
              <w:t>. Venn diagram that shows the intersections that make up risk</w:t>
            </w:r>
            <w:r>
              <w:t xml:space="preserve"> </w:t>
            </w:r>
          </w:p>
        </w:tc>
      </w:tr>
      <w:tr w:rsidR="00E13597" w14:paraId="13021192" w14:textId="77777777" w:rsidTr="000F7F05">
        <w:trPr>
          <w:trHeight w:val="4464"/>
        </w:trPr>
        <w:tc>
          <w:tcPr>
            <w:tcW w:w="9350" w:type="dxa"/>
          </w:tcPr>
          <w:p w14:paraId="7E22AADE" w14:textId="0723A390" w:rsidR="00EA5375" w:rsidRDefault="00C62A44" w:rsidP="00C62A44">
            <w:pPr>
              <w:spacing w:before="120" w:after="120"/>
              <w:jc w:val="center"/>
            </w:pPr>
            <w:r>
              <w:rPr>
                <w:noProof/>
              </w:rPr>
              <w:drawing>
                <wp:inline distT="0" distB="0" distL="0" distR="0" wp14:anchorId="2B414F22" wp14:editId="7BB568F7">
                  <wp:extent cx="3504088" cy="3355675"/>
                  <wp:effectExtent l="0" t="0" r="1270" b="0"/>
                  <wp:docPr id="2132213590" name="Picture 1" descr="3 circles make up a Venn diagram. The circles are labeled Hazard, Exposure, and Vulnerability; and RISK is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13590" name="Picture 1" descr="3 circles make up a Venn diagram. The circles are labeled Hazard, Exposure, and Vulnerability; and RISK is in the middle."/>
                          <pic:cNvPicPr>
                            <a:picLocks noChangeAspect="1" noChangeArrowheads="1"/>
                          </pic:cNvPicPr>
                        </pic:nvPicPr>
                        <pic:blipFill rotWithShape="1">
                          <a:blip r:embed="rId139">
                            <a:extLst>
                              <a:ext uri="{28A0092B-C50C-407E-A947-70E740481C1C}">
                                <a14:useLocalDpi xmlns:a14="http://schemas.microsoft.com/office/drawing/2010/main" val="0"/>
                              </a:ext>
                            </a:extLst>
                          </a:blip>
                          <a:srcRect l="22967" t="1292" r="22381" b="5660"/>
                          <a:stretch>
                            <a:fillRect/>
                          </a:stretch>
                        </pic:blipFill>
                        <pic:spPr bwMode="auto">
                          <a:xfrm>
                            <a:off x="0" y="0"/>
                            <a:ext cx="3509833" cy="33611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EC24FD" w14:textId="77777777" w:rsidR="005A4041" w:rsidRPr="00B17CBE" w:rsidRDefault="005A4041" w:rsidP="005A4041">
      <w:pPr>
        <w:spacing w:before="160" w:line="240" w:lineRule="auto"/>
      </w:pPr>
      <w:bookmarkStart w:id="78" w:name="_Toc224722672"/>
    </w:p>
    <w:p w14:paraId="100922F0" w14:textId="4D318B51" w:rsidR="00CF71BD" w:rsidRPr="00B17CBE" w:rsidRDefault="00CF71BD" w:rsidP="008229BC">
      <w:pPr>
        <w:pStyle w:val="Heading2"/>
        <w:spacing w:before="160" w:after="160" w:line="240" w:lineRule="auto"/>
        <w:rPr>
          <w:rFonts w:eastAsia="Century Gothic" w:cs="Century Gothic"/>
        </w:rPr>
      </w:pPr>
      <w:bookmarkStart w:id="79" w:name="_Toc235802685"/>
      <w:r>
        <w:t>Step 2.1: Hazards and Exposure</w:t>
      </w:r>
      <w:bookmarkEnd w:id="78"/>
      <w:bookmarkEnd w:id="79"/>
    </w:p>
    <w:p w14:paraId="7286E8F0" w14:textId="435279A5" w:rsidR="00913173" w:rsidRPr="00B949FF" w:rsidRDefault="00CF71BD" w:rsidP="00B949FF">
      <w:pPr>
        <w:rPr>
          <w:b/>
          <w:bCs/>
        </w:rPr>
      </w:pPr>
      <w:r>
        <w:t xml:space="preserve">Goal: </w:t>
      </w:r>
      <w:r w:rsidR="000B5BC9">
        <w:t>Identify and describe</w:t>
      </w:r>
      <w:r>
        <w:t xml:space="preserve"> the community’s exposure to current and projected climate hazards</w:t>
      </w:r>
      <w:r w:rsidR="000B5BC9">
        <w:t xml:space="preserve">, </w:t>
      </w:r>
      <w:r w:rsidR="000B5BC9" w:rsidRPr="000B5BC9">
        <w:t>including historical/observed events, regulatory-defined areas of exposure (e.g.,100-year flood zones), and future climate-</w:t>
      </w:r>
      <w:r w:rsidR="000B5BC9">
        <w:t xml:space="preserve">change </w:t>
      </w:r>
      <w:r w:rsidR="000B5BC9" w:rsidRPr="000B5BC9">
        <w:t xml:space="preserve">related hazard </w:t>
      </w:r>
      <w:r w:rsidR="000B5BC9">
        <w:t>exposure.</w:t>
      </w:r>
    </w:p>
    <w:p w14:paraId="498E1406" w14:textId="4D989B34" w:rsidR="00CF71BD" w:rsidRPr="00B17CBE" w:rsidRDefault="00CF71BD" w:rsidP="008229BC">
      <w:pPr>
        <w:spacing w:before="160" w:line="240" w:lineRule="auto"/>
      </w:pPr>
      <w:r>
        <w:t>Users will:</w:t>
      </w:r>
    </w:p>
    <w:p w14:paraId="6AA304EA" w14:textId="1A3AC18D"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Review existing documents relevant to climate hazards and vulnerability.</w:t>
      </w:r>
    </w:p>
    <w:p w14:paraId="0B0083F1" w14:textId="0D1F3F1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Conduct an overview of major historical hazard events and the consequences to the community.</w:t>
      </w:r>
    </w:p>
    <w:p w14:paraId="2DD25C7D" w14:textId="1E203DAB"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Determine which hazards are of concern to a community and analyze the severity of each hazard.</w:t>
      </w:r>
    </w:p>
    <w:p w14:paraId="7A32FA21" w14:textId="1A09440E"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Describe how the priority hazards are projected to change over the period of analysis.</w:t>
      </w:r>
    </w:p>
    <w:p w14:paraId="10B2B236" w14:textId="268899C5" w:rsidR="00CF71BD" w:rsidRDefault="00CF71BD">
      <w:pPr>
        <w:pStyle w:val="ListParagraph"/>
        <w:widowControl w:val="0"/>
        <w:numPr>
          <w:ilvl w:val="0"/>
          <w:numId w:val="33"/>
        </w:numPr>
        <w:tabs>
          <w:tab w:val="left" w:pos="1620"/>
        </w:tabs>
        <w:autoSpaceDE w:val="0"/>
        <w:autoSpaceDN w:val="0"/>
        <w:spacing w:before="160" w:line="240" w:lineRule="auto"/>
        <w:ind w:left="720"/>
      </w:pPr>
      <w:r>
        <w:t xml:space="preserve">Evaluate secondary </w:t>
      </w:r>
      <w:r w:rsidR="000F6129">
        <w:t xml:space="preserve">and Cascading </w:t>
      </w:r>
      <w:r>
        <w:t>hazards.</w:t>
      </w:r>
    </w:p>
    <w:p w14:paraId="2F9DDC04" w14:textId="77777777" w:rsidR="008229BC" w:rsidRPr="00B17CBE" w:rsidRDefault="008229BC" w:rsidP="008229BC">
      <w:pPr>
        <w:spacing w:before="160" w:line="240" w:lineRule="auto"/>
      </w:pPr>
    </w:p>
    <w:p w14:paraId="326B7C96" w14:textId="27D0D138" w:rsidR="00CF71BD" w:rsidRPr="00B17CBE" w:rsidRDefault="00E03E95" w:rsidP="008229BC">
      <w:pPr>
        <w:pStyle w:val="Heading3"/>
        <w:spacing w:after="160" w:line="240" w:lineRule="auto"/>
      </w:pPr>
      <w:bookmarkStart w:id="80" w:name="_Step_2.1A:_Review"/>
      <w:bookmarkStart w:id="81" w:name="_Toc224722673"/>
      <w:bookmarkStart w:id="82" w:name="_Ref235092233"/>
      <w:bookmarkStart w:id="83" w:name="_Toc235802686"/>
      <w:bookmarkEnd w:id="80"/>
      <w:r>
        <w:t>Step 2.1A: Review Existing Documents</w:t>
      </w:r>
      <w:bookmarkEnd w:id="81"/>
      <w:bookmarkEnd w:id="82"/>
      <w:bookmarkEnd w:id="83"/>
    </w:p>
    <w:p w14:paraId="113A214E" w14:textId="79382212" w:rsidR="008229BC" w:rsidRDefault="00CF71BD" w:rsidP="008229BC">
      <w:pPr>
        <w:spacing w:before="160" w:line="240" w:lineRule="auto"/>
      </w:pPr>
      <w:r>
        <w:t>Before starting the assessment, gather and review existing reports that provide information on climate hazards, vulnerable assets and populations, and projected risks in the area. Incorporating these plans, studies, and data into the planning document ensures building on the most current research and evidence. It can also save time and resources by avoiding duplication of existing work.</w:t>
      </w:r>
    </w:p>
    <w:p w14:paraId="6F0D48F8" w14:textId="0490716C" w:rsidR="00FC6ED0" w:rsidRPr="00A33294" w:rsidRDefault="00FC6ED0" w:rsidP="008229BC">
      <w:pPr>
        <w:pStyle w:val="Heading4"/>
        <w:spacing w:after="160" w:line="240" w:lineRule="auto"/>
      </w:pPr>
      <w:r>
        <w:t>Local Documents</w:t>
      </w:r>
    </w:p>
    <w:p w14:paraId="63C7B282" w14:textId="3E8CDF84" w:rsidR="001E020B" w:rsidRPr="001E020B" w:rsidRDefault="000F355D" w:rsidP="001E020B">
      <w:pPr>
        <w:spacing w:before="160" w:line="240" w:lineRule="auto"/>
      </w:pPr>
      <w:bookmarkStart w:id="84" w:name="_Hlk234403179"/>
      <w:bookmarkStart w:id="85" w:name="_Hlk223347484"/>
      <w:r>
        <w:t xml:space="preserve">There are several ways to find relevant local planning documents. A basic internet search using the planning area of focus along with the name of any of the plans listed in </w:t>
      </w:r>
      <w:hyperlink w:anchor="_Ref229409134" w:history="1">
        <w:r>
          <w:rPr>
            <w:rStyle w:val="Hyperlink"/>
          </w:rPr>
          <w:t>Table 4</w:t>
        </w:r>
      </w:hyperlink>
      <w:r>
        <w:t xml:space="preserve"> is a great place to start. </w:t>
      </w:r>
      <w:hyperlink w:anchor="_Ref229409134" w:history="1">
        <w:r>
          <w:rPr>
            <w:rStyle w:val="Hyperlink"/>
          </w:rPr>
          <w:t>Table 4</w:t>
        </w:r>
      </w:hyperlink>
      <w:r>
        <w:t xml:space="preserve"> identifies these plans and highlights key information to look for when reviewing them, including relevant policies, strategies, and other content that can be incorporated into the planning process.</w:t>
      </w:r>
    </w:p>
    <w:p w14:paraId="33278F70" w14:textId="59E34379" w:rsidR="009E350B" w:rsidRDefault="004F0E62" w:rsidP="55DEB025">
      <w:pPr>
        <w:spacing w:before="160" w:line="240" w:lineRule="auto"/>
      </w:pPr>
      <w:r>
        <w:t xml:space="preserve">Additional resources include the </w:t>
      </w:r>
      <w:hyperlink r:id="rId140">
        <w:r w:rsidRPr="55DEB025">
          <w:rPr>
            <w:rStyle w:val="Hyperlink"/>
          </w:rPr>
          <w:t>Adaptation Clearinghouse</w:t>
        </w:r>
      </w:hyperlink>
      <w:r>
        <w:t xml:space="preserve">, </w:t>
      </w:r>
      <w:r w:rsidR="5BEEDC23" w:rsidRPr="00586228">
        <w:rPr>
          <w:rFonts w:eastAsia="Segoe UI" w:cs="Segoe UI"/>
          <w:color w:val="242424"/>
          <w:szCs w:val="24"/>
        </w:rPr>
        <w:t>which hosts case studies of adaptation planning, including vulnerability assessments</w:t>
      </w:r>
      <w:r>
        <w:t xml:space="preserve">, and the </w:t>
      </w:r>
      <w:hyperlink r:id="rId141">
        <w:r w:rsidRPr="55DEB025">
          <w:rPr>
            <w:rStyle w:val="Hyperlink"/>
          </w:rPr>
          <w:t>California Climate Action Plan Database</w:t>
        </w:r>
      </w:hyperlink>
      <w:r>
        <w:t xml:space="preserve">, which can be used to identify climate action plans. Users may also search the internet for relevant studies and reports prepared by colleges and universities, reputable nonprofit organizations, and state or regional agencies. </w:t>
      </w:r>
      <w:bookmarkEnd w:id="84"/>
      <w:r>
        <w:t xml:space="preserve">Local sources, including print and online news articles, can also provide valuable information on past climate events, such as locations of flooding, wildfire impacts, extreme heat events, and other community-specific </w:t>
      </w:r>
      <w:r w:rsidR="002C482A">
        <w:t>impacts. In</w:t>
      </w:r>
      <w:r>
        <w:t xml:space="preserve"> Step 2.3, these documents will be reviewed for adaptive capacity – policies and strategies to address existing and future climate impacts.</w:t>
      </w:r>
    </w:p>
    <w:p w14:paraId="4148A534" w14:textId="77777777" w:rsidR="00FE6666" w:rsidRDefault="00FE6666" w:rsidP="55DEB025">
      <w:pPr>
        <w:spacing w:before="160" w:line="240" w:lineRule="auto"/>
      </w:pPr>
    </w:p>
    <w:p w14:paraId="02874557" w14:textId="77777777" w:rsidR="00FE6666" w:rsidRDefault="00FE6666" w:rsidP="55DEB025">
      <w:pPr>
        <w:spacing w:before="160" w:line="240" w:lineRule="auto"/>
      </w:pPr>
    </w:p>
    <w:p w14:paraId="456BBD30" w14:textId="77777777" w:rsidR="00FE6666" w:rsidRDefault="00FE6666" w:rsidP="55DEB025">
      <w:pPr>
        <w:spacing w:before="160" w:line="240" w:lineRule="auto"/>
      </w:pPr>
    </w:p>
    <w:p w14:paraId="3F3F34BD" w14:textId="77777777" w:rsidR="00B949FF" w:rsidRDefault="00B949FF" w:rsidP="55DEB025">
      <w:pPr>
        <w:spacing w:before="160" w:line="240" w:lineRule="auto"/>
      </w:pPr>
    </w:p>
    <w:p w14:paraId="32535F2D" w14:textId="77777777" w:rsidR="00B949FF" w:rsidRDefault="00B949FF" w:rsidP="55DEB025">
      <w:pPr>
        <w:spacing w:before="160" w:line="240" w:lineRule="auto"/>
      </w:pPr>
    </w:p>
    <w:p w14:paraId="49C984AF" w14:textId="77777777" w:rsidR="00B949FF" w:rsidRDefault="00B949FF" w:rsidP="55DEB025">
      <w:pPr>
        <w:spacing w:before="160" w:line="240" w:lineRule="auto"/>
      </w:pPr>
    </w:p>
    <w:p w14:paraId="58B3FC53" w14:textId="37318EEE" w:rsidR="00CF71BD" w:rsidRDefault="009E350B" w:rsidP="00BB5ACB">
      <w:pPr>
        <w:spacing w:after="0" w:line="240" w:lineRule="auto"/>
        <w:rPr>
          <w:b/>
          <w:bCs/>
        </w:rPr>
      </w:pPr>
      <w:bookmarkStart w:id="86" w:name="_Ref229409134"/>
      <w:bookmarkStart w:id="87" w:name="Table_X_Key_Elements_to_Consider"/>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4</w:t>
      </w:r>
      <w:r>
        <w:rPr>
          <w:b/>
          <w:bCs/>
        </w:rPr>
        <w:fldChar w:fldCharType="end"/>
      </w:r>
      <w:bookmarkEnd w:id="86"/>
      <w:r>
        <w:rPr>
          <w:b/>
          <w:bCs/>
        </w:rPr>
        <w:t>. Key elements to consider when reviewing common local plans</w:t>
      </w:r>
    </w:p>
    <w:tbl>
      <w:tblPr>
        <w:tblStyle w:val="TableGrid"/>
        <w:tblW w:w="9535" w:type="dxa"/>
        <w:tblLook w:val="04A0" w:firstRow="1" w:lastRow="0" w:firstColumn="1" w:lastColumn="0" w:noHBand="0" w:noVBand="1"/>
        <w:tblDescription w:val="Table showing Key Elements to Consider when Reviewing Common Local Plans"/>
      </w:tblPr>
      <w:tblGrid>
        <w:gridCol w:w="3235"/>
        <w:gridCol w:w="6300"/>
      </w:tblGrid>
      <w:tr w:rsidR="00CF71BD" w:rsidRPr="0059461C" w14:paraId="07CA3BA6" w14:textId="77777777" w:rsidTr="00D15879">
        <w:trPr>
          <w:cantSplit/>
          <w:trHeight w:val="288"/>
          <w:tblHeader/>
        </w:trPr>
        <w:tc>
          <w:tcPr>
            <w:tcW w:w="3235" w:type="dxa"/>
            <w:shd w:val="clear" w:color="auto" w:fill="000000" w:themeFill="text1"/>
            <w:vAlign w:val="center"/>
          </w:tcPr>
          <w:bookmarkEnd w:id="87"/>
          <w:p w14:paraId="415B4301" w14:textId="2B2203C7" w:rsidR="00CF71BD" w:rsidRPr="00AA229E" w:rsidRDefault="00CF71BD" w:rsidP="00BB5ACB">
            <w:pPr>
              <w:pStyle w:val="TableParagraph"/>
              <w:contextualSpacing/>
              <w:rPr>
                <w:b/>
                <w:bCs/>
              </w:rPr>
            </w:pPr>
            <w:r>
              <w:rPr>
                <w:b/>
                <w:bCs/>
              </w:rPr>
              <w:t>Planning Mechanism</w:t>
            </w:r>
          </w:p>
        </w:tc>
        <w:tc>
          <w:tcPr>
            <w:tcW w:w="6300" w:type="dxa"/>
            <w:shd w:val="clear" w:color="auto" w:fill="000000" w:themeFill="text1"/>
            <w:vAlign w:val="center"/>
          </w:tcPr>
          <w:p w14:paraId="6526424C" w14:textId="38620116" w:rsidR="00CF71BD" w:rsidRPr="00AA229E" w:rsidRDefault="00CF71BD" w:rsidP="00BB5ACB">
            <w:pPr>
              <w:pStyle w:val="TableParagraph"/>
              <w:contextualSpacing/>
              <w:rPr>
                <w:b/>
                <w:bCs/>
              </w:rPr>
            </w:pPr>
            <w:r>
              <w:rPr>
                <w:b/>
                <w:bCs/>
              </w:rPr>
              <w:t>What</w:t>
            </w:r>
            <w:r>
              <w:rPr>
                <w:b/>
                <w:bCs/>
                <w:spacing w:val="-5"/>
              </w:rPr>
              <w:t xml:space="preserve"> </w:t>
            </w:r>
            <w:r>
              <w:rPr>
                <w:b/>
                <w:bCs/>
              </w:rPr>
              <w:t>to</w:t>
            </w:r>
            <w:r>
              <w:rPr>
                <w:b/>
                <w:bCs/>
                <w:spacing w:val="-5"/>
              </w:rPr>
              <w:t xml:space="preserve"> </w:t>
            </w:r>
            <w:r>
              <w:rPr>
                <w:b/>
                <w:bCs/>
              </w:rPr>
              <w:t>Look</w:t>
            </w:r>
            <w:r>
              <w:rPr>
                <w:b/>
                <w:bCs/>
                <w:spacing w:val="-6"/>
              </w:rPr>
              <w:t xml:space="preserve"> </w:t>
            </w:r>
            <w:r>
              <w:rPr>
                <w:b/>
                <w:bCs/>
                <w:spacing w:val="-5"/>
              </w:rPr>
              <w:t>For</w:t>
            </w:r>
          </w:p>
        </w:tc>
      </w:tr>
      <w:tr w:rsidR="00CF71BD" w:rsidRPr="0059461C" w14:paraId="48ECB447" w14:textId="77777777" w:rsidTr="00D15879">
        <w:trPr>
          <w:cantSplit/>
          <w:trHeight w:val="503"/>
        </w:trPr>
        <w:tc>
          <w:tcPr>
            <w:tcW w:w="3235" w:type="dxa"/>
            <w:vAlign w:val="center"/>
          </w:tcPr>
          <w:p w14:paraId="745F0134" w14:textId="464BFA9E" w:rsidR="00CF71BD" w:rsidRPr="0059461C" w:rsidRDefault="00CF71BD" w:rsidP="00BB5ACB">
            <w:pPr>
              <w:pStyle w:val="TableParagraph"/>
              <w:contextualSpacing/>
            </w:pPr>
            <w:r>
              <w:t>Climate</w:t>
            </w:r>
            <w:r>
              <w:rPr>
                <w:spacing w:val="-14"/>
              </w:rPr>
              <w:t xml:space="preserve"> </w:t>
            </w:r>
            <w:r>
              <w:t>Action</w:t>
            </w:r>
            <w:r>
              <w:rPr>
                <w:spacing w:val="-14"/>
              </w:rPr>
              <w:t>/</w:t>
            </w:r>
            <w:r>
              <w:t>Adaptation Plan (CAP)</w:t>
            </w:r>
          </w:p>
        </w:tc>
        <w:tc>
          <w:tcPr>
            <w:tcW w:w="6300" w:type="dxa"/>
          </w:tcPr>
          <w:p w14:paraId="303B3832" w14:textId="4D82673C" w:rsidR="00CF7CD3" w:rsidRDefault="00121501">
            <w:pPr>
              <w:pStyle w:val="TableParagraph"/>
              <w:numPr>
                <w:ilvl w:val="0"/>
                <w:numId w:val="55"/>
              </w:numPr>
              <w:ind w:left="431"/>
              <w:contextualSpacing/>
            </w:pPr>
            <w:r>
              <w:t>Information on climate hazards, vulnerable assets, and populations</w:t>
            </w:r>
          </w:p>
          <w:p w14:paraId="4A314687" w14:textId="69238712" w:rsidR="00CF7CD3" w:rsidRDefault="00CF7CD3">
            <w:pPr>
              <w:pStyle w:val="TableParagraph"/>
              <w:numPr>
                <w:ilvl w:val="0"/>
                <w:numId w:val="55"/>
              </w:numPr>
              <w:ind w:left="431"/>
              <w:contextualSpacing/>
            </w:pPr>
            <w:r>
              <w:t>Local climate projections</w:t>
            </w:r>
          </w:p>
          <w:p w14:paraId="5C1EF619" w14:textId="418046AF" w:rsidR="00CF7CD3" w:rsidRDefault="00CF7CD3">
            <w:pPr>
              <w:pStyle w:val="TableParagraph"/>
              <w:numPr>
                <w:ilvl w:val="0"/>
                <w:numId w:val="55"/>
              </w:numPr>
              <w:ind w:left="431"/>
              <w:contextualSpacing/>
            </w:pPr>
            <w:r>
              <w:t>Identified climate risks and vulnerabilities</w:t>
            </w:r>
          </w:p>
          <w:p w14:paraId="53F91E03" w14:textId="3B964AF6" w:rsidR="00CF7CD3" w:rsidRDefault="00CF7CD3">
            <w:pPr>
              <w:pStyle w:val="TableParagraph"/>
              <w:numPr>
                <w:ilvl w:val="0"/>
                <w:numId w:val="55"/>
              </w:numPr>
              <w:ind w:left="431"/>
              <w:contextualSpacing/>
            </w:pPr>
            <w:r>
              <w:t>Adaptation and climate mitigation goals and actions</w:t>
            </w:r>
          </w:p>
          <w:p w14:paraId="7BBE270A" w14:textId="6C8F06E0" w:rsidR="00CF71BD" w:rsidRPr="0059461C" w:rsidRDefault="00CF7CD3">
            <w:pPr>
              <w:pStyle w:val="TableParagraph"/>
              <w:numPr>
                <w:ilvl w:val="0"/>
                <w:numId w:val="55"/>
              </w:numPr>
              <w:ind w:left="431"/>
              <w:contextualSpacing/>
            </w:pPr>
            <w:r>
              <w:t>Implementation strategies</w:t>
            </w:r>
          </w:p>
        </w:tc>
      </w:tr>
      <w:tr w:rsidR="00CF71BD" w:rsidRPr="0059461C" w14:paraId="7E7E321A" w14:textId="77777777" w:rsidTr="007107AC">
        <w:trPr>
          <w:cantSplit/>
          <w:trHeight w:val="576"/>
        </w:trPr>
        <w:tc>
          <w:tcPr>
            <w:tcW w:w="3235" w:type="dxa"/>
            <w:shd w:val="clear" w:color="auto" w:fill="D9D9D9" w:themeFill="background1" w:themeFillShade="D9"/>
            <w:vAlign w:val="center"/>
          </w:tcPr>
          <w:p w14:paraId="3BCCD532" w14:textId="0857CF70" w:rsidR="00CF71BD" w:rsidRPr="0059461C" w:rsidRDefault="00CF71BD" w:rsidP="00BB5ACB">
            <w:pPr>
              <w:pStyle w:val="TableParagraph"/>
              <w:contextualSpacing/>
            </w:pPr>
            <w:r>
              <w:t>Climate Vulnerability Assessment</w:t>
            </w:r>
          </w:p>
        </w:tc>
        <w:tc>
          <w:tcPr>
            <w:tcW w:w="6300" w:type="dxa"/>
            <w:shd w:val="clear" w:color="auto" w:fill="D9D9D9" w:themeFill="background1" w:themeFillShade="D9"/>
          </w:tcPr>
          <w:p w14:paraId="5DD667B7" w14:textId="08B61097" w:rsidR="00CF7CD3" w:rsidRDefault="00121501">
            <w:pPr>
              <w:pStyle w:val="TableParagraph"/>
              <w:numPr>
                <w:ilvl w:val="0"/>
                <w:numId w:val="55"/>
              </w:numPr>
              <w:ind w:left="431"/>
              <w:contextualSpacing/>
            </w:pPr>
            <w:r>
              <w:t>Hazard information</w:t>
            </w:r>
          </w:p>
          <w:p w14:paraId="75EBA1F1" w14:textId="30249402" w:rsidR="00CF7CD3" w:rsidRDefault="00CF71BD">
            <w:pPr>
              <w:pStyle w:val="TableParagraph"/>
              <w:numPr>
                <w:ilvl w:val="0"/>
                <w:numId w:val="55"/>
              </w:numPr>
              <w:ind w:left="431"/>
              <w:contextualSpacing/>
            </w:pPr>
            <w:r>
              <w:t>Detailed climate projections</w:t>
            </w:r>
          </w:p>
          <w:p w14:paraId="7853F9C7" w14:textId="4B33CDA0" w:rsidR="00CF7CD3" w:rsidRDefault="00CF71BD">
            <w:pPr>
              <w:pStyle w:val="TableParagraph"/>
              <w:numPr>
                <w:ilvl w:val="0"/>
                <w:numId w:val="55"/>
              </w:numPr>
              <w:ind w:left="431"/>
              <w:contextualSpacing/>
            </w:pPr>
            <w:r>
              <w:t>Identification of vulnerable populations, critical infrastructure, and natural resources</w:t>
            </w:r>
          </w:p>
          <w:p w14:paraId="78A27FB0" w14:textId="1B6228AC" w:rsidR="00CF7CD3" w:rsidRDefault="00CF7CD3">
            <w:pPr>
              <w:pStyle w:val="TableParagraph"/>
              <w:numPr>
                <w:ilvl w:val="0"/>
                <w:numId w:val="55"/>
              </w:numPr>
              <w:ind w:left="431"/>
              <w:contextualSpacing/>
            </w:pPr>
            <w:r>
              <w:t>Risk rankings</w:t>
            </w:r>
          </w:p>
          <w:p w14:paraId="0C7BA539" w14:textId="40113406" w:rsidR="00CF71BD" w:rsidRPr="0059461C" w:rsidRDefault="00CF7CD3">
            <w:pPr>
              <w:pStyle w:val="TableParagraph"/>
              <w:numPr>
                <w:ilvl w:val="0"/>
                <w:numId w:val="55"/>
              </w:numPr>
              <w:ind w:left="431"/>
              <w:contextualSpacing/>
            </w:pPr>
            <w:r>
              <w:t>Exposure data</w:t>
            </w:r>
          </w:p>
        </w:tc>
      </w:tr>
      <w:tr w:rsidR="00CF71BD" w:rsidRPr="0059461C" w14:paraId="7BE0F74B" w14:textId="77777777" w:rsidTr="00D15879">
        <w:trPr>
          <w:cantSplit/>
          <w:trHeight w:val="1100"/>
        </w:trPr>
        <w:tc>
          <w:tcPr>
            <w:tcW w:w="3235" w:type="dxa"/>
            <w:vAlign w:val="center"/>
          </w:tcPr>
          <w:p w14:paraId="4A550AB4" w14:textId="648BDCEF" w:rsidR="00CF71BD" w:rsidRPr="0059461C" w:rsidRDefault="00CF71BD" w:rsidP="00BB5ACB">
            <w:pPr>
              <w:pStyle w:val="TableParagraph"/>
              <w:contextualSpacing/>
            </w:pPr>
            <w:r>
              <w:t>Local Hazard Mitigation Plan (LHMP)</w:t>
            </w:r>
          </w:p>
        </w:tc>
        <w:tc>
          <w:tcPr>
            <w:tcW w:w="6300" w:type="dxa"/>
          </w:tcPr>
          <w:p w14:paraId="04496EB4" w14:textId="24016442" w:rsidR="00CF7CD3" w:rsidRDefault="00CF71BD">
            <w:pPr>
              <w:pStyle w:val="TableParagraph"/>
              <w:numPr>
                <w:ilvl w:val="0"/>
                <w:numId w:val="55"/>
              </w:numPr>
              <w:ind w:left="431"/>
              <w:contextualSpacing/>
            </w:pPr>
            <w:r>
              <w:t>Climate hazard identification (flood, wildfire, extreme heat, drought, sea level rise)</w:t>
            </w:r>
          </w:p>
          <w:p w14:paraId="1FA4A194" w14:textId="73D31563" w:rsidR="00CF7CD3" w:rsidRDefault="00CF7CD3">
            <w:pPr>
              <w:pStyle w:val="TableParagraph"/>
              <w:numPr>
                <w:ilvl w:val="0"/>
                <w:numId w:val="55"/>
              </w:numPr>
              <w:ind w:left="431"/>
              <w:contextualSpacing/>
            </w:pPr>
            <w:r>
              <w:t>Vulnerability and risk assessment</w:t>
            </w:r>
          </w:p>
          <w:p w14:paraId="3B886D96" w14:textId="312C4FC0" w:rsidR="00CF71BD" w:rsidRPr="0059461C" w:rsidRDefault="00CF7CD3">
            <w:pPr>
              <w:pStyle w:val="TableParagraph"/>
              <w:numPr>
                <w:ilvl w:val="0"/>
                <w:numId w:val="55"/>
              </w:numPr>
              <w:ind w:left="431"/>
              <w:contextualSpacing/>
            </w:pPr>
            <w:r>
              <w:t>Climate adaptation strategies aligned with broader hazard mitigation goals</w:t>
            </w:r>
          </w:p>
        </w:tc>
      </w:tr>
      <w:tr w:rsidR="00CF71BD" w:rsidRPr="0059461C" w14:paraId="6F699D8F" w14:textId="77777777" w:rsidTr="007107AC">
        <w:trPr>
          <w:cantSplit/>
          <w:trHeight w:val="1100"/>
        </w:trPr>
        <w:tc>
          <w:tcPr>
            <w:tcW w:w="3235" w:type="dxa"/>
            <w:shd w:val="clear" w:color="auto" w:fill="D9D9D9" w:themeFill="background1" w:themeFillShade="D9"/>
            <w:vAlign w:val="center"/>
          </w:tcPr>
          <w:p w14:paraId="007BF65B" w14:textId="1D1384AA" w:rsidR="00CF71BD" w:rsidRPr="0059461C" w:rsidRDefault="00CF71BD" w:rsidP="00BB5ACB">
            <w:pPr>
              <w:pStyle w:val="TableParagraph"/>
              <w:contextualSpacing/>
            </w:pPr>
            <w:r>
              <w:t>General Plan – Safety or Environmental Justice Elements</w:t>
            </w:r>
          </w:p>
        </w:tc>
        <w:tc>
          <w:tcPr>
            <w:tcW w:w="6300" w:type="dxa"/>
            <w:shd w:val="clear" w:color="auto" w:fill="D9D9D9" w:themeFill="background1" w:themeFillShade="D9"/>
          </w:tcPr>
          <w:p w14:paraId="17441357" w14:textId="140FA4C7" w:rsidR="00CF7CD3" w:rsidRDefault="00121501">
            <w:pPr>
              <w:pStyle w:val="TableParagraph"/>
              <w:numPr>
                <w:ilvl w:val="0"/>
                <w:numId w:val="55"/>
              </w:numPr>
              <w:ind w:left="431"/>
              <w:contextualSpacing/>
            </w:pPr>
            <w:r>
              <w:t>Hazard Information</w:t>
            </w:r>
          </w:p>
          <w:p w14:paraId="6056CCEF" w14:textId="2613C25B" w:rsidR="00595FA4" w:rsidRDefault="00CF7CD3">
            <w:pPr>
              <w:pStyle w:val="TableParagraph"/>
              <w:numPr>
                <w:ilvl w:val="0"/>
                <w:numId w:val="55"/>
              </w:numPr>
              <w:ind w:left="431"/>
              <w:contextualSpacing/>
            </w:pPr>
            <w:r>
              <w:t>Development trends and infrastructure planning</w:t>
            </w:r>
          </w:p>
          <w:p w14:paraId="4AB3D11A" w14:textId="4296773D" w:rsidR="00CF71BD" w:rsidRPr="0059461C" w:rsidRDefault="00595FA4">
            <w:pPr>
              <w:pStyle w:val="TableParagraph"/>
              <w:numPr>
                <w:ilvl w:val="0"/>
                <w:numId w:val="55"/>
              </w:numPr>
              <w:ind w:left="431"/>
              <w:contextualSpacing/>
            </w:pPr>
            <w:r>
              <w:t>Goals and policies that support climate resilience and hazard reduction</w:t>
            </w:r>
          </w:p>
        </w:tc>
      </w:tr>
      <w:tr w:rsidR="00CF71BD" w:rsidRPr="0059461C" w14:paraId="6D114620" w14:textId="77777777" w:rsidTr="00D15879">
        <w:trPr>
          <w:cantSplit/>
          <w:trHeight w:val="557"/>
        </w:trPr>
        <w:tc>
          <w:tcPr>
            <w:tcW w:w="3235" w:type="dxa"/>
            <w:vAlign w:val="center"/>
          </w:tcPr>
          <w:p w14:paraId="41CE67A4" w14:textId="3AC33A26" w:rsidR="00CF71BD" w:rsidRPr="0059461C" w:rsidRDefault="00CF71BD" w:rsidP="00BB5ACB">
            <w:pPr>
              <w:pStyle w:val="TableParagraph"/>
              <w:contextualSpacing/>
            </w:pPr>
            <w:r>
              <w:rPr>
                <w:spacing w:val="-2"/>
              </w:rPr>
              <w:t xml:space="preserve">Emergency </w:t>
            </w:r>
            <w:r>
              <w:t>Operations Plan (EOP)</w:t>
            </w:r>
          </w:p>
        </w:tc>
        <w:tc>
          <w:tcPr>
            <w:tcW w:w="6300" w:type="dxa"/>
          </w:tcPr>
          <w:p w14:paraId="266ADF9D" w14:textId="2871650E" w:rsidR="00CF71BD" w:rsidRPr="0059461C" w:rsidRDefault="00CF71BD">
            <w:pPr>
              <w:pStyle w:val="TableParagraph"/>
              <w:numPr>
                <w:ilvl w:val="0"/>
                <w:numId w:val="55"/>
              </w:numPr>
              <w:ind w:left="431"/>
              <w:contextualSpacing/>
            </w:pPr>
            <w:r>
              <w:t>Data on hazards or events of concern and vulnerabilities</w:t>
            </w:r>
          </w:p>
        </w:tc>
      </w:tr>
      <w:tr w:rsidR="00CF71BD" w:rsidRPr="0059461C" w14:paraId="3D8E64F9" w14:textId="77777777" w:rsidTr="007107AC">
        <w:trPr>
          <w:cantSplit/>
          <w:trHeight w:val="1100"/>
        </w:trPr>
        <w:tc>
          <w:tcPr>
            <w:tcW w:w="3235" w:type="dxa"/>
            <w:shd w:val="clear" w:color="auto" w:fill="D9D9D9" w:themeFill="background1" w:themeFillShade="D9"/>
            <w:vAlign w:val="center"/>
          </w:tcPr>
          <w:p w14:paraId="4ABC2D64" w14:textId="6C12D90F" w:rsidR="00CF71BD" w:rsidRPr="0059461C" w:rsidRDefault="00CF71BD" w:rsidP="00BB5ACB">
            <w:pPr>
              <w:pStyle w:val="TableParagraph"/>
              <w:contextualSpacing/>
            </w:pPr>
            <w:r>
              <w:t>Economic Development Plans</w:t>
            </w:r>
          </w:p>
        </w:tc>
        <w:tc>
          <w:tcPr>
            <w:tcW w:w="6300" w:type="dxa"/>
            <w:shd w:val="clear" w:color="auto" w:fill="D9D9D9" w:themeFill="background1" w:themeFillShade="D9"/>
          </w:tcPr>
          <w:p w14:paraId="0E3E90C7" w14:textId="50816869" w:rsidR="000213F9" w:rsidRDefault="00CF71BD">
            <w:pPr>
              <w:pStyle w:val="TableParagraph"/>
              <w:numPr>
                <w:ilvl w:val="0"/>
                <w:numId w:val="55"/>
              </w:numPr>
              <w:ind w:left="431"/>
              <w:contextualSpacing/>
            </w:pPr>
            <w:r>
              <w:t>Existing partners</w:t>
            </w:r>
          </w:p>
          <w:p w14:paraId="74502C29" w14:textId="67E9992C" w:rsidR="000213F9" w:rsidRPr="00984E57" w:rsidRDefault="000213F9">
            <w:pPr>
              <w:pStyle w:val="TableParagraph"/>
              <w:numPr>
                <w:ilvl w:val="0"/>
                <w:numId w:val="55"/>
              </w:numPr>
              <w:ind w:left="431"/>
              <w:contextualSpacing/>
            </w:pPr>
            <w:r>
              <w:t>Prioritized economic growth areas</w:t>
            </w:r>
          </w:p>
          <w:p w14:paraId="773392EE" w14:textId="6829556A" w:rsidR="000213F9" w:rsidRDefault="00CF71BD">
            <w:pPr>
              <w:pStyle w:val="TableParagraph"/>
              <w:numPr>
                <w:ilvl w:val="0"/>
                <w:numId w:val="55"/>
              </w:numPr>
              <w:ind w:left="431"/>
              <w:contextualSpacing/>
            </w:pPr>
            <w:r>
              <w:t>Data on demographics, local industries, infrastructure and growth</w:t>
            </w:r>
          </w:p>
          <w:p w14:paraId="7FCACE4F" w14:textId="40F9076E" w:rsidR="000213F9" w:rsidRDefault="00CF71BD">
            <w:pPr>
              <w:pStyle w:val="TableParagraph"/>
              <w:numPr>
                <w:ilvl w:val="0"/>
                <w:numId w:val="55"/>
              </w:numPr>
              <w:ind w:left="431"/>
              <w:contextualSpacing/>
            </w:pPr>
            <w:r>
              <w:t>Consideration of climate impacts on local industries, infrastructure, and growth</w:t>
            </w:r>
          </w:p>
          <w:p w14:paraId="41D5AE59" w14:textId="4BB1B008" w:rsidR="00CF71BD" w:rsidRPr="0059461C" w:rsidRDefault="000213F9">
            <w:pPr>
              <w:pStyle w:val="TableParagraph"/>
              <w:numPr>
                <w:ilvl w:val="0"/>
                <w:numId w:val="55"/>
              </w:numPr>
              <w:ind w:left="431"/>
              <w:contextualSpacing/>
            </w:pPr>
            <w:r>
              <w:t>Strategies for resilient and sustainable economic development</w:t>
            </w:r>
          </w:p>
        </w:tc>
      </w:tr>
      <w:tr w:rsidR="00CF71BD" w:rsidRPr="0059461C" w14:paraId="5B469737" w14:textId="77777777" w:rsidTr="00D15879">
        <w:trPr>
          <w:cantSplit/>
          <w:trHeight w:val="593"/>
        </w:trPr>
        <w:tc>
          <w:tcPr>
            <w:tcW w:w="3235" w:type="dxa"/>
            <w:vAlign w:val="center"/>
          </w:tcPr>
          <w:p w14:paraId="1AC479BA" w14:textId="29F3A47E" w:rsidR="00CF71BD" w:rsidRPr="0059461C" w:rsidRDefault="00CF71BD" w:rsidP="00BB5ACB">
            <w:pPr>
              <w:pStyle w:val="TableParagraph"/>
              <w:contextualSpacing/>
            </w:pPr>
            <w:r>
              <w:t xml:space="preserve">Land Use </w:t>
            </w:r>
            <w:r>
              <w:rPr>
                <w:spacing w:val="-2"/>
              </w:rPr>
              <w:t>Ordinances</w:t>
            </w:r>
          </w:p>
        </w:tc>
        <w:tc>
          <w:tcPr>
            <w:tcW w:w="6300" w:type="dxa"/>
          </w:tcPr>
          <w:p w14:paraId="7E7EA32B" w14:textId="22F84925" w:rsidR="00CF71BD" w:rsidRPr="0059461C" w:rsidRDefault="00CF71BD">
            <w:pPr>
              <w:pStyle w:val="TableParagraph"/>
              <w:numPr>
                <w:ilvl w:val="0"/>
                <w:numId w:val="55"/>
              </w:numPr>
              <w:ind w:left="431"/>
              <w:contextualSpacing/>
            </w:pPr>
            <w:r>
              <w:t>Hazard-specific provisions and overall development rules</w:t>
            </w:r>
          </w:p>
        </w:tc>
      </w:tr>
      <w:tr w:rsidR="00CF71BD" w:rsidRPr="0059461C" w14:paraId="492B543F" w14:textId="77777777" w:rsidTr="007107AC">
        <w:trPr>
          <w:cantSplit/>
          <w:trHeight w:val="1100"/>
        </w:trPr>
        <w:tc>
          <w:tcPr>
            <w:tcW w:w="3235" w:type="dxa"/>
            <w:shd w:val="clear" w:color="auto" w:fill="D9D9D9" w:themeFill="background1" w:themeFillShade="D9"/>
            <w:vAlign w:val="center"/>
          </w:tcPr>
          <w:p w14:paraId="3E23F6B7" w14:textId="51514326" w:rsidR="00CF71BD" w:rsidRPr="0059461C" w:rsidRDefault="00CF71BD" w:rsidP="00BB5ACB">
            <w:pPr>
              <w:pStyle w:val="TableParagraph"/>
              <w:contextualSpacing/>
            </w:pPr>
            <w:r>
              <w:t>Community Wildfire Protection Plan (CWPP)</w:t>
            </w:r>
          </w:p>
        </w:tc>
        <w:tc>
          <w:tcPr>
            <w:tcW w:w="6300" w:type="dxa"/>
            <w:shd w:val="clear" w:color="auto" w:fill="D9D9D9" w:themeFill="background1" w:themeFillShade="D9"/>
          </w:tcPr>
          <w:p w14:paraId="36C41502" w14:textId="6C4CFAA0" w:rsidR="000213F9" w:rsidRDefault="00CF71BD">
            <w:pPr>
              <w:pStyle w:val="TableParagraph"/>
              <w:numPr>
                <w:ilvl w:val="0"/>
                <w:numId w:val="55"/>
              </w:numPr>
              <w:ind w:left="431"/>
              <w:contextualSpacing/>
            </w:pPr>
            <w:r>
              <w:t>Wildfire risk assessments</w:t>
            </w:r>
          </w:p>
          <w:p w14:paraId="206E23C3" w14:textId="3694211F" w:rsidR="000213F9" w:rsidRDefault="000213F9">
            <w:pPr>
              <w:pStyle w:val="TableParagraph"/>
              <w:numPr>
                <w:ilvl w:val="0"/>
                <w:numId w:val="55"/>
              </w:numPr>
              <w:ind w:left="431"/>
              <w:contextualSpacing/>
            </w:pPr>
            <w:r>
              <w:t>Priority areas for fuel reduction</w:t>
            </w:r>
          </w:p>
          <w:p w14:paraId="440C79EF" w14:textId="7D323301" w:rsidR="000213F9" w:rsidRDefault="000213F9">
            <w:pPr>
              <w:pStyle w:val="TableParagraph"/>
              <w:numPr>
                <w:ilvl w:val="0"/>
                <w:numId w:val="55"/>
              </w:numPr>
              <w:ind w:left="431"/>
              <w:contextualSpacing/>
            </w:pPr>
            <w:r>
              <w:t>Prevention and adaptation strategies</w:t>
            </w:r>
          </w:p>
          <w:p w14:paraId="554EC012" w14:textId="3DEE196A" w:rsidR="00CF71BD" w:rsidRPr="0059461C" w:rsidRDefault="000213F9">
            <w:pPr>
              <w:pStyle w:val="TableParagraph"/>
              <w:numPr>
                <w:ilvl w:val="0"/>
                <w:numId w:val="55"/>
              </w:numPr>
              <w:ind w:left="431"/>
              <w:contextualSpacing/>
            </w:pPr>
            <w:r>
              <w:t>Community preparedness measures</w:t>
            </w:r>
          </w:p>
        </w:tc>
      </w:tr>
      <w:tr w:rsidR="007725AC" w:rsidRPr="0059461C" w14:paraId="462876AB" w14:textId="77777777" w:rsidTr="00D15879">
        <w:trPr>
          <w:cantSplit/>
          <w:trHeight w:val="576"/>
        </w:trPr>
        <w:tc>
          <w:tcPr>
            <w:tcW w:w="3235" w:type="dxa"/>
            <w:vAlign w:val="center"/>
          </w:tcPr>
          <w:p w14:paraId="2874A2BB" w14:textId="699B4EFF" w:rsidR="007725AC" w:rsidRDefault="007725AC" w:rsidP="00BB5ACB">
            <w:pPr>
              <w:pStyle w:val="TableParagraph"/>
              <w:contextualSpacing/>
            </w:pPr>
            <w:r>
              <w:t>Threat and Hazard Identification and Risk Assessment (THIRA)</w:t>
            </w:r>
          </w:p>
        </w:tc>
        <w:tc>
          <w:tcPr>
            <w:tcW w:w="6300" w:type="dxa"/>
          </w:tcPr>
          <w:p w14:paraId="784EBB1A" w14:textId="77777777" w:rsidR="0057703E" w:rsidRDefault="0057703E">
            <w:pPr>
              <w:pStyle w:val="TableParagraph"/>
              <w:numPr>
                <w:ilvl w:val="0"/>
                <w:numId w:val="55"/>
              </w:numPr>
              <w:ind w:left="431"/>
              <w:contextualSpacing/>
            </w:pPr>
            <w:r>
              <w:t>Identification of climate-related and other hazards</w:t>
            </w:r>
          </w:p>
          <w:p w14:paraId="6402BA40" w14:textId="77777777" w:rsidR="0057703E" w:rsidRDefault="0057703E">
            <w:pPr>
              <w:pStyle w:val="TableParagraph"/>
              <w:numPr>
                <w:ilvl w:val="0"/>
                <w:numId w:val="55"/>
              </w:numPr>
              <w:ind w:left="431"/>
              <w:contextualSpacing/>
            </w:pPr>
            <w:r>
              <w:t>Exposure and vulnerability analyses</w:t>
            </w:r>
          </w:p>
          <w:p w14:paraId="506ECED7" w14:textId="77777777" w:rsidR="0057703E" w:rsidRDefault="0057703E">
            <w:pPr>
              <w:pStyle w:val="TableParagraph"/>
              <w:numPr>
                <w:ilvl w:val="0"/>
                <w:numId w:val="55"/>
              </w:numPr>
              <w:ind w:left="431"/>
              <w:contextualSpacing/>
            </w:pPr>
            <w:r>
              <w:t>Critical natural and built assets</w:t>
            </w:r>
          </w:p>
          <w:p w14:paraId="633F0DE4" w14:textId="77777777" w:rsidR="0057703E" w:rsidRDefault="0057703E">
            <w:pPr>
              <w:pStyle w:val="TableParagraph"/>
              <w:numPr>
                <w:ilvl w:val="0"/>
                <w:numId w:val="55"/>
              </w:numPr>
              <w:ind w:left="431"/>
              <w:contextualSpacing/>
            </w:pPr>
            <w:r>
              <w:t>Existing capabilities, partners, and resource gaps</w:t>
            </w:r>
          </w:p>
          <w:p w14:paraId="1D93B236" w14:textId="6D43F5F1" w:rsidR="00774F45" w:rsidRPr="0059461C" w:rsidRDefault="0057703E">
            <w:pPr>
              <w:pStyle w:val="TableParagraph"/>
              <w:numPr>
                <w:ilvl w:val="0"/>
                <w:numId w:val="55"/>
              </w:numPr>
              <w:ind w:left="431"/>
              <w:contextualSpacing/>
            </w:pPr>
            <w:r>
              <w:t>Hazard mitigation and risk reduction strategies</w:t>
            </w:r>
          </w:p>
        </w:tc>
      </w:tr>
      <w:tr w:rsidR="002C132C" w:rsidRPr="0059461C" w14:paraId="0B281928" w14:textId="77777777" w:rsidTr="00915460">
        <w:trPr>
          <w:cantSplit/>
          <w:trHeight w:val="576"/>
        </w:trPr>
        <w:tc>
          <w:tcPr>
            <w:tcW w:w="3235" w:type="dxa"/>
            <w:shd w:val="clear" w:color="auto" w:fill="D9D9D9" w:themeFill="background1" w:themeFillShade="D9"/>
            <w:vAlign w:val="center"/>
          </w:tcPr>
          <w:p w14:paraId="6D7662A6" w14:textId="2106D896" w:rsidR="002C132C" w:rsidRPr="0059461C" w:rsidRDefault="00124326" w:rsidP="00BB5ACB">
            <w:pPr>
              <w:pStyle w:val="TableParagraph"/>
              <w:contextualSpacing/>
            </w:pPr>
            <w:r>
              <w:t>Local Coastal Program (LCP)</w:t>
            </w:r>
          </w:p>
        </w:tc>
        <w:tc>
          <w:tcPr>
            <w:tcW w:w="6300" w:type="dxa"/>
            <w:shd w:val="clear" w:color="auto" w:fill="D9D9D9" w:themeFill="background1" w:themeFillShade="D9"/>
          </w:tcPr>
          <w:p w14:paraId="6E3E60AA" w14:textId="77777777" w:rsidR="008E622E" w:rsidRDefault="008E622E">
            <w:pPr>
              <w:pStyle w:val="TableParagraph"/>
              <w:numPr>
                <w:ilvl w:val="0"/>
                <w:numId w:val="55"/>
              </w:numPr>
              <w:ind w:left="431"/>
              <w:contextualSpacing/>
            </w:pPr>
            <w:r>
              <w:t>Coastal hazards and shoreline conditions</w:t>
            </w:r>
          </w:p>
          <w:p w14:paraId="545D5B02" w14:textId="77777777" w:rsidR="008E622E" w:rsidRDefault="008E622E">
            <w:pPr>
              <w:pStyle w:val="TableParagraph"/>
              <w:numPr>
                <w:ilvl w:val="0"/>
                <w:numId w:val="55"/>
              </w:numPr>
              <w:ind w:left="431"/>
              <w:contextualSpacing/>
            </w:pPr>
            <w:r>
              <w:t>Coastal resource protection policies</w:t>
            </w:r>
          </w:p>
          <w:p w14:paraId="52854C34" w14:textId="77777777" w:rsidR="008E622E" w:rsidRDefault="008E622E">
            <w:pPr>
              <w:pStyle w:val="TableParagraph"/>
              <w:numPr>
                <w:ilvl w:val="0"/>
                <w:numId w:val="55"/>
              </w:numPr>
              <w:ind w:left="431"/>
              <w:contextualSpacing/>
            </w:pPr>
            <w:r>
              <w:t>Sea level rise adaptation policies and development standards</w:t>
            </w:r>
          </w:p>
          <w:p w14:paraId="71B36B4B" w14:textId="3FDA0017" w:rsidR="002C132C" w:rsidRPr="00FE5D5A" w:rsidRDefault="008E622E">
            <w:pPr>
              <w:pStyle w:val="TableParagraph"/>
              <w:numPr>
                <w:ilvl w:val="0"/>
                <w:numId w:val="55"/>
              </w:numPr>
              <w:ind w:left="431"/>
              <w:contextualSpacing/>
            </w:pPr>
            <w:r>
              <w:t>Coastal access, habitat, and infrastructure considerations</w:t>
            </w:r>
          </w:p>
        </w:tc>
      </w:tr>
      <w:tr w:rsidR="00124326" w:rsidRPr="0059461C" w14:paraId="2F53F078" w14:textId="77777777" w:rsidTr="00D15879">
        <w:trPr>
          <w:cantSplit/>
          <w:trHeight w:val="576"/>
        </w:trPr>
        <w:tc>
          <w:tcPr>
            <w:tcW w:w="3235" w:type="dxa"/>
            <w:vAlign w:val="center"/>
          </w:tcPr>
          <w:p w14:paraId="535922E9" w14:textId="36D88374" w:rsidR="00124326" w:rsidRPr="0059461C" w:rsidRDefault="00FD4742" w:rsidP="00BB5ACB">
            <w:pPr>
              <w:pStyle w:val="TableParagraph"/>
              <w:contextualSpacing/>
            </w:pPr>
            <w:r>
              <w:t xml:space="preserve">Subregional Shoreline Adaptation Plan </w:t>
            </w:r>
          </w:p>
        </w:tc>
        <w:tc>
          <w:tcPr>
            <w:tcW w:w="6300" w:type="dxa"/>
          </w:tcPr>
          <w:p w14:paraId="4E2036D7" w14:textId="77777777" w:rsidR="00EC1499" w:rsidRDefault="00DA3BCC">
            <w:pPr>
              <w:pStyle w:val="TableParagraph"/>
              <w:numPr>
                <w:ilvl w:val="0"/>
                <w:numId w:val="55"/>
              </w:numPr>
              <w:ind w:left="431"/>
              <w:contextualSpacing/>
            </w:pPr>
            <w:r>
              <w:t>Assessment of shoreline and coastal hazard exposure for natural</w:t>
            </w:r>
            <w:r w:rsidR="001A6DC4">
              <w:t xml:space="preserve">, </w:t>
            </w:r>
            <w:r>
              <w:t>built</w:t>
            </w:r>
            <w:r w:rsidR="001A6DC4">
              <w:t xml:space="preserve">, and community assets, including </w:t>
            </w:r>
            <w:r w:rsidR="00EC1499">
              <w:t>vulnerable communities.</w:t>
            </w:r>
          </w:p>
          <w:p w14:paraId="73176F57" w14:textId="14D1C285" w:rsidR="00CE4BF6" w:rsidRDefault="00DA3BCC">
            <w:pPr>
              <w:pStyle w:val="TableParagraph"/>
              <w:numPr>
                <w:ilvl w:val="0"/>
                <w:numId w:val="55"/>
              </w:numPr>
              <w:ind w:left="431"/>
              <w:contextualSpacing/>
            </w:pPr>
            <w:r>
              <w:t>Identification and prioritization of shoreline adaptation focus areas based on local values, community priorities, and regional objectives</w:t>
            </w:r>
          </w:p>
          <w:p w14:paraId="75B22966" w14:textId="77777777" w:rsidR="00CE4BF6" w:rsidRDefault="00DA3BCC">
            <w:pPr>
              <w:pStyle w:val="TableParagraph"/>
              <w:numPr>
                <w:ilvl w:val="0"/>
                <w:numId w:val="55"/>
              </w:numPr>
              <w:ind w:left="431"/>
              <w:contextualSpacing/>
            </w:pPr>
            <w:r>
              <w:t>Detailed vulnerability assessments for priority areas</w:t>
            </w:r>
          </w:p>
          <w:p w14:paraId="35E0D567" w14:textId="77777777" w:rsidR="00CE4BF6" w:rsidRDefault="00DA3BCC">
            <w:pPr>
              <w:pStyle w:val="TableParagraph"/>
              <w:numPr>
                <w:ilvl w:val="0"/>
                <w:numId w:val="55"/>
              </w:numPr>
              <w:ind w:left="431"/>
              <w:contextualSpacing/>
            </w:pPr>
            <w:r>
              <w:t>Adaptation strategies, projects, and policy recommendations</w:t>
            </w:r>
          </w:p>
          <w:p w14:paraId="1D9D1C50" w14:textId="00A43062" w:rsidR="00124326" w:rsidRPr="0059461C" w:rsidRDefault="00DA3BCC">
            <w:pPr>
              <w:pStyle w:val="TableParagraph"/>
              <w:numPr>
                <w:ilvl w:val="0"/>
                <w:numId w:val="55"/>
              </w:numPr>
              <w:ind w:left="431"/>
              <w:contextualSpacing/>
            </w:pPr>
            <w:r>
              <w:t>Regional coordination opportunities, implementation partners, and funding considerations</w:t>
            </w:r>
          </w:p>
        </w:tc>
      </w:tr>
      <w:tr w:rsidR="00CF71BD" w:rsidRPr="0059461C" w14:paraId="71F166C8" w14:textId="77777777" w:rsidTr="00915460">
        <w:trPr>
          <w:cantSplit/>
          <w:trHeight w:val="576"/>
        </w:trPr>
        <w:tc>
          <w:tcPr>
            <w:tcW w:w="3235" w:type="dxa"/>
            <w:shd w:val="clear" w:color="auto" w:fill="D9D9D9" w:themeFill="background1" w:themeFillShade="D9"/>
            <w:vAlign w:val="center"/>
          </w:tcPr>
          <w:p w14:paraId="1E4BC955" w14:textId="7748E58C" w:rsidR="00CF71BD" w:rsidRPr="0059461C" w:rsidRDefault="00CF71BD" w:rsidP="00BB5ACB">
            <w:pPr>
              <w:pStyle w:val="TableParagraph"/>
              <w:contextualSpacing/>
            </w:pPr>
            <w:r>
              <w:t>Recovery</w:t>
            </w:r>
            <w:r>
              <w:rPr>
                <w:spacing w:val="-14"/>
              </w:rPr>
              <w:t xml:space="preserve"> </w:t>
            </w:r>
            <w:r>
              <w:t>Plans</w:t>
            </w:r>
          </w:p>
        </w:tc>
        <w:tc>
          <w:tcPr>
            <w:tcW w:w="6300" w:type="dxa"/>
            <w:shd w:val="clear" w:color="auto" w:fill="D9D9D9" w:themeFill="background1" w:themeFillShade="D9"/>
          </w:tcPr>
          <w:p w14:paraId="3D2FDE29" w14:textId="1BADE6DB" w:rsidR="00812ED6" w:rsidRDefault="00CF71BD">
            <w:pPr>
              <w:pStyle w:val="TableParagraph"/>
              <w:numPr>
                <w:ilvl w:val="0"/>
                <w:numId w:val="55"/>
              </w:numPr>
              <w:ind w:left="431"/>
              <w:contextualSpacing/>
            </w:pPr>
            <w:r>
              <w:t>Information on potential partners</w:t>
            </w:r>
          </w:p>
          <w:p w14:paraId="00F65316" w14:textId="77777777" w:rsidR="00CF71BD" w:rsidRDefault="00812ED6">
            <w:pPr>
              <w:pStyle w:val="TableParagraph"/>
              <w:numPr>
                <w:ilvl w:val="0"/>
                <w:numId w:val="55"/>
              </w:numPr>
              <w:ind w:left="431"/>
              <w:contextualSpacing/>
            </w:pPr>
            <w:r>
              <w:t>Risk reduction plans and strategies</w:t>
            </w:r>
          </w:p>
          <w:p w14:paraId="5F7ACC87" w14:textId="77777777" w:rsidR="007763C3" w:rsidRDefault="007763C3">
            <w:pPr>
              <w:pStyle w:val="TableParagraph"/>
              <w:numPr>
                <w:ilvl w:val="0"/>
                <w:numId w:val="55"/>
              </w:numPr>
              <w:ind w:left="431"/>
              <w:contextualSpacing/>
            </w:pPr>
            <w:r>
              <w:t>Recovery priorities and governance structures</w:t>
            </w:r>
          </w:p>
          <w:p w14:paraId="5439879C" w14:textId="77777777" w:rsidR="007763C3" w:rsidRDefault="007763C3">
            <w:pPr>
              <w:pStyle w:val="TableParagraph"/>
              <w:numPr>
                <w:ilvl w:val="0"/>
                <w:numId w:val="55"/>
              </w:numPr>
              <w:ind w:left="431"/>
              <w:contextualSpacing/>
            </w:pPr>
            <w:r>
              <w:t>Strategies to reduce future risk while rebuilding</w:t>
            </w:r>
          </w:p>
          <w:p w14:paraId="5C77908D" w14:textId="2FD68859" w:rsidR="00CF71BD" w:rsidRPr="0059461C" w:rsidRDefault="007763C3">
            <w:pPr>
              <w:pStyle w:val="TableParagraph"/>
              <w:numPr>
                <w:ilvl w:val="0"/>
                <w:numId w:val="55"/>
              </w:numPr>
              <w:ind w:left="431"/>
              <w:contextualSpacing/>
            </w:pPr>
            <w:r>
              <w:t>Opportunities to integrate resilience into long-term recovery and redevelopment</w:t>
            </w:r>
          </w:p>
        </w:tc>
      </w:tr>
    </w:tbl>
    <w:p w14:paraId="408DC6D8" w14:textId="77777777" w:rsidR="00ED0329" w:rsidRDefault="00ED0329" w:rsidP="008229BC">
      <w:pPr>
        <w:pStyle w:val="ListParagraph"/>
        <w:spacing w:before="160" w:line="240" w:lineRule="auto"/>
        <w:ind w:left="0"/>
        <w:contextualSpacing w:val="0"/>
      </w:pPr>
      <w:bookmarkStart w:id="88" w:name="_Hlk235782960"/>
    </w:p>
    <w:p w14:paraId="215B17A4" w14:textId="77777777" w:rsidR="0011563E" w:rsidRDefault="0011563E" w:rsidP="008229BC">
      <w:pPr>
        <w:pStyle w:val="ListParagraph"/>
        <w:spacing w:before="160" w:line="240" w:lineRule="auto"/>
        <w:ind w:left="0"/>
        <w:contextualSpacing w:val="0"/>
      </w:pPr>
    </w:p>
    <w:p w14:paraId="19DD422D" w14:textId="77777777" w:rsidR="0011563E" w:rsidRDefault="0011563E" w:rsidP="008229BC">
      <w:pPr>
        <w:pStyle w:val="ListParagraph"/>
        <w:spacing w:before="160" w:line="240" w:lineRule="auto"/>
        <w:ind w:left="0"/>
        <w:contextualSpacing w:val="0"/>
      </w:pPr>
    </w:p>
    <w:p w14:paraId="3A3F46F8" w14:textId="77777777" w:rsidR="0011563E" w:rsidRDefault="0011563E" w:rsidP="008229BC">
      <w:pPr>
        <w:pStyle w:val="ListParagraph"/>
        <w:spacing w:before="160" w:line="240" w:lineRule="auto"/>
        <w:ind w:left="0"/>
        <w:contextualSpacing w:val="0"/>
      </w:pPr>
    </w:p>
    <w:p w14:paraId="4770DE0F" w14:textId="77777777" w:rsidR="00ED0329" w:rsidRDefault="00ED0329" w:rsidP="008229BC">
      <w:pPr>
        <w:pStyle w:val="ListParagraph"/>
        <w:spacing w:before="160" w:line="240" w:lineRule="auto"/>
        <w:ind w:left="0"/>
        <w:contextualSpacing w:val="0"/>
      </w:pPr>
    </w:p>
    <w:bookmarkEnd w:id="88"/>
    <w:p w14:paraId="298A323D" w14:textId="017CB929" w:rsidR="00A7285A" w:rsidRPr="00FB064A" w:rsidRDefault="00A7285A" w:rsidP="00186387">
      <w:pPr>
        <w:pStyle w:val="pf0"/>
        <w:rPr>
          <w:rFonts w:ascii="Century Gothic" w:hAnsi="Century Gothic"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B700A" w14:paraId="23947F81" w14:textId="77777777" w:rsidTr="00BB49AE">
        <w:trPr>
          <w:trHeight w:val="576"/>
        </w:trPr>
        <w:tc>
          <w:tcPr>
            <w:tcW w:w="9350" w:type="dxa"/>
            <w:shd w:val="clear" w:color="auto" w:fill="58257F"/>
            <w:vAlign w:val="center"/>
          </w:tcPr>
          <w:p w14:paraId="53A95E53" w14:textId="77777777" w:rsidR="008B700A" w:rsidRPr="00386315" w:rsidRDefault="008B700A" w:rsidP="00BB49AE">
            <w:pPr>
              <w:rPr>
                <w:b/>
                <w:color w:val="FFFFFF" w:themeColor="background1"/>
              </w:rPr>
            </w:pPr>
            <w:r>
              <w:rPr>
                <w:b/>
                <w:color w:val="FFFFFF" w:themeColor="background1"/>
              </w:rPr>
              <w:t>Policy</w:t>
            </w:r>
            <w:r>
              <w:rPr>
                <w:b/>
                <w:bCs/>
                <w:color w:val="FFFFFF" w:themeColor="background1"/>
              </w:rPr>
              <w:t xml:space="preserve"> </w:t>
            </w:r>
            <w:r>
              <w:rPr>
                <w:b/>
                <w:color w:val="FFFFFF" w:themeColor="background1"/>
              </w:rPr>
              <w:t>Connection:</w:t>
            </w:r>
            <w:r>
              <w:rPr>
                <w:b/>
                <w:bCs/>
                <w:color w:val="FFFFFF" w:themeColor="background1"/>
              </w:rPr>
              <w:t xml:space="preserve"> </w:t>
            </w:r>
            <w:r>
              <w:rPr>
                <w:b/>
                <w:color w:val="FFFFFF" w:themeColor="background1"/>
              </w:rPr>
              <w:t xml:space="preserve">Local Hazard Mitigation Plans </w:t>
            </w:r>
          </w:p>
        </w:tc>
      </w:tr>
      <w:tr w:rsidR="008B700A" w14:paraId="0B80A0AD" w14:textId="77777777" w:rsidTr="00BB49AE">
        <w:tc>
          <w:tcPr>
            <w:tcW w:w="9350" w:type="dxa"/>
            <w:shd w:val="clear" w:color="auto" w:fill="E4D2F2"/>
          </w:tcPr>
          <w:p w14:paraId="3152BA5B" w14:textId="3CF2BABF" w:rsidR="00BC194F" w:rsidRDefault="00125C2A" w:rsidP="00BB49AE">
            <w:pPr>
              <w:spacing w:before="120" w:after="160"/>
            </w:pPr>
            <w:r>
              <w:t>Local Hazard Mitigation Plans must document how existing plans, studies, reports, and technical information were reviewed and incorporated, and how that review informed the plan’s findings and recommendations.</w:t>
            </w:r>
          </w:p>
          <w:p w14:paraId="728A1E31" w14:textId="2712DF4C" w:rsidR="00BB49AE" w:rsidRDefault="00125C2A" w:rsidP="00BB49AE">
            <w:pPr>
              <w:spacing w:before="160" w:after="160"/>
            </w:pPr>
            <w:r>
              <w:t>Hazard mitigation principles and actions should flow into the community’s other plans, including land use, capital improvements, transportation, housing, and more. At the same time, the goals, data, and strategies from those plans should inform the Hazard Mitigation Plan. When these connections are intentional and well-documented, the result is a more resilient community across every planning domain.</w:t>
            </w:r>
          </w:p>
          <w:p w14:paraId="1040B8A5" w14:textId="447EEF9E" w:rsidR="001C569C" w:rsidRDefault="00125C2A" w:rsidP="00BB49AE">
            <w:pPr>
              <w:spacing w:before="120" w:after="120"/>
            </w:pPr>
            <w:r>
              <w:t>What it looks like in the community depends on the vulnerability of the built environment, the plans and programs already in place, and the people responsible for carrying them out. The most successful integration happens when a diverse set of partners, including planners, emergency managers, public works, developers, and community members, collaborate across disciplines rather than working in silos.</w:t>
            </w:r>
          </w:p>
          <w:p w14:paraId="12EC3A2E" w14:textId="30F518FA" w:rsidR="000C278A" w:rsidRPr="00A64456" w:rsidRDefault="00125C2A" w:rsidP="00BB49AE">
            <w:pPr>
              <w:spacing w:before="160" w:after="120"/>
            </w:pPr>
            <w:r>
              <w:t xml:space="preserve">For more ideas on connecting hazard mitigation with the community’s other plans, review </w:t>
            </w:r>
            <w:hyperlink r:id="rId142" w:history="1">
              <w:r>
                <w:rPr>
                  <w:rStyle w:val="Hyperlink"/>
                </w:rPr>
                <w:t>Plan Integration: Linking Local Efforts</w:t>
              </w:r>
            </w:hyperlink>
            <w:r>
              <w:t>.</w:t>
            </w:r>
          </w:p>
        </w:tc>
      </w:tr>
    </w:tbl>
    <w:p w14:paraId="481D08CC" w14:textId="77777777" w:rsidR="008B700A" w:rsidRPr="00B17CBE" w:rsidRDefault="008B700A" w:rsidP="00D37199">
      <w:pPr>
        <w:widowControl w:val="0"/>
        <w:tabs>
          <w:tab w:val="left" w:pos="1620"/>
        </w:tabs>
        <w:autoSpaceDE w:val="0"/>
        <w:autoSpaceDN w:val="0"/>
        <w:spacing w:after="0" w:line="240" w:lineRule="auto"/>
      </w:pPr>
    </w:p>
    <w:tbl>
      <w:tblPr>
        <w:tblStyle w:val="TableGrid"/>
        <w:tblW w:w="0" w:type="auto"/>
        <w:tblLook w:val="04A0" w:firstRow="1" w:lastRow="0" w:firstColumn="1" w:lastColumn="0" w:noHBand="0" w:noVBand="1"/>
      </w:tblPr>
      <w:tblGrid>
        <w:gridCol w:w="9360"/>
      </w:tblGrid>
      <w:tr w:rsidR="009E350B" w:rsidRPr="009E350B" w14:paraId="50471FA1" w14:textId="77777777" w:rsidTr="00E32790">
        <w:trPr>
          <w:trHeight w:val="576"/>
        </w:trPr>
        <w:tc>
          <w:tcPr>
            <w:tcW w:w="9360" w:type="dxa"/>
            <w:tcBorders>
              <w:top w:val="nil"/>
              <w:left w:val="nil"/>
              <w:bottom w:val="nil"/>
              <w:right w:val="nil"/>
            </w:tcBorders>
            <w:shd w:val="clear" w:color="auto" w:fill="14581C"/>
            <w:vAlign w:val="center"/>
          </w:tcPr>
          <w:p w14:paraId="624A1CFE" w14:textId="3BBFDB8F" w:rsidR="009E350B" w:rsidRPr="009E350B" w:rsidRDefault="000C4F57" w:rsidP="00BB5ACB">
            <w:pPr>
              <w:rPr>
                <w:b/>
                <w:bCs/>
                <w:color w:val="FFFFFF" w:themeColor="background1"/>
              </w:rPr>
            </w:pPr>
            <w:r>
              <w:rPr>
                <w:b/>
                <w:color w:val="FFFFFF" w:themeColor="background1"/>
              </w:rPr>
              <w:t>Put It into Practice</w:t>
            </w:r>
          </w:p>
        </w:tc>
      </w:tr>
      <w:bookmarkEnd w:id="85"/>
      <w:tr w:rsidR="005F107D" w14:paraId="059323E9" w14:textId="77777777" w:rsidTr="004704D7">
        <w:trPr>
          <w:trHeight w:val="1872"/>
        </w:trPr>
        <w:tc>
          <w:tcPr>
            <w:tcW w:w="9360" w:type="dxa"/>
            <w:tcBorders>
              <w:top w:val="nil"/>
              <w:left w:val="nil"/>
              <w:bottom w:val="nil"/>
              <w:right w:val="nil"/>
            </w:tcBorders>
            <w:shd w:val="clear" w:color="auto" w:fill="C1F0C7" w:themeFill="accent3" w:themeFillTint="33"/>
          </w:tcPr>
          <w:p w14:paraId="7E8394ED" w14:textId="77777777" w:rsidR="00517691" w:rsidRPr="00517691" w:rsidRDefault="00535608" w:rsidP="00517691">
            <w:pPr>
              <w:spacing w:before="120"/>
              <w:rPr>
                <w:b/>
                <w:bCs/>
                <w:iCs/>
              </w:rPr>
            </w:pPr>
            <w:r>
              <w:rPr>
                <w:iCs/>
                <w:color w:val="000000" w:themeColor="text1"/>
              </w:rPr>
              <w:t xml:space="preserve">See </w:t>
            </w:r>
            <w:r>
              <w:rPr>
                <w:b/>
                <w:bCs/>
                <w:iCs/>
                <w:color w:val="000000" w:themeColor="text1"/>
              </w:rPr>
              <w:t xml:space="preserve">Appendix C - </w:t>
            </w:r>
            <w:r>
              <w:rPr>
                <w:b/>
                <w:bCs/>
                <w:iCs/>
                <w:color w:val="000000" w:themeColor="text1"/>
              </w:rPr>
              <w:fldChar w:fldCharType="begin"/>
            </w:r>
            <w:r>
              <w:rPr>
                <w:b/>
                <w:bCs/>
                <w:iCs/>
                <w:color w:val="000000" w:themeColor="text1"/>
              </w:rPr>
              <w:instrText xml:space="preserve"> REF _Ref230248611 \h  \* MERGEFORMAT </w:instrText>
            </w:r>
            <w:r>
              <w:rPr>
                <w:b/>
                <w:bCs/>
                <w:iCs/>
                <w:color w:val="000000" w:themeColor="text1"/>
              </w:rPr>
            </w:r>
            <w:r>
              <w:rPr>
                <w:b/>
                <w:bCs/>
                <w:iCs/>
                <w:color w:val="000000" w:themeColor="text1"/>
              </w:rPr>
              <w:fldChar w:fldCharType="separate"/>
            </w:r>
            <w:r w:rsidR="00517691" w:rsidRPr="00517691">
              <w:rPr>
                <w:b/>
                <w:bCs/>
                <w:iCs/>
              </w:rPr>
              <w:br w:type="page"/>
            </w:r>
          </w:p>
          <w:p w14:paraId="7A076F0B" w14:textId="12C9FBD5" w:rsidR="00220914" w:rsidRPr="00F768D6" w:rsidRDefault="00517691" w:rsidP="00E57171">
            <w:pPr>
              <w:spacing w:before="120"/>
              <w:rPr>
                <w:iCs/>
                <w:color w:val="000000" w:themeColor="text1"/>
              </w:rPr>
            </w:pPr>
            <w:r w:rsidRPr="00517691">
              <w:rPr>
                <w:b/>
                <w:bCs/>
              </w:rPr>
              <w:t xml:space="preserve">Review Existing </w:t>
            </w:r>
            <w:r>
              <w:t>Documents</w:t>
            </w:r>
            <w:r w:rsidR="00535608">
              <w:rPr>
                <w:b/>
                <w:bCs/>
                <w:iCs/>
                <w:color w:val="000000" w:themeColor="text1"/>
              </w:rPr>
              <w:fldChar w:fldCharType="end"/>
            </w:r>
          </w:p>
          <w:p w14:paraId="0CCBE326" w14:textId="470A24B4" w:rsidR="005F107D" w:rsidRPr="008C772C" w:rsidRDefault="005F107D" w:rsidP="004704D7">
            <w:pPr>
              <w:spacing w:before="160" w:after="160"/>
              <w:rPr>
                <w:color w:val="000000" w:themeColor="text1"/>
              </w:rPr>
            </w:pPr>
            <w:r>
              <w:rPr>
                <w:color w:val="000000" w:themeColor="text1"/>
              </w:rPr>
              <w:t>Use the table below to organize and inventory the reports collected.</w:t>
            </w:r>
          </w:p>
          <w:tbl>
            <w:tblPr>
              <w:tblStyle w:val="TableGrid"/>
              <w:tblW w:w="9152" w:type="dxa"/>
              <w:tblLook w:val="04A0" w:firstRow="1" w:lastRow="0" w:firstColumn="1" w:lastColumn="0" w:noHBand="0" w:noVBand="1"/>
              <w:tblDescription w:val="fillable table to organize and inventory collected reports"/>
            </w:tblPr>
            <w:tblGrid>
              <w:gridCol w:w="3302"/>
              <w:gridCol w:w="5850"/>
            </w:tblGrid>
            <w:tr w:rsidR="005F107D" w:rsidRPr="004F539A" w14:paraId="6E3980A4" w14:textId="77777777" w:rsidTr="000C37C9">
              <w:tc>
                <w:tcPr>
                  <w:tcW w:w="3302" w:type="dxa"/>
                  <w:vAlign w:val="center"/>
                </w:tcPr>
                <w:p w14:paraId="04D5E666" w14:textId="5D6EE082" w:rsidR="005F107D" w:rsidRPr="004F539A" w:rsidRDefault="005F107D" w:rsidP="00BB5ACB">
                  <w:pPr>
                    <w:rPr>
                      <w:b/>
                      <w:bCs/>
                      <w:color w:val="000000" w:themeColor="text1"/>
                    </w:rPr>
                  </w:pPr>
                  <w:r>
                    <w:rPr>
                      <w:b/>
                      <w:bCs/>
                      <w:color w:val="000000" w:themeColor="text1"/>
                    </w:rPr>
                    <w:t>Report Name and Link</w:t>
                  </w:r>
                </w:p>
              </w:tc>
              <w:tc>
                <w:tcPr>
                  <w:tcW w:w="5850" w:type="dxa"/>
                  <w:vAlign w:val="center"/>
                </w:tcPr>
                <w:p w14:paraId="1CF4965F" w14:textId="0DFD8A4E" w:rsidR="005F107D" w:rsidRPr="004F539A" w:rsidRDefault="005F107D" w:rsidP="00BB5ACB">
                  <w:pPr>
                    <w:rPr>
                      <w:b/>
                      <w:bCs/>
                      <w:color w:val="000000" w:themeColor="text1"/>
                    </w:rPr>
                  </w:pPr>
                  <w:r>
                    <w:rPr>
                      <w:b/>
                      <w:bCs/>
                      <w:color w:val="000000" w:themeColor="text1"/>
                    </w:rPr>
                    <w:t>Key Findings and Notes</w:t>
                  </w:r>
                </w:p>
              </w:tc>
            </w:tr>
            <w:tr w:rsidR="005F107D" w:rsidRPr="004F539A" w14:paraId="13FDEBE7" w14:textId="77777777" w:rsidTr="000C37C9">
              <w:tc>
                <w:tcPr>
                  <w:tcW w:w="3302" w:type="dxa"/>
                </w:tcPr>
                <w:p w14:paraId="2F091462" w14:textId="77777777" w:rsidR="005F107D" w:rsidRPr="004F539A" w:rsidRDefault="005F107D" w:rsidP="00BB5ACB">
                  <w:pPr>
                    <w:rPr>
                      <w:color w:val="000000" w:themeColor="text1"/>
                    </w:rPr>
                  </w:pPr>
                </w:p>
              </w:tc>
              <w:tc>
                <w:tcPr>
                  <w:tcW w:w="5850" w:type="dxa"/>
                </w:tcPr>
                <w:p w14:paraId="0A5FB05F" w14:textId="77777777" w:rsidR="005F107D" w:rsidRPr="004F539A" w:rsidRDefault="005F107D" w:rsidP="00BB5ACB">
                  <w:pPr>
                    <w:rPr>
                      <w:color w:val="000000" w:themeColor="text1"/>
                    </w:rPr>
                  </w:pPr>
                </w:p>
              </w:tc>
            </w:tr>
            <w:tr w:rsidR="005F107D" w:rsidRPr="004F539A" w14:paraId="170D13C9" w14:textId="77777777" w:rsidTr="000C37C9">
              <w:tc>
                <w:tcPr>
                  <w:tcW w:w="3302" w:type="dxa"/>
                </w:tcPr>
                <w:p w14:paraId="0F4FCA06" w14:textId="77777777" w:rsidR="005F107D" w:rsidRPr="004F539A" w:rsidRDefault="005F107D" w:rsidP="00BB5ACB">
                  <w:pPr>
                    <w:rPr>
                      <w:color w:val="000000" w:themeColor="text1"/>
                    </w:rPr>
                  </w:pPr>
                </w:p>
              </w:tc>
              <w:tc>
                <w:tcPr>
                  <w:tcW w:w="5850" w:type="dxa"/>
                </w:tcPr>
                <w:p w14:paraId="0305F823" w14:textId="77777777" w:rsidR="005F107D" w:rsidRPr="004F539A" w:rsidRDefault="005F107D" w:rsidP="00BB5ACB">
                  <w:pPr>
                    <w:rPr>
                      <w:color w:val="000000" w:themeColor="text1"/>
                    </w:rPr>
                  </w:pPr>
                </w:p>
              </w:tc>
            </w:tr>
          </w:tbl>
          <w:p w14:paraId="7C668F44" w14:textId="4E1433B5" w:rsidR="005F107D" w:rsidRPr="00CC0A39" w:rsidRDefault="001076CC" w:rsidP="00BB5ACB">
            <w:pPr>
              <w:rPr>
                <w:sz w:val="12"/>
                <w:szCs w:val="12"/>
              </w:rPr>
            </w:pPr>
            <w:r>
              <w:rPr>
                <w:sz w:val="12"/>
                <w:szCs w:val="12"/>
              </w:rPr>
              <w:t xml:space="preserve">  </w:t>
            </w:r>
          </w:p>
        </w:tc>
      </w:tr>
    </w:tbl>
    <w:p w14:paraId="2E8E2894" w14:textId="77777777" w:rsidR="00A64456" w:rsidRDefault="00A64456" w:rsidP="00BA410F">
      <w:pPr>
        <w:spacing w:before="160" w:line="240" w:lineRule="auto"/>
        <w:rPr>
          <w:b/>
          <w:bCs/>
        </w:rPr>
      </w:pPr>
      <w:bookmarkStart w:id="89" w:name="_Toc224722674"/>
    </w:p>
    <w:p w14:paraId="405956CF" w14:textId="19A8A144" w:rsidR="00C844AA" w:rsidRPr="00CE48DD" w:rsidRDefault="00CA2562" w:rsidP="008229BC">
      <w:pPr>
        <w:pStyle w:val="Heading3"/>
        <w:spacing w:after="160" w:line="240" w:lineRule="auto"/>
      </w:pPr>
      <w:bookmarkStart w:id="90" w:name="_Step_2.1B:_Determine"/>
      <w:bookmarkStart w:id="91" w:name="_Toc235802687"/>
      <w:bookmarkEnd w:id="90"/>
      <w:r>
        <w:t>Step 2.1B: Determine Historical Hazards</w:t>
      </w:r>
      <w:bookmarkEnd w:id="91"/>
    </w:p>
    <w:p w14:paraId="24053FED" w14:textId="3E6B8E1A" w:rsidR="00C844AA" w:rsidRDefault="00C844AA" w:rsidP="008229BC">
      <w:pPr>
        <w:spacing w:before="160" w:line="240" w:lineRule="auto"/>
      </w:pPr>
      <w:r>
        <w:t xml:space="preserve">To </w:t>
      </w:r>
      <w:r w:rsidR="002A3211">
        <w:t xml:space="preserve">better understand the climate impacts that </w:t>
      </w:r>
      <w:r>
        <w:t xml:space="preserve">the community will face, it is important to look at the events which have occurred in the planning area. Documenting when events occurred, what impacts they caused, and which communities, systems, or assets were affected can help identify areas of exposure and vulnerability. Where available, collect information on the magnitude and consequences of each event, such as recovery costs, asset damages, service disruptions, displaced residents, injuries, and the duration of impacts. These data provide valuable context for understanding how future climate events may affect the community, estimating the benefits of adaptation investments, and identifying opportunities to reduce future losses. Past hazard events also serve as useful case studies for developing problem statements, prioritizing vulnerabilities, and informing adaptation strategies. There are a variety of sources with information on past hazard events. The documents reviewed in Step 2.1A (see </w:t>
      </w:r>
      <w:r>
        <w:rPr>
          <w:u w:val="single"/>
        </w:rPr>
        <w:fldChar w:fldCharType="begin"/>
      </w:r>
      <w:r>
        <w:rPr>
          <w:u w:val="single"/>
        </w:rPr>
        <w:instrText xml:space="preserve"> REF _Ref229409134 \h  \* MERGEFORMAT </w:instrText>
      </w:r>
      <w:r>
        <w:rPr>
          <w:u w:val="single"/>
        </w:rPr>
      </w:r>
      <w:r>
        <w:rPr>
          <w:u w:val="single"/>
        </w:rPr>
        <w:fldChar w:fldCharType="separate"/>
      </w:r>
      <w:r w:rsidR="00517691" w:rsidRPr="00517691">
        <w:rPr>
          <w:u w:val="single"/>
        </w:rPr>
        <w:t>Table 4</w:t>
      </w:r>
      <w:r>
        <w:rPr>
          <w:u w:val="single"/>
        </w:rPr>
        <w:fldChar w:fldCharType="end"/>
      </w:r>
      <w:r>
        <w:t>) are likely to have information on past hazard events. Additionally, state and federal emergency websites document past hazard events.</w:t>
      </w:r>
    </w:p>
    <w:tbl>
      <w:tblPr>
        <w:tblStyle w:val="TableGrid"/>
        <w:tblW w:w="0" w:type="auto"/>
        <w:tblLook w:val="04A0" w:firstRow="1" w:lastRow="0" w:firstColumn="1" w:lastColumn="0" w:noHBand="0" w:noVBand="1"/>
      </w:tblPr>
      <w:tblGrid>
        <w:gridCol w:w="9350"/>
      </w:tblGrid>
      <w:tr w:rsidR="00310C9C" w:rsidRPr="00310C9C" w14:paraId="0407B692" w14:textId="77777777" w:rsidTr="55DEB025">
        <w:trPr>
          <w:trHeight w:val="576"/>
        </w:trPr>
        <w:tc>
          <w:tcPr>
            <w:tcW w:w="9350" w:type="dxa"/>
            <w:tcBorders>
              <w:top w:val="nil"/>
              <w:left w:val="nil"/>
              <w:bottom w:val="nil"/>
              <w:right w:val="nil"/>
            </w:tcBorders>
            <w:shd w:val="clear" w:color="auto" w:fill="404040" w:themeFill="text1" w:themeFillTint="BF"/>
            <w:vAlign w:val="center"/>
          </w:tcPr>
          <w:p w14:paraId="0B9F9444" w14:textId="55C7DDC9" w:rsidR="00310C9C" w:rsidRPr="00310C9C" w:rsidRDefault="00310C9C" w:rsidP="00BB5ACB">
            <w:pPr>
              <w:pStyle w:val="ListParagraph"/>
              <w:ind w:left="0"/>
              <w:rPr>
                <w:b/>
                <w:bCs/>
                <w:color w:val="FFFFFF" w:themeColor="background1"/>
              </w:rPr>
            </w:pPr>
            <w:r>
              <w:rPr>
                <w:b/>
                <w:bCs/>
                <w:color w:val="FFFFFF" w:themeColor="background1"/>
              </w:rPr>
              <w:t>Explore Past Disasters</w:t>
            </w:r>
          </w:p>
        </w:tc>
      </w:tr>
      <w:tr w:rsidR="00C844AA" w14:paraId="4090F05D" w14:textId="77777777" w:rsidTr="55DEB025">
        <w:tc>
          <w:tcPr>
            <w:tcW w:w="9350" w:type="dxa"/>
            <w:tcBorders>
              <w:top w:val="nil"/>
              <w:left w:val="nil"/>
              <w:bottom w:val="nil"/>
              <w:right w:val="nil"/>
            </w:tcBorders>
            <w:shd w:val="clear" w:color="auto" w:fill="F2F2F2" w:themeFill="background1" w:themeFillShade="F2"/>
          </w:tcPr>
          <w:p w14:paraId="362AA923" w14:textId="6E4383C1" w:rsidR="00C844AA" w:rsidRPr="00310C9C" w:rsidRDefault="00C844AA" w:rsidP="00EC6030">
            <w:pPr>
              <w:spacing w:before="120"/>
            </w:pPr>
            <w:r>
              <w:t>State Emergency Websites:</w:t>
            </w:r>
          </w:p>
          <w:p w14:paraId="1DA7802E" w14:textId="4950FD5F" w:rsidR="00C844AA" w:rsidRPr="00B17CBE" w:rsidRDefault="00C844AA">
            <w:pPr>
              <w:pStyle w:val="ListParagraph"/>
              <w:widowControl w:val="0"/>
              <w:numPr>
                <w:ilvl w:val="0"/>
                <w:numId w:val="33"/>
              </w:numPr>
              <w:tabs>
                <w:tab w:val="left" w:pos="1620"/>
              </w:tabs>
              <w:autoSpaceDE w:val="0"/>
              <w:autoSpaceDN w:val="0"/>
              <w:spacing w:after="160"/>
              <w:ind w:left="720"/>
            </w:pPr>
            <w:hyperlink r:id="rId143" w:history="1">
              <w:r>
                <w:rPr>
                  <w:rStyle w:val="Hyperlink"/>
                </w:rPr>
                <w:t>California State Disaster Proclamations List</w:t>
              </w:r>
            </w:hyperlink>
            <w:r>
              <w:t xml:space="preserve">: Includes </w:t>
            </w:r>
            <w:r>
              <w:rPr>
                <w:bCs/>
              </w:rPr>
              <w:t>disaster</w:t>
            </w:r>
            <w:r>
              <w:t xml:space="preserve"> proclamations by county since 1991</w:t>
            </w:r>
          </w:p>
          <w:p w14:paraId="3DED1DBB" w14:textId="18780727" w:rsidR="00C844AA" w:rsidRDefault="00C844AA">
            <w:pPr>
              <w:pStyle w:val="ListParagraph"/>
              <w:widowControl w:val="0"/>
              <w:numPr>
                <w:ilvl w:val="0"/>
                <w:numId w:val="33"/>
              </w:numPr>
              <w:tabs>
                <w:tab w:val="left" w:pos="1620"/>
              </w:tabs>
              <w:autoSpaceDE w:val="0"/>
              <w:autoSpaceDN w:val="0"/>
              <w:spacing w:before="160" w:after="160"/>
              <w:ind w:left="720"/>
            </w:pPr>
            <w:hyperlink r:id="rId144" w:history="1">
              <w:r>
                <w:rPr>
                  <w:rStyle w:val="Hyperlink"/>
                </w:rPr>
                <w:t>Open State of Emergency (SOE) Proclamations</w:t>
              </w:r>
            </w:hyperlink>
            <w:r>
              <w:t xml:space="preserve">: Only </w:t>
            </w:r>
            <w:r>
              <w:rPr>
                <w:bCs/>
              </w:rPr>
              <w:t>includes</w:t>
            </w:r>
            <w:r>
              <w:t xml:space="preserve"> current disaster proclamations</w:t>
            </w:r>
          </w:p>
          <w:p w14:paraId="4C9A718A" w14:textId="40CF4860" w:rsidR="00C844AA" w:rsidRPr="00B17CBE" w:rsidRDefault="00C844AA">
            <w:pPr>
              <w:pStyle w:val="ListParagraph"/>
              <w:widowControl w:val="0"/>
              <w:numPr>
                <w:ilvl w:val="0"/>
                <w:numId w:val="33"/>
              </w:numPr>
              <w:tabs>
                <w:tab w:val="left" w:pos="1620"/>
              </w:tabs>
              <w:autoSpaceDE w:val="0"/>
              <w:autoSpaceDN w:val="0"/>
              <w:spacing w:before="160" w:after="160"/>
              <w:ind w:left="720"/>
            </w:pPr>
            <w:hyperlink r:id="rId145">
              <w:r>
                <w:rPr>
                  <w:rStyle w:val="Hyperlink"/>
                  <w:rFonts w:eastAsia="Century Gothic" w:cs="Century Gothic"/>
                </w:rPr>
                <w:t>CAL FIRE Incident Page</w:t>
              </w:r>
            </w:hyperlink>
            <w:r>
              <w:rPr>
                <w:b/>
              </w:rPr>
              <w:t xml:space="preserve"> </w:t>
            </w:r>
            <w:r>
              <w:t xml:space="preserve">(specific to wildfire): Scroll down to “Incidents by Year” to view past incident reports which include </w:t>
            </w:r>
            <w:r>
              <w:rPr>
                <w:szCs w:val="22"/>
              </w:rPr>
              <w:t>perimeter</w:t>
            </w:r>
            <w:r>
              <w:t>/acres burned and assessment of property damages, injuries, and fatalities</w:t>
            </w:r>
          </w:p>
          <w:p w14:paraId="5C029678" w14:textId="240D18F0" w:rsidR="00C844AA" w:rsidRDefault="00C844AA">
            <w:pPr>
              <w:pStyle w:val="ListParagraph"/>
              <w:widowControl w:val="0"/>
              <w:numPr>
                <w:ilvl w:val="0"/>
                <w:numId w:val="33"/>
              </w:numPr>
              <w:tabs>
                <w:tab w:val="left" w:pos="1620"/>
              </w:tabs>
              <w:autoSpaceDE w:val="0"/>
              <w:autoSpaceDN w:val="0"/>
              <w:spacing w:before="160" w:after="160"/>
              <w:ind w:left="720"/>
            </w:pPr>
            <w:hyperlink r:id="rId146" w:history="1">
              <w:r>
                <w:rPr>
                  <w:rStyle w:val="Hyperlink"/>
                </w:rPr>
                <w:t>California Geological Survey (CGS) Landslide History</w:t>
              </w:r>
            </w:hyperlink>
            <w:r>
              <w:t xml:space="preserve">: </w:t>
            </w:r>
            <w:r>
              <w:rPr>
                <w:bCs/>
              </w:rPr>
              <w:t>Includes</w:t>
            </w:r>
            <w:r>
              <w:t xml:space="preserve"> past landslides and descriptions of damages</w:t>
            </w:r>
          </w:p>
          <w:p w14:paraId="6A53638A" w14:textId="2C7E33D7" w:rsidR="00C844AA" w:rsidRPr="00B17CBE" w:rsidRDefault="00C844AA" w:rsidP="00EC6030">
            <w:pPr>
              <w:spacing w:before="160"/>
            </w:pPr>
            <w:r>
              <w:t>Federal Emergency Websites:</w:t>
            </w:r>
          </w:p>
          <w:p w14:paraId="1C1E9F32" w14:textId="164F2296" w:rsidR="00C844AA" w:rsidRDefault="00C844AA">
            <w:pPr>
              <w:pStyle w:val="ListParagraph"/>
              <w:widowControl w:val="0"/>
              <w:numPr>
                <w:ilvl w:val="0"/>
                <w:numId w:val="33"/>
              </w:numPr>
              <w:tabs>
                <w:tab w:val="left" w:pos="1620"/>
              </w:tabs>
              <w:autoSpaceDE w:val="0"/>
              <w:autoSpaceDN w:val="0"/>
              <w:spacing w:after="160"/>
              <w:ind w:left="720"/>
            </w:pPr>
            <w:hyperlink r:id="rId147" w:history="1">
              <w:r>
                <w:rPr>
                  <w:rStyle w:val="Hyperlink"/>
                </w:rPr>
                <w:t>FEMA Declared Disasters Data Sets</w:t>
              </w:r>
            </w:hyperlink>
            <w:r>
              <w:t>: Downloadable files with all FEMA declared disasters by state</w:t>
            </w:r>
          </w:p>
          <w:p w14:paraId="4263DDF1" w14:textId="017ADD63" w:rsidR="00C844AA" w:rsidRPr="00BE48FE" w:rsidRDefault="00C844AA">
            <w:pPr>
              <w:pStyle w:val="ListParagraph"/>
              <w:widowControl w:val="0"/>
              <w:numPr>
                <w:ilvl w:val="0"/>
                <w:numId w:val="33"/>
              </w:numPr>
              <w:tabs>
                <w:tab w:val="left" w:pos="1620"/>
              </w:tabs>
              <w:autoSpaceDE w:val="0"/>
              <w:autoSpaceDN w:val="0"/>
              <w:spacing w:before="160" w:after="160"/>
              <w:ind w:left="720"/>
              <w:rPr>
                <w:color w:val="000000" w:themeColor="text1"/>
              </w:rPr>
            </w:pPr>
            <w:hyperlink r:id="rId148" w:tgtFrame="_blank" w:history="1">
              <w:r>
                <w:rPr>
                  <w:rStyle w:val="Hyperlink"/>
                </w:rPr>
                <w:t>National Oceanic and Atmospheric Association (</w:t>
              </w:r>
              <w:r>
                <w:rPr>
                  <w:rStyle w:val="Hyperlink"/>
                  <w:rFonts w:eastAsia="Century Gothic" w:cs="Century Gothic"/>
                </w:rPr>
                <w:t>NOAA) Storm Events Database</w:t>
              </w:r>
            </w:hyperlink>
            <w:r>
              <w:t xml:space="preserve">: Includes records pertaining to a variety of disaster events including flood, debris flow, wildfire smoke, heatwave, flood, </w:t>
            </w:r>
            <w:r>
              <w:rPr>
                <w:bCs/>
              </w:rPr>
              <w:t>etc</w:t>
            </w:r>
            <w:r>
              <w:t>.</w:t>
            </w:r>
          </w:p>
          <w:p w14:paraId="02502A3C" w14:textId="49E1A412" w:rsidR="00ED62CF" w:rsidRDefault="007C3029">
            <w:pPr>
              <w:pStyle w:val="ListParagraph"/>
              <w:widowControl w:val="0"/>
              <w:numPr>
                <w:ilvl w:val="0"/>
                <w:numId w:val="33"/>
              </w:numPr>
              <w:tabs>
                <w:tab w:val="left" w:pos="1620"/>
              </w:tabs>
              <w:autoSpaceDE w:val="0"/>
              <w:autoSpaceDN w:val="0"/>
              <w:spacing w:before="160" w:after="160"/>
              <w:ind w:left="720"/>
              <w:rPr>
                <w:color w:val="000000" w:themeColor="text1"/>
              </w:rPr>
            </w:pPr>
            <w:hyperlink r:id="rId149" w:anchor="mtbs" w:tgtFrame="_blank" w:history="1">
              <w:r>
                <w:rPr>
                  <w:rStyle w:val="Hyperlink"/>
                </w:rPr>
                <w:t>Monitoring Trends in Burn Severity</w:t>
              </w:r>
              <w:r w:rsidRPr="007C3029">
                <w:rPr>
                  <w:rStyle w:val="Hyperlink"/>
                  <w:color w:val="000000" w:themeColor="text1"/>
                  <w:u w:val="none"/>
                </w:rPr>
                <w:t>:</w:t>
              </w:r>
              <w:r>
                <w:rPr>
                  <w:rStyle w:val="Hyperlink"/>
                </w:rPr>
                <w:t xml:space="preserve"> </w:t>
              </w:r>
            </w:hyperlink>
            <w:r w:rsidR="693152F7" w:rsidRPr="55DEB025">
              <w:rPr>
                <w:color w:val="000000" w:themeColor="text1"/>
              </w:rPr>
              <w:t xml:space="preserve">Includes historical record for wildfire occurrence and burn severity. </w:t>
            </w:r>
          </w:p>
          <w:p w14:paraId="5DCDF084" w14:textId="23F9A266" w:rsidR="00C844AA" w:rsidRPr="001F64F6" w:rsidRDefault="00C844AA" w:rsidP="00BE48FE">
            <w:pPr>
              <w:pStyle w:val="ListParagraph"/>
              <w:widowControl w:val="0"/>
              <w:tabs>
                <w:tab w:val="left" w:pos="1620"/>
              </w:tabs>
              <w:autoSpaceDE w:val="0"/>
              <w:autoSpaceDN w:val="0"/>
              <w:spacing w:before="160"/>
              <w:rPr>
                <w:color w:val="000000" w:themeColor="text1"/>
              </w:rPr>
            </w:pPr>
          </w:p>
        </w:tc>
      </w:tr>
    </w:tbl>
    <w:p w14:paraId="7FBA9BD2" w14:textId="51BEDC49" w:rsidR="007E7017" w:rsidRDefault="007E7017" w:rsidP="002425A8">
      <w:pPr>
        <w:spacing w:after="0"/>
      </w:pPr>
    </w:p>
    <w:p w14:paraId="2EA41F7C" w14:textId="77777777" w:rsidR="00983FB8" w:rsidRDefault="00983FB8" w:rsidP="002425A8">
      <w:pPr>
        <w:spacing w:after="0"/>
      </w:pPr>
    </w:p>
    <w:tbl>
      <w:tblPr>
        <w:tblStyle w:val="TableGrid"/>
        <w:tblW w:w="0" w:type="auto"/>
        <w:tblLook w:val="04A0" w:firstRow="1" w:lastRow="0" w:firstColumn="1" w:lastColumn="0" w:noHBand="0" w:noVBand="1"/>
      </w:tblPr>
      <w:tblGrid>
        <w:gridCol w:w="9350"/>
      </w:tblGrid>
      <w:tr w:rsidR="005F055F" w:rsidRPr="005F055F" w14:paraId="44A27510" w14:textId="77777777" w:rsidTr="00E32790">
        <w:trPr>
          <w:trHeight w:val="576"/>
        </w:trPr>
        <w:tc>
          <w:tcPr>
            <w:tcW w:w="9350" w:type="dxa"/>
            <w:tcBorders>
              <w:top w:val="nil"/>
              <w:left w:val="nil"/>
              <w:bottom w:val="nil"/>
              <w:right w:val="nil"/>
            </w:tcBorders>
            <w:shd w:val="clear" w:color="auto" w:fill="58257F"/>
            <w:vAlign w:val="center"/>
          </w:tcPr>
          <w:p w14:paraId="584AB22E" w14:textId="2C6A3FC9" w:rsidR="004D4921" w:rsidRPr="005F055F" w:rsidRDefault="004D4921" w:rsidP="00BB5ACB">
            <w:pPr>
              <w:rPr>
                <w:b/>
                <w:color w:val="FFFFFF" w:themeColor="background1"/>
              </w:rPr>
            </w:pPr>
            <w:r>
              <w:rPr>
                <w:b/>
                <w:color w:val="FFFFFF" w:themeColor="background1"/>
              </w:rPr>
              <w:t xml:space="preserve">Policy Connection: Local and Tribal Hazard Mitigation Plans </w:t>
            </w:r>
          </w:p>
        </w:tc>
      </w:tr>
      <w:tr w:rsidR="004D4921" w14:paraId="4409F111" w14:textId="77777777" w:rsidTr="00386315">
        <w:tc>
          <w:tcPr>
            <w:tcW w:w="9350" w:type="dxa"/>
            <w:tcBorders>
              <w:top w:val="nil"/>
              <w:left w:val="nil"/>
              <w:bottom w:val="nil"/>
              <w:right w:val="nil"/>
            </w:tcBorders>
            <w:shd w:val="clear" w:color="auto" w:fill="E4D2F2"/>
          </w:tcPr>
          <w:p w14:paraId="6408E36E" w14:textId="34BE0447" w:rsidR="0095654D" w:rsidRDefault="0095654D" w:rsidP="005F055F">
            <w:pPr>
              <w:spacing w:before="120" w:after="120"/>
            </w:pPr>
            <w:r>
              <w:t xml:space="preserve">Local and Tribal Hazard Mitigation Plans are required to include a history of previous hazard events and occurrences, including relevant disaster declarations. This information may be presented in either a narrative format or a table, depending on how the jurisdiction chooses to organize and communicate the data, as long as it is clear and complete. The </w:t>
            </w:r>
            <w:hyperlink r:id="rId150" w:history="1">
              <w:r>
                <w:rPr>
                  <w:rStyle w:val="Hyperlink"/>
                </w:rPr>
                <w:t>Tribal Mitigation Planning Handbook</w:t>
              </w:r>
            </w:hyperlink>
            <w:r>
              <w:t xml:space="preserve"> recommends documenting when and where hazards occurred, including events preserved through Tribal oral histories and storytelling traditions.</w:t>
            </w:r>
          </w:p>
        </w:tc>
      </w:tr>
    </w:tbl>
    <w:p w14:paraId="6D4D0622" w14:textId="5CFC2F46" w:rsidR="00C844AA" w:rsidRDefault="00C844AA" w:rsidP="00A110EB">
      <w:pPr>
        <w:spacing w:before="160" w:line="240" w:lineRule="auto"/>
      </w:pPr>
      <w:r>
        <w:t>It can be helpful to compile previous hazard occurrences in a table, especially if the hazard has happened many times in the past. For each event identified, include the dates, locations, and impacts of the event. Include cost data where available since it is especially useful for quantifying the costs of future events and the benefits of adaptation. Narratives of significant events can also be particularly helpful, especially if some of the events are not formally documented but are part of the community’s shared history.</w:t>
      </w:r>
    </w:p>
    <w:tbl>
      <w:tblPr>
        <w:tblStyle w:val="TableGrid"/>
        <w:tblW w:w="0" w:type="auto"/>
        <w:tblLook w:val="04A0" w:firstRow="1" w:lastRow="0" w:firstColumn="1" w:lastColumn="0" w:noHBand="0" w:noVBand="1"/>
      </w:tblPr>
      <w:tblGrid>
        <w:gridCol w:w="9350"/>
      </w:tblGrid>
      <w:tr w:rsidR="00A43779" w14:paraId="473D1869" w14:textId="77777777" w:rsidTr="00E32790">
        <w:trPr>
          <w:trHeight w:val="576"/>
        </w:trPr>
        <w:tc>
          <w:tcPr>
            <w:tcW w:w="9350" w:type="dxa"/>
            <w:tcBorders>
              <w:top w:val="nil"/>
              <w:left w:val="nil"/>
              <w:bottom w:val="nil"/>
              <w:right w:val="nil"/>
            </w:tcBorders>
            <w:shd w:val="clear" w:color="auto" w:fill="1F5485"/>
            <w:vAlign w:val="center"/>
          </w:tcPr>
          <w:p w14:paraId="06500784" w14:textId="215E228A" w:rsidR="00A43779" w:rsidRPr="00C25F7B" w:rsidRDefault="00A43779" w:rsidP="00BB5ACB">
            <w:pPr>
              <w:pStyle w:val="Example"/>
              <w:rPr>
                <w:rFonts w:eastAsiaTheme="minorHAnsi"/>
                <w:i w:val="0"/>
                <w:color w:val="FFFFFF" w:themeColor="background1"/>
              </w:rPr>
            </w:pPr>
            <w:r>
              <w:rPr>
                <w:rFonts w:eastAsiaTheme="minorHAnsi"/>
                <w:i w:val="0"/>
                <w:color w:val="FFFFFF" w:themeColor="background1"/>
              </w:rPr>
              <w:t>Case</w:t>
            </w:r>
            <w:r>
              <w:rPr>
                <w:rFonts w:eastAsiaTheme="minorHAnsi"/>
                <w:i w:val="0"/>
                <w:iCs/>
                <w:color w:val="FFFFFF" w:themeColor="background1"/>
              </w:rPr>
              <w:t xml:space="preserve"> </w:t>
            </w:r>
            <w:r>
              <w:rPr>
                <w:rFonts w:eastAsiaTheme="minorHAnsi"/>
                <w:i w:val="0"/>
                <w:color w:val="FFFFFF" w:themeColor="background1"/>
              </w:rPr>
              <w:t>Studies:</w:t>
            </w:r>
            <w:r>
              <w:rPr>
                <w:rFonts w:eastAsiaTheme="minorHAnsi"/>
                <w:i w:val="0"/>
                <w:iCs/>
                <w:color w:val="FFFFFF" w:themeColor="background1"/>
              </w:rPr>
              <w:t xml:space="preserve"> </w:t>
            </w:r>
            <w:r>
              <w:rPr>
                <w:rFonts w:eastAsiaTheme="minorHAnsi"/>
                <w:i w:val="0"/>
                <w:color w:val="FFFFFF" w:themeColor="background1"/>
              </w:rPr>
              <w:t>Two</w:t>
            </w:r>
            <w:r>
              <w:rPr>
                <w:rFonts w:eastAsiaTheme="minorHAnsi"/>
                <w:i w:val="0"/>
                <w:iCs/>
                <w:color w:val="FFFFFF" w:themeColor="background1"/>
              </w:rPr>
              <w:t xml:space="preserve"> </w:t>
            </w:r>
            <w:r>
              <w:rPr>
                <w:rFonts w:eastAsiaTheme="minorHAnsi"/>
                <w:i w:val="0"/>
                <w:color w:val="FFFFFF" w:themeColor="background1"/>
              </w:rPr>
              <w:t>Options</w:t>
            </w:r>
            <w:r>
              <w:rPr>
                <w:rFonts w:eastAsiaTheme="minorHAnsi"/>
                <w:i w:val="0"/>
                <w:iCs/>
                <w:color w:val="FFFFFF" w:themeColor="background1"/>
              </w:rPr>
              <w:t xml:space="preserve"> </w:t>
            </w:r>
            <w:r>
              <w:rPr>
                <w:rFonts w:eastAsiaTheme="minorHAnsi"/>
                <w:i w:val="0"/>
                <w:color w:val="FFFFFF" w:themeColor="background1"/>
              </w:rPr>
              <w:t>to</w:t>
            </w:r>
            <w:r>
              <w:rPr>
                <w:rFonts w:eastAsiaTheme="minorHAnsi"/>
                <w:i w:val="0"/>
                <w:iCs/>
                <w:color w:val="FFFFFF" w:themeColor="background1"/>
              </w:rPr>
              <w:t xml:space="preserve"> </w:t>
            </w:r>
            <w:r>
              <w:rPr>
                <w:rFonts w:eastAsiaTheme="minorHAnsi"/>
                <w:i w:val="0"/>
                <w:color w:val="FFFFFF" w:themeColor="background1"/>
              </w:rPr>
              <w:t>Display</w:t>
            </w:r>
            <w:r>
              <w:rPr>
                <w:rFonts w:eastAsiaTheme="minorHAnsi"/>
                <w:i w:val="0"/>
                <w:iCs/>
                <w:color w:val="FFFFFF" w:themeColor="background1"/>
              </w:rPr>
              <w:t xml:space="preserve"> </w:t>
            </w:r>
            <w:r>
              <w:rPr>
                <w:rFonts w:eastAsiaTheme="minorHAnsi"/>
                <w:i w:val="0"/>
                <w:color w:val="FFFFFF" w:themeColor="background1"/>
              </w:rPr>
              <w:t>Past</w:t>
            </w:r>
            <w:r>
              <w:rPr>
                <w:rFonts w:eastAsiaTheme="minorHAnsi"/>
                <w:i w:val="0"/>
                <w:iCs/>
                <w:color w:val="FFFFFF" w:themeColor="background1"/>
              </w:rPr>
              <w:t xml:space="preserve"> </w:t>
            </w:r>
            <w:r>
              <w:rPr>
                <w:rFonts w:eastAsiaTheme="minorHAnsi"/>
                <w:i w:val="0"/>
                <w:color w:val="FFFFFF" w:themeColor="background1"/>
              </w:rPr>
              <w:t>Hazard</w:t>
            </w:r>
            <w:r>
              <w:rPr>
                <w:rFonts w:eastAsiaTheme="minorHAnsi"/>
                <w:i w:val="0"/>
                <w:iCs/>
                <w:color w:val="FFFFFF" w:themeColor="background1"/>
              </w:rPr>
              <w:t xml:space="preserve"> </w:t>
            </w:r>
            <w:r>
              <w:rPr>
                <w:rFonts w:eastAsiaTheme="minorHAnsi"/>
                <w:i w:val="0"/>
                <w:color w:val="FFFFFF" w:themeColor="background1"/>
              </w:rPr>
              <w:t>Occurrence</w:t>
            </w:r>
          </w:p>
        </w:tc>
      </w:tr>
      <w:tr w:rsidR="00A43779" w14:paraId="7C2C26C0" w14:textId="77777777" w:rsidTr="000673F5">
        <w:trPr>
          <w:trHeight w:val="9360"/>
        </w:trPr>
        <w:tc>
          <w:tcPr>
            <w:tcW w:w="9350" w:type="dxa"/>
            <w:tcBorders>
              <w:top w:val="nil"/>
              <w:left w:val="nil"/>
              <w:bottom w:val="nil"/>
              <w:right w:val="nil"/>
            </w:tcBorders>
            <w:shd w:val="clear" w:color="auto" w:fill="DCEAF7"/>
          </w:tcPr>
          <w:p w14:paraId="2F3F1F04" w14:textId="77777777" w:rsidR="00C4025F" w:rsidRDefault="00A43779" w:rsidP="00C4025F">
            <w:pPr>
              <w:spacing w:before="120" w:after="120"/>
              <w:rPr>
                <w:b/>
                <w:shd w:val="clear" w:color="auto" w:fill="DAE9F7" w:themeFill="text2" w:themeFillTint="1A"/>
              </w:rPr>
            </w:pPr>
            <w:r>
              <w:rPr>
                <w:b/>
              </w:rPr>
              <w:t>Option</w:t>
            </w:r>
            <w:r>
              <w:rPr>
                <w:b/>
                <w:bCs/>
              </w:rPr>
              <w:t xml:space="preserve"> </w:t>
            </w:r>
            <w:r>
              <w:rPr>
                <w:b/>
              </w:rPr>
              <w:t>1:</w:t>
            </w:r>
            <w:r>
              <w:rPr>
                <w:b/>
                <w:bCs/>
              </w:rPr>
              <w:t xml:space="preserve"> </w:t>
            </w:r>
            <w:r>
              <w:rPr>
                <w:b/>
                <w:shd w:val="clear" w:color="auto" w:fill="DAE9F7" w:themeFill="text2" w:themeFillTint="1A"/>
              </w:rPr>
              <w:t>Narrative</w:t>
            </w:r>
            <w:r>
              <w:rPr>
                <w:b/>
                <w:bCs/>
                <w:shd w:val="clear" w:color="auto" w:fill="DAE9F7" w:themeFill="text2" w:themeFillTint="1A"/>
              </w:rPr>
              <w:t xml:space="preserve"> </w:t>
            </w:r>
            <w:r>
              <w:rPr>
                <w:b/>
                <w:shd w:val="clear" w:color="auto" w:fill="DAE9F7" w:themeFill="text2" w:themeFillTint="1A"/>
              </w:rPr>
              <w:t>Description</w:t>
            </w:r>
          </w:p>
          <w:p w14:paraId="6246B90F" w14:textId="1E7A58DA" w:rsidR="00A43779" w:rsidRDefault="00A43779" w:rsidP="000673F5">
            <w:pPr>
              <w:spacing w:before="120" w:after="160"/>
              <w:rPr>
                <w:b/>
                <w:bCs/>
                <w:shd w:val="clear" w:color="auto" w:fill="DAE9F7" w:themeFill="text2" w:themeFillTint="1A"/>
              </w:rPr>
            </w:pPr>
            <w:r>
              <w:rPr>
                <w:iCs/>
                <w:shd w:val="clear" w:color="auto" w:fill="DAE9F7" w:themeFill="text2" w:themeFillTint="1A"/>
              </w:rPr>
              <w:t>“The Poe fire broke out on September 6, 2001. It was caused by a dry branch falling on a live PG&amp;E power pole near the Yankee Hill community 14 miles north of Oroville. A local disaster was declared. The fire burned 8,333 acres. Several roads were closed. 49 homes, 120 outbuildings, 4 commercial structures and 55 vehicles destroyed. 3 homes damaged. The estimated loss of burned structures, outbuildings and contents were $6.2 million. There was also a loss of over 43 private wells. No human injuries or deaths were reported, but many cattle and horses were lost”(</w:t>
            </w:r>
            <w:hyperlink r:id="rId151">
              <w:r>
                <w:rPr>
                  <w:rStyle w:val="Hyperlink"/>
                  <w:iCs/>
                  <w:shd w:val="clear" w:color="auto" w:fill="DAE9F7" w:themeFill="text2" w:themeFillTint="1A"/>
                </w:rPr>
                <w:t>Butte County 2024 LHMP Update</w:t>
              </w:r>
            </w:hyperlink>
            <w:r>
              <w:rPr>
                <w:shd w:val="clear" w:color="auto" w:fill="DAE9F7" w:themeFill="text2" w:themeFillTint="1A"/>
              </w:rPr>
              <w:t>).</w:t>
            </w:r>
          </w:p>
          <w:tbl>
            <w:tblPr>
              <w:tblStyle w:val="TableGrid"/>
              <w:tblW w:w="0" w:type="auto"/>
              <w:tblLook w:val="04A0" w:firstRow="1" w:lastRow="0" w:firstColumn="1" w:lastColumn="0" w:noHBand="0" w:noVBand="1"/>
            </w:tblPr>
            <w:tblGrid>
              <w:gridCol w:w="9124"/>
            </w:tblGrid>
            <w:tr w:rsidR="00A43779" w14:paraId="28E62DDE" w14:textId="77777777" w:rsidTr="0000078B">
              <w:trPr>
                <w:trHeight w:val="432"/>
              </w:trPr>
              <w:tc>
                <w:tcPr>
                  <w:tcW w:w="9124" w:type="dxa"/>
                  <w:shd w:val="clear" w:color="auto" w:fill="000000" w:themeFill="text1"/>
                  <w:vAlign w:val="center"/>
                </w:tcPr>
                <w:p w14:paraId="189F0DEE" w14:textId="0D6E3CD1" w:rsidR="00A43779" w:rsidRDefault="00A43779" w:rsidP="00BB5ACB">
                  <w:pPr>
                    <w:pStyle w:val="FigureTableTitle"/>
                    <w:rPr>
                      <w:shd w:val="clear" w:color="auto" w:fill="DAE9F7" w:themeFill="text2" w:themeFillTint="1A"/>
                    </w:rPr>
                  </w:pPr>
                  <w:r>
                    <w:rPr>
                      <w:noProof/>
                      <w:color w:val="FFFFFF" w:themeColor="background1"/>
                      <w:highlight w:val="black"/>
                      <w:shd w:val="clear" w:color="auto" w:fill="DAE9F7" w:themeFill="text2" w:themeFillTint="1A"/>
                    </w:rPr>
                    <w:t xml:space="preserve">Figure </w:t>
                  </w:r>
                  <w:r>
                    <w:rPr>
                      <w:noProof/>
                      <w:color w:val="FFFFFF" w:themeColor="background1"/>
                      <w:highlight w:val="black"/>
                      <w:shd w:val="clear" w:color="auto" w:fill="DAE9F7" w:themeFill="text2" w:themeFillTint="1A"/>
                    </w:rPr>
                    <w:fldChar w:fldCharType="begin"/>
                  </w:r>
                  <w:r>
                    <w:rPr>
                      <w:noProof/>
                      <w:color w:val="FFFFFF" w:themeColor="background1"/>
                      <w:highlight w:val="black"/>
                      <w:shd w:val="clear" w:color="auto" w:fill="DAE9F7" w:themeFill="text2" w:themeFillTint="1A"/>
                    </w:rPr>
                    <w:instrText xml:space="preserve"> SEQ Figure \* ARABIC </w:instrText>
                  </w:r>
                  <w:r>
                    <w:rPr>
                      <w:noProof/>
                      <w:color w:val="FFFFFF" w:themeColor="background1"/>
                      <w:highlight w:val="black"/>
                      <w:shd w:val="clear" w:color="auto" w:fill="DAE9F7" w:themeFill="text2" w:themeFillTint="1A"/>
                    </w:rPr>
                    <w:fldChar w:fldCharType="separate"/>
                  </w:r>
                  <w:r w:rsidR="00517691">
                    <w:rPr>
                      <w:noProof/>
                      <w:color w:val="FFFFFF" w:themeColor="background1"/>
                      <w:highlight w:val="black"/>
                      <w:shd w:val="clear" w:color="auto" w:fill="DAE9F7" w:themeFill="text2" w:themeFillTint="1A"/>
                    </w:rPr>
                    <w:t>10</w:t>
                  </w:r>
                  <w:r>
                    <w:rPr>
                      <w:noProof/>
                      <w:color w:val="FFFFFF" w:themeColor="background1"/>
                      <w:highlight w:val="black"/>
                      <w:shd w:val="clear" w:color="auto" w:fill="DAE9F7" w:themeFill="text2" w:themeFillTint="1A"/>
                    </w:rPr>
                    <w:fldChar w:fldCharType="end"/>
                  </w:r>
                  <w:r>
                    <w:rPr>
                      <w:noProof/>
                      <w:color w:val="FFFFFF" w:themeColor="background1"/>
                      <w:highlight w:val="black"/>
                      <w:shd w:val="clear" w:color="auto" w:fill="DAE9F7" w:themeFill="text2" w:themeFillTint="1A"/>
                    </w:rPr>
                    <w:t>. Option 2: Table</w:t>
                  </w:r>
                </w:p>
              </w:tc>
            </w:tr>
            <w:tr w:rsidR="00A43779" w14:paraId="59A907B2" w14:textId="77777777">
              <w:tc>
                <w:tcPr>
                  <w:tcW w:w="9124" w:type="dxa"/>
                  <w:shd w:val="clear" w:color="auto" w:fill="FFFFFF" w:themeFill="background1"/>
                </w:tcPr>
                <w:p w14:paraId="217A5F4A" w14:textId="34833029" w:rsidR="00A43779" w:rsidRPr="00F371DF" w:rsidRDefault="00A43779" w:rsidP="006F2B6B">
                  <w:pPr>
                    <w:pStyle w:val="Example"/>
                    <w:spacing w:before="120" w:after="120"/>
                    <w:rPr>
                      <w:b w:val="0"/>
                      <w:bCs w:val="0"/>
                      <w:i w:val="0"/>
                      <w:iCs/>
                      <w:shd w:val="clear" w:color="auto" w:fill="DAE9F7" w:themeFill="text2" w:themeFillTint="1A"/>
                    </w:rPr>
                  </w:pPr>
                  <w:r>
                    <w:rPr>
                      <w:b w:val="0"/>
                      <w:bCs w:val="0"/>
                      <w:i w:val="0"/>
                      <w:iCs/>
                    </w:rPr>
                    <w:t xml:space="preserve">The 2024 </w:t>
                  </w:r>
                  <w:hyperlink r:id="rId152" w:history="1">
                    <w:r>
                      <w:rPr>
                        <w:rStyle w:val="Hyperlink"/>
                        <w:b w:val="0"/>
                      </w:rPr>
                      <w:t>Colusa</w:t>
                    </w:r>
                    <w:r>
                      <w:rPr>
                        <w:rStyle w:val="Hyperlink"/>
                        <w:b w:val="0"/>
                        <w:bCs w:val="0"/>
                      </w:rPr>
                      <w:t xml:space="preserve"> </w:t>
                    </w:r>
                    <w:r>
                      <w:rPr>
                        <w:rStyle w:val="Hyperlink"/>
                        <w:b w:val="0"/>
                      </w:rPr>
                      <w:t>County</w:t>
                    </w:r>
                    <w:r>
                      <w:rPr>
                        <w:rStyle w:val="Hyperlink"/>
                        <w:b w:val="0"/>
                        <w:bCs w:val="0"/>
                      </w:rPr>
                      <w:t xml:space="preserve"> LHMP </w:t>
                    </w:r>
                    <w:r>
                      <w:rPr>
                        <w:rStyle w:val="Hyperlink"/>
                        <w:b w:val="0"/>
                      </w:rPr>
                      <w:t>Update</w:t>
                    </w:r>
                  </w:hyperlink>
                  <w:r>
                    <w:rPr>
                      <w:b w:val="0"/>
                      <w:bCs w:val="0"/>
                      <w:szCs w:val="22"/>
                    </w:rPr>
                    <w:t xml:space="preserve"> </w:t>
                  </w:r>
                  <w:r>
                    <w:rPr>
                      <w:b w:val="0"/>
                      <w:bCs w:val="0"/>
                      <w:i w:val="0"/>
                      <w:iCs/>
                    </w:rPr>
                    <w:t>displayed past hazard history with a table.</w:t>
                  </w:r>
                </w:p>
                <w:p w14:paraId="6EA651DA" w14:textId="499D3AB4" w:rsidR="00A43779" w:rsidRPr="006F2B6B" w:rsidRDefault="006F2B6B" w:rsidP="006F2B6B">
                  <w:pPr>
                    <w:pStyle w:val="Example"/>
                    <w:jc w:val="center"/>
                    <w:rPr>
                      <w:i w:val="0"/>
                      <w:iCs/>
                      <w:shd w:val="clear" w:color="auto" w:fill="DAE9F7" w:themeFill="text2" w:themeFillTint="1A"/>
                    </w:rPr>
                  </w:pPr>
                  <w:r>
                    <w:rPr>
                      <w:noProof/>
                      <w:shd w:val="clear" w:color="auto" w:fill="DAE9F7" w:themeFill="text2" w:themeFillTint="1A"/>
                    </w:rPr>
                    <w:drawing>
                      <wp:inline distT="0" distB="0" distL="0" distR="0" wp14:anchorId="3C6EF267" wp14:editId="2C8BFE32">
                        <wp:extent cx="5634355" cy="3317358"/>
                        <wp:effectExtent l="0" t="0" r="4445" b="0"/>
                        <wp:docPr id="1746044957" name="Picture 15" descr="Screenshot of Colusa County's MJHMP displaying a table with counts and years of different disaster types. Years for both federal and State declarations are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44957" name="Picture 15" descr="Screenshot of Colusa County's MJHMP displaying a table with counts and years of different disaster types. Years for both federal and State declarations are included."/>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b="24691"/>
                                <a:stretch>
                                  <a:fillRect/>
                                </a:stretch>
                              </pic:blipFill>
                              <pic:spPr bwMode="auto">
                                <a:xfrm>
                                  <a:off x="0" y="0"/>
                                  <a:ext cx="5640379" cy="3320905"/>
                                </a:xfrm>
                                <a:prstGeom prst="rect">
                                  <a:avLst/>
                                </a:prstGeom>
                                <a:noFill/>
                                <a:ln>
                                  <a:noFill/>
                                </a:ln>
                                <a:extLst>
                                  <a:ext uri="{53640926-AAD7-44D8-BBD7-CCE9431645EC}">
                                    <a14:shadowObscured xmlns:a14="http://schemas.microsoft.com/office/drawing/2010/main"/>
                                  </a:ext>
                                </a:extLst>
                              </pic:spPr>
                            </pic:pic>
                          </a:graphicData>
                        </a:graphic>
                      </wp:inline>
                    </w:drawing>
                  </w:r>
                </w:p>
                <w:p w14:paraId="7D9F0C55" w14:textId="77777777" w:rsidR="00A43779" w:rsidRPr="00A96E70" w:rsidRDefault="00A43779" w:rsidP="00BB5ACB">
                  <w:pPr>
                    <w:rPr>
                      <w:b/>
                      <w:sz w:val="12"/>
                      <w:szCs w:val="12"/>
                    </w:rPr>
                  </w:pPr>
                </w:p>
              </w:tc>
            </w:tr>
          </w:tbl>
          <w:p w14:paraId="3FECD820" w14:textId="22308AF7" w:rsidR="00A43779" w:rsidRPr="006F6974" w:rsidRDefault="006F2B6B" w:rsidP="00BB5ACB">
            <w:pPr>
              <w:rPr>
                <w:sz w:val="12"/>
                <w:szCs w:val="12"/>
              </w:rPr>
            </w:pPr>
            <w:r>
              <w:rPr>
                <w:sz w:val="12"/>
                <w:szCs w:val="12"/>
              </w:rPr>
              <w:t xml:space="preserve">  </w:t>
            </w:r>
          </w:p>
        </w:tc>
      </w:tr>
    </w:tbl>
    <w:p w14:paraId="37CF3B67" w14:textId="77777777" w:rsidR="000673F5" w:rsidRDefault="000673F5">
      <w:pPr>
        <w:rPr>
          <w:szCs w:val="24"/>
        </w:rPr>
      </w:pPr>
    </w:p>
    <w:p w14:paraId="4D5319A3" w14:textId="5CF1802E" w:rsidR="000673F5" w:rsidRDefault="000673F5">
      <w:pPr>
        <w:rPr>
          <w:szCs w:val="24"/>
        </w:rPr>
      </w:pPr>
      <w:r>
        <w:rPr>
          <w:szCs w:val="24"/>
        </w:rPr>
        <w:br w:type="page"/>
      </w:r>
    </w:p>
    <w:tbl>
      <w:tblPr>
        <w:tblStyle w:val="TableGrid"/>
        <w:tblW w:w="0" w:type="auto"/>
        <w:tblLook w:val="04A0" w:firstRow="1" w:lastRow="0" w:firstColumn="1" w:lastColumn="0" w:noHBand="0" w:noVBand="1"/>
      </w:tblPr>
      <w:tblGrid>
        <w:gridCol w:w="9350"/>
      </w:tblGrid>
      <w:tr w:rsidR="007C67B9" w:rsidRPr="004B22A0" w14:paraId="568B4D04" w14:textId="77777777" w:rsidTr="009667D9">
        <w:trPr>
          <w:trHeight w:val="576"/>
        </w:trPr>
        <w:tc>
          <w:tcPr>
            <w:tcW w:w="9350" w:type="dxa"/>
            <w:tcBorders>
              <w:top w:val="nil"/>
              <w:left w:val="nil"/>
              <w:bottom w:val="nil"/>
              <w:right w:val="nil"/>
            </w:tcBorders>
            <w:shd w:val="clear" w:color="auto" w:fill="14581C"/>
            <w:vAlign w:val="center"/>
          </w:tcPr>
          <w:p w14:paraId="7605C609" w14:textId="7A8DDCEF" w:rsidR="007C67B9" w:rsidRPr="004B22A0" w:rsidRDefault="007C67B9" w:rsidP="009667D9">
            <w:pPr>
              <w:rPr>
                <w:b/>
                <w:bCs/>
                <w:color w:val="FFFFFF" w:themeColor="background1"/>
              </w:rPr>
            </w:pPr>
            <w:r>
              <w:rPr>
                <w:b/>
                <w:color w:val="FFFFFF" w:themeColor="background1"/>
              </w:rPr>
              <w:t>Put It into Practice</w:t>
            </w:r>
          </w:p>
        </w:tc>
      </w:tr>
      <w:tr w:rsidR="007C67B9" w14:paraId="5DEE9E61" w14:textId="77777777" w:rsidTr="009667D9">
        <w:trPr>
          <w:trHeight w:val="20"/>
        </w:trPr>
        <w:tc>
          <w:tcPr>
            <w:tcW w:w="9350" w:type="dxa"/>
            <w:tcBorders>
              <w:top w:val="nil"/>
              <w:left w:val="nil"/>
              <w:bottom w:val="nil"/>
              <w:right w:val="nil"/>
            </w:tcBorders>
            <w:shd w:val="clear" w:color="auto" w:fill="C1F0C7" w:themeFill="accent3" w:themeFillTint="33"/>
          </w:tcPr>
          <w:p w14:paraId="39167522" w14:textId="323646DC" w:rsidR="007C67B9" w:rsidRPr="007D273F" w:rsidRDefault="007C67B9" w:rsidP="009667D9">
            <w:pPr>
              <w:spacing w:before="120" w:after="160"/>
              <w:rPr>
                <w:color w:val="000000" w:themeColor="text1"/>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_Ref230248531 \h  \* MERGEFORMAT </w:instrText>
            </w:r>
            <w:r>
              <w:rPr>
                <w:b/>
                <w:bCs/>
                <w:color w:val="000000" w:themeColor="text1"/>
              </w:rPr>
            </w:r>
            <w:r>
              <w:rPr>
                <w:b/>
                <w:bCs/>
                <w:color w:val="000000" w:themeColor="text1"/>
              </w:rPr>
              <w:fldChar w:fldCharType="separate"/>
            </w:r>
            <w:r w:rsidR="00517691" w:rsidRPr="00517691">
              <w:rPr>
                <w:b/>
                <w:bCs/>
              </w:rPr>
              <w:t>Determine Historical Hazards</w:t>
            </w:r>
            <w:r>
              <w:rPr>
                <w:b/>
                <w:bCs/>
                <w:color w:val="000000" w:themeColor="text1"/>
              </w:rPr>
              <w:fldChar w:fldCharType="end"/>
            </w:r>
          </w:p>
          <w:p w14:paraId="2D987BA9" w14:textId="681CC7E6" w:rsidR="007C67B9" w:rsidRPr="007D273F" w:rsidRDefault="007C67B9" w:rsidP="009667D9">
            <w:pPr>
              <w:spacing w:before="120" w:after="160"/>
              <w:rPr>
                <w:color w:val="000000" w:themeColor="text1"/>
              </w:rPr>
            </w:pPr>
            <w:r>
              <w:rPr>
                <w:color w:val="000000" w:themeColor="text1"/>
              </w:rPr>
              <w:t>Record findings about historical hazard events in the table below.</w:t>
            </w:r>
          </w:p>
          <w:tbl>
            <w:tblPr>
              <w:tblStyle w:val="TableGrid"/>
              <w:tblW w:w="0" w:type="auto"/>
              <w:tblLook w:val="04A0" w:firstRow="1" w:lastRow="0" w:firstColumn="1" w:lastColumn="0" w:noHBand="0" w:noVBand="1"/>
              <w:tblCaption w:val="Historical hazard events and their impacts"/>
              <w:tblDescription w:val="Fillable table to record your jurisdiction's historical hazards"/>
            </w:tblPr>
            <w:tblGrid>
              <w:gridCol w:w="1322"/>
              <w:gridCol w:w="1042"/>
              <w:gridCol w:w="2012"/>
              <w:gridCol w:w="1157"/>
              <w:gridCol w:w="1728"/>
              <w:gridCol w:w="1863"/>
            </w:tblGrid>
            <w:tr w:rsidR="007C67B9" w:rsidRPr="00E6040D" w14:paraId="366913BD" w14:textId="77777777" w:rsidTr="00304E37">
              <w:tc>
                <w:tcPr>
                  <w:tcW w:w="1322" w:type="dxa"/>
                  <w:vAlign w:val="center"/>
                </w:tcPr>
                <w:p w14:paraId="4DCCC1DC" w14:textId="77777777" w:rsidR="007C67B9" w:rsidRPr="004B22A0" w:rsidRDefault="007C67B9" w:rsidP="009667D9">
                  <w:pPr>
                    <w:jc w:val="center"/>
                    <w:rPr>
                      <w:b/>
                      <w:bCs/>
                      <w:color w:val="000000" w:themeColor="text1"/>
                    </w:rPr>
                  </w:pPr>
                  <w:r>
                    <w:rPr>
                      <w:b/>
                      <w:bCs/>
                      <w:color w:val="000000" w:themeColor="text1"/>
                    </w:rPr>
                    <w:t>Event Name and Date</w:t>
                  </w:r>
                </w:p>
              </w:tc>
              <w:tc>
                <w:tcPr>
                  <w:tcW w:w="1042" w:type="dxa"/>
                  <w:vAlign w:val="center"/>
                </w:tcPr>
                <w:p w14:paraId="4335E8FE" w14:textId="77777777" w:rsidR="007C67B9" w:rsidRPr="004B22A0" w:rsidRDefault="007C67B9" w:rsidP="009667D9">
                  <w:pPr>
                    <w:jc w:val="center"/>
                    <w:rPr>
                      <w:b/>
                      <w:bCs/>
                      <w:color w:val="000000" w:themeColor="text1"/>
                    </w:rPr>
                  </w:pPr>
                  <w:r>
                    <w:rPr>
                      <w:b/>
                      <w:bCs/>
                      <w:color w:val="000000" w:themeColor="text1"/>
                    </w:rPr>
                    <w:t>Hazard Type</w:t>
                  </w:r>
                </w:p>
              </w:tc>
              <w:tc>
                <w:tcPr>
                  <w:tcW w:w="2012" w:type="dxa"/>
                  <w:vAlign w:val="center"/>
                </w:tcPr>
                <w:p w14:paraId="06382A79" w14:textId="77777777" w:rsidR="007C67B9" w:rsidRPr="004B22A0" w:rsidRDefault="007C67B9" w:rsidP="009667D9">
                  <w:pPr>
                    <w:jc w:val="center"/>
                    <w:rPr>
                      <w:b/>
                      <w:bCs/>
                      <w:color w:val="000000" w:themeColor="text1"/>
                    </w:rPr>
                  </w:pPr>
                  <w:r>
                    <w:rPr>
                      <w:b/>
                      <w:bCs/>
                      <w:color w:val="000000" w:themeColor="text1"/>
                    </w:rPr>
                    <w:t>Neighborhoods or Regions Affected</w:t>
                  </w:r>
                </w:p>
              </w:tc>
              <w:tc>
                <w:tcPr>
                  <w:tcW w:w="1157" w:type="dxa"/>
                  <w:vAlign w:val="center"/>
                </w:tcPr>
                <w:p w14:paraId="33C22166" w14:textId="77777777" w:rsidR="007C67B9" w:rsidRPr="004B22A0" w:rsidRDefault="007C67B9" w:rsidP="009667D9">
                  <w:pPr>
                    <w:jc w:val="center"/>
                    <w:rPr>
                      <w:b/>
                      <w:bCs/>
                      <w:color w:val="000000" w:themeColor="text1"/>
                    </w:rPr>
                  </w:pPr>
                  <w:r>
                    <w:rPr>
                      <w:b/>
                      <w:bCs/>
                      <w:color w:val="000000" w:themeColor="text1"/>
                    </w:rPr>
                    <w:t>Human Impacts</w:t>
                  </w:r>
                </w:p>
              </w:tc>
              <w:tc>
                <w:tcPr>
                  <w:tcW w:w="1728" w:type="dxa"/>
                  <w:vAlign w:val="center"/>
                </w:tcPr>
                <w:p w14:paraId="39881DCC" w14:textId="77777777" w:rsidR="007C67B9" w:rsidRPr="004B22A0" w:rsidRDefault="007C67B9" w:rsidP="009667D9">
                  <w:pPr>
                    <w:jc w:val="center"/>
                    <w:rPr>
                      <w:b/>
                      <w:bCs/>
                      <w:color w:val="000000" w:themeColor="text1"/>
                    </w:rPr>
                  </w:pPr>
                  <w:r>
                    <w:rPr>
                      <w:b/>
                      <w:bCs/>
                      <w:color w:val="000000" w:themeColor="text1"/>
                    </w:rPr>
                    <w:t>Infrastructure Impacts</w:t>
                  </w:r>
                </w:p>
              </w:tc>
              <w:tc>
                <w:tcPr>
                  <w:tcW w:w="1863" w:type="dxa"/>
                  <w:vAlign w:val="center"/>
                </w:tcPr>
                <w:p w14:paraId="35EBE97C" w14:textId="77777777" w:rsidR="007C67B9" w:rsidRPr="004B22A0" w:rsidRDefault="007C67B9" w:rsidP="009667D9">
                  <w:pPr>
                    <w:jc w:val="center"/>
                    <w:rPr>
                      <w:b/>
                      <w:bCs/>
                      <w:color w:val="000000" w:themeColor="text1"/>
                    </w:rPr>
                  </w:pPr>
                  <w:r>
                    <w:rPr>
                      <w:b/>
                      <w:bCs/>
                      <w:color w:val="000000" w:themeColor="text1"/>
                    </w:rPr>
                    <w:t>Environmental Impacts</w:t>
                  </w:r>
                </w:p>
              </w:tc>
            </w:tr>
            <w:tr w:rsidR="007C67B9" w:rsidRPr="00E6040D" w14:paraId="57430D47" w14:textId="77777777" w:rsidTr="00304E37">
              <w:tc>
                <w:tcPr>
                  <w:tcW w:w="1322" w:type="dxa"/>
                </w:tcPr>
                <w:p w14:paraId="7826FD64" w14:textId="77777777" w:rsidR="007C67B9" w:rsidRPr="00E6040D" w:rsidRDefault="007C67B9" w:rsidP="009667D9">
                  <w:pPr>
                    <w:rPr>
                      <w:color w:val="000000" w:themeColor="text1"/>
                    </w:rPr>
                  </w:pPr>
                </w:p>
              </w:tc>
              <w:tc>
                <w:tcPr>
                  <w:tcW w:w="1042" w:type="dxa"/>
                </w:tcPr>
                <w:p w14:paraId="0AD3ED54" w14:textId="77777777" w:rsidR="007C67B9" w:rsidRPr="00E6040D" w:rsidRDefault="007C67B9" w:rsidP="009667D9">
                  <w:pPr>
                    <w:rPr>
                      <w:color w:val="000000" w:themeColor="text1"/>
                    </w:rPr>
                  </w:pPr>
                </w:p>
              </w:tc>
              <w:tc>
                <w:tcPr>
                  <w:tcW w:w="2012" w:type="dxa"/>
                </w:tcPr>
                <w:p w14:paraId="7F4456B3" w14:textId="77777777" w:rsidR="007C67B9" w:rsidRPr="00E6040D" w:rsidRDefault="007C67B9" w:rsidP="009667D9">
                  <w:pPr>
                    <w:rPr>
                      <w:color w:val="000000" w:themeColor="text1"/>
                    </w:rPr>
                  </w:pPr>
                </w:p>
              </w:tc>
              <w:tc>
                <w:tcPr>
                  <w:tcW w:w="1157" w:type="dxa"/>
                </w:tcPr>
                <w:p w14:paraId="7BBF1127" w14:textId="77777777" w:rsidR="007C67B9" w:rsidRPr="00E6040D" w:rsidRDefault="007C67B9" w:rsidP="009667D9">
                  <w:pPr>
                    <w:rPr>
                      <w:color w:val="000000" w:themeColor="text1"/>
                    </w:rPr>
                  </w:pPr>
                </w:p>
              </w:tc>
              <w:tc>
                <w:tcPr>
                  <w:tcW w:w="1728" w:type="dxa"/>
                </w:tcPr>
                <w:p w14:paraId="6C01F662" w14:textId="77777777" w:rsidR="007C67B9" w:rsidRPr="00E6040D" w:rsidRDefault="007C67B9" w:rsidP="009667D9">
                  <w:pPr>
                    <w:rPr>
                      <w:color w:val="000000" w:themeColor="text1"/>
                    </w:rPr>
                  </w:pPr>
                </w:p>
              </w:tc>
              <w:tc>
                <w:tcPr>
                  <w:tcW w:w="1863" w:type="dxa"/>
                </w:tcPr>
                <w:p w14:paraId="2255F920" w14:textId="77777777" w:rsidR="007C67B9" w:rsidRPr="00E6040D" w:rsidRDefault="007C67B9" w:rsidP="009667D9">
                  <w:pPr>
                    <w:rPr>
                      <w:color w:val="000000" w:themeColor="text1"/>
                    </w:rPr>
                  </w:pPr>
                </w:p>
              </w:tc>
            </w:tr>
            <w:tr w:rsidR="007C67B9" w:rsidRPr="00E6040D" w14:paraId="67553B2A" w14:textId="77777777" w:rsidTr="00304E37">
              <w:tc>
                <w:tcPr>
                  <w:tcW w:w="1322" w:type="dxa"/>
                </w:tcPr>
                <w:p w14:paraId="42612FAA" w14:textId="77777777" w:rsidR="007C67B9" w:rsidRPr="00E6040D" w:rsidRDefault="007C67B9" w:rsidP="009667D9">
                  <w:pPr>
                    <w:rPr>
                      <w:color w:val="000000" w:themeColor="text1"/>
                    </w:rPr>
                  </w:pPr>
                </w:p>
              </w:tc>
              <w:tc>
                <w:tcPr>
                  <w:tcW w:w="1042" w:type="dxa"/>
                </w:tcPr>
                <w:p w14:paraId="256E628D" w14:textId="77777777" w:rsidR="007C67B9" w:rsidRPr="00E6040D" w:rsidRDefault="007C67B9" w:rsidP="009667D9">
                  <w:pPr>
                    <w:rPr>
                      <w:color w:val="000000" w:themeColor="text1"/>
                    </w:rPr>
                  </w:pPr>
                </w:p>
              </w:tc>
              <w:tc>
                <w:tcPr>
                  <w:tcW w:w="2012" w:type="dxa"/>
                </w:tcPr>
                <w:p w14:paraId="16C7943E" w14:textId="77777777" w:rsidR="007C67B9" w:rsidRPr="00E6040D" w:rsidRDefault="007C67B9" w:rsidP="009667D9">
                  <w:pPr>
                    <w:rPr>
                      <w:color w:val="000000" w:themeColor="text1"/>
                    </w:rPr>
                  </w:pPr>
                </w:p>
              </w:tc>
              <w:tc>
                <w:tcPr>
                  <w:tcW w:w="1157" w:type="dxa"/>
                </w:tcPr>
                <w:p w14:paraId="018EB9E9" w14:textId="77777777" w:rsidR="007C67B9" w:rsidRPr="00E6040D" w:rsidRDefault="007C67B9" w:rsidP="009667D9">
                  <w:pPr>
                    <w:rPr>
                      <w:color w:val="000000" w:themeColor="text1"/>
                    </w:rPr>
                  </w:pPr>
                </w:p>
              </w:tc>
              <w:tc>
                <w:tcPr>
                  <w:tcW w:w="1728" w:type="dxa"/>
                </w:tcPr>
                <w:p w14:paraId="5B7ED9A3" w14:textId="77777777" w:rsidR="007C67B9" w:rsidRPr="00E6040D" w:rsidRDefault="007C67B9" w:rsidP="009667D9">
                  <w:pPr>
                    <w:rPr>
                      <w:color w:val="000000" w:themeColor="text1"/>
                    </w:rPr>
                  </w:pPr>
                </w:p>
              </w:tc>
              <w:tc>
                <w:tcPr>
                  <w:tcW w:w="1863" w:type="dxa"/>
                </w:tcPr>
                <w:p w14:paraId="2C7032AF" w14:textId="77777777" w:rsidR="007C67B9" w:rsidRPr="00E6040D" w:rsidRDefault="007C67B9" w:rsidP="009667D9">
                  <w:pPr>
                    <w:rPr>
                      <w:color w:val="000000" w:themeColor="text1"/>
                    </w:rPr>
                  </w:pPr>
                </w:p>
              </w:tc>
            </w:tr>
          </w:tbl>
          <w:p w14:paraId="4BCBA10F" w14:textId="77777777" w:rsidR="007C67B9" w:rsidRPr="00A96E70" w:rsidRDefault="007C67B9" w:rsidP="009667D9">
            <w:pPr>
              <w:rPr>
                <w:sz w:val="12"/>
                <w:szCs w:val="12"/>
              </w:rPr>
            </w:pPr>
            <w:r>
              <w:rPr>
                <w:sz w:val="12"/>
                <w:szCs w:val="12"/>
              </w:rPr>
              <w:t xml:space="preserve">  </w:t>
            </w:r>
          </w:p>
        </w:tc>
      </w:tr>
    </w:tbl>
    <w:p w14:paraId="11D10910" w14:textId="31AC5D53" w:rsidR="00A96E70" w:rsidRPr="009667D9" w:rsidRDefault="00A96E70" w:rsidP="009667D9">
      <w:pPr>
        <w:spacing w:after="0" w:line="240" w:lineRule="auto"/>
        <w:rPr>
          <w:b/>
          <w:bCs/>
          <w:color w:val="000000" w:themeColor="text1"/>
          <w:sz w:val="2"/>
          <w:szCs w:val="2"/>
        </w:rPr>
      </w:pPr>
    </w:p>
    <w:p w14:paraId="21C2FA98" w14:textId="7B1D5A05" w:rsidR="00CF71BD" w:rsidRPr="00746326" w:rsidRDefault="00CA2562" w:rsidP="00A110EB">
      <w:pPr>
        <w:pStyle w:val="Heading3"/>
        <w:spacing w:after="160" w:line="240" w:lineRule="auto"/>
      </w:pPr>
      <w:bookmarkStart w:id="92" w:name="_Toc235802688"/>
      <w:r>
        <w:t>Step 2.1C: Identify Exposure to Climate Hazards</w:t>
      </w:r>
      <w:bookmarkEnd w:id="89"/>
      <w:bookmarkEnd w:id="92"/>
    </w:p>
    <w:p w14:paraId="0600144E" w14:textId="4848A95B" w:rsidR="004B22A0" w:rsidRDefault="00407AA5" w:rsidP="00A110EB">
      <w:pPr>
        <w:spacing w:before="160" w:line="240" w:lineRule="auto"/>
      </w:pPr>
      <w:r>
        <w:t xml:space="preserve">This step identifies the climate hazards the community is currently exposed to. Not every community will experience all climate hazards, so it is important to identify those that are relevant to the planning area. </w:t>
      </w:r>
      <w:r>
        <w:rPr>
          <w:b/>
        </w:rPr>
        <w:t>California's primary climate hazards include extreme heat, wildfire, sea level rise, drought, and flooding.</w:t>
      </w:r>
      <w:r>
        <w:t xml:space="preserve"> Secondary and cascading hazards such as post-fire debris flows or saltwater intrusion from sea level rise should also be considered at a later point in the assessment (see Step 2.1E).</w:t>
      </w:r>
    </w:p>
    <w:p w14:paraId="363E25BF" w14:textId="67EB863F" w:rsidR="00F34900" w:rsidRDefault="00CA77A0" w:rsidP="0024398C">
      <w:pPr>
        <w:spacing w:before="160" w:line="240" w:lineRule="auto"/>
      </w:pPr>
      <w:r>
        <w:t xml:space="preserve">There are several resources available to learn about the hazards that the community is currently exposed to. This step uses the VCP’s </w:t>
      </w:r>
      <w:hyperlink r:id="rId154" w:history="1">
        <w:r>
          <w:rPr>
            <w:rStyle w:val="Hyperlink"/>
          </w:rPr>
          <w:t>Climate Vulnerability Map</w:t>
        </w:r>
      </w:hyperlink>
      <w:r>
        <w:t xml:space="preserve"> to get a high-level overview of the climate hazards in communities. It covers extreme heat, sea level rise, drought, flooding, and wildfire. Consult Appendix C for additional tools and step-by-step instructions. The VCP uses a color scheme shown in </w:t>
      </w:r>
      <w:r>
        <w:rPr>
          <w:u w:val="single"/>
        </w:rPr>
        <w:fldChar w:fldCharType="begin"/>
      </w:r>
      <w:r>
        <w:rPr>
          <w:u w:val="single"/>
        </w:rPr>
        <w:instrText xml:space="preserve"> REF _Ref230096307 \h  \* MERGEFORMAT </w:instrText>
      </w:r>
      <w:r>
        <w:rPr>
          <w:u w:val="single"/>
        </w:rPr>
      </w:r>
      <w:r>
        <w:rPr>
          <w:u w:val="single"/>
        </w:rPr>
        <w:fldChar w:fldCharType="separate"/>
      </w:r>
      <w:r w:rsidR="00517691" w:rsidRPr="00517691">
        <w:rPr>
          <w:u w:val="single"/>
        </w:rPr>
        <w:t xml:space="preserve">Figure </w:t>
      </w:r>
      <w:r w:rsidR="00517691" w:rsidRPr="00517691">
        <w:rPr>
          <w:noProof/>
          <w:u w:val="single"/>
        </w:rPr>
        <w:t>11</w:t>
      </w:r>
      <w:r>
        <w:rPr>
          <w:u w:val="single"/>
        </w:rPr>
        <w:fldChar w:fldCharType="end"/>
      </w:r>
      <w:r>
        <w:t>. The purple gradient in the first box represents a combination of climate hazard data; orange represents social vulnerability data; the combined gradient shows overall climate vulnerability. The dark maroon in the top right indicated communities with both the highest hazard exposure and the highest social vulnerability.</w:t>
      </w:r>
    </w:p>
    <w:p w14:paraId="4386764F" w14:textId="77777777" w:rsidR="00ED0329" w:rsidRDefault="00ED0329" w:rsidP="0024398C">
      <w:pPr>
        <w:spacing w:before="160" w:line="240" w:lineRule="auto"/>
      </w:pPr>
    </w:p>
    <w:p w14:paraId="72710437" w14:textId="77777777" w:rsidR="00ED0329" w:rsidRDefault="00ED0329" w:rsidP="0024398C">
      <w:pPr>
        <w:spacing w:before="160" w:line="240" w:lineRule="auto"/>
      </w:pPr>
    </w:p>
    <w:p w14:paraId="04990826" w14:textId="77777777" w:rsidR="00ED0329" w:rsidRDefault="00ED0329" w:rsidP="0024398C">
      <w:pPr>
        <w:spacing w:before="160" w:line="240" w:lineRule="auto"/>
      </w:pPr>
    </w:p>
    <w:p w14:paraId="67F3AAEB" w14:textId="77777777" w:rsidR="00ED0329" w:rsidRDefault="00ED0329" w:rsidP="0024398C">
      <w:pPr>
        <w:spacing w:before="160" w:line="240" w:lineRule="auto"/>
      </w:pPr>
    </w:p>
    <w:p w14:paraId="4022E742" w14:textId="77777777" w:rsidR="00ED0329" w:rsidRDefault="00ED0329" w:rsidP="0024398C">
      <w:pPr>
        <w:spacing w:before="160" w:line="240" w:lineRule="auto"/>
      </w:pPr>
    </w:p>
    <w:p w14:paraId="2D392EF8" w14:textId="77777777" w:rsidR="00ED0329" w:rsidRDefault="00ED0329" w:rsidP="0024398C">
      <w:pPr>
        <w:spacing w:before="160" w:line="240" w:lineRule="auto"/>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546AF" w:rsidRPr="002546AF" w14:paraId="027A069F" w14:textId="77777777" w:rsidTr="004852C8">
        <w:trPr>
          <w:trHeight w:val="720"/>
        </w:trPr>
        <w:tc>
          <w:tcPr>
            <w:tcW w:w="9344"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735AEE6F" w14:textId="0493A10E" w:rsidR="002546AF" w:rsidRPr="002546AF" w:rsidRDefault="004B22A0" w:rsidP="00BB5ACB">
            <w:pPr>
              <w:spacing w:after="0" w:line="240" w:lineRule="auto"/>
              <w:ind w:left="76"/>
            </w:pPr>
            <w:bookmarkStart w:id="93" w:name="_Ref230096307"/>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11</w:t>
            </w:r>
            <w:r>
              <w:rPr>
                <w:b/>
                <w:bCs/>
              </w:rPr>
              <w:fldChar w:fldCharType="end"/>
            </w:r>
            <w:bookmarkEnd w:id="93"/>
            <w:r>
              <w:rPr>
                <w:b/>
                <w:bCs/>
              </w:rPr>
              <w:t>.</w:t>
            </w:r>
            <w:r>
              <w:t xml:space="preserve"> </w:t>
            </w:r>
            <w:r>
              <w:rPr>
                <w:b/>
                <w:bCs/>
              </w:rPr>
              <w:t>The VCP’s bivariate color scheme, which uses the intersection of climate hazard and social vulnerability</w:t>
            </w:r>
          </w:p>
        </w:tc>
      </w:tr>
      <w:tr w:rsidR="002546AF" w:rsidRPr="002546AF" w14:paraId="67C99E00" w14:textId="77777777" w:rsidTr="00A96E70">
        <w:trPr>
          <w:trHeight w:val="300"/>
        </w:trPr>
        <w:tc>
          <w:tcPr>
            <w:tcW w:w="9344" w:type="dxa"/>
            <w:tcBorders>
              <w:top w:val="single" w:sz="6" w:space="0" w:color="auto"/>
              <w:left w:val="single" w:sz="6" w:space="0" w:color="auto"/>
              <w:bottom w:val="single" w:sz="6" w:space="0" w:color="auto"/>
              <w:right w:val="single" w:sz="6" w:space="0" w:color="auto"/>
            </w:tcBorders>
            <w:hideMark/>
          </w:tcPr>
          <w:p w14:paraId="1E5CC3A0" w14:textId="4442FDF6" w:rsidR="002546AF" w:rsidRPr="002546AF" w:rsidRDefault="002546AF" w:rsidP="0026184B">
            <w:pPr>
              <w:spacing w:before="120" w:line="240" w:lineRule="auto"/>
              <w:ind w:left="86" w:right="72"/>
            </w:pPr>
            <w:r>
              <w:rPr>
                <w:noProof/>
              </w:rPr>
              <w:drawing>
                <wp:inline distT="0" distB="0" distL="0" distR="0" wp14:anchorId="2E6A7244" wp14:editId="4D708F6D">
                  <wp:extent cx="5676900" cy="1638300"/>
                  <wp:effectExtent l="0" t="0" r="0" b="3810"/>
                  <wp:docPr id="48163597" name="Picture 2" descr="Explanation of visualization colors with pink to purple for increasing climate hazard vs pink to orange for increasing soci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3597" name="Picture 2" descr="Explanation of visualization colors with pink to purple for increasing climate hazard vs pink to orange for increasing social vulnerability"/>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76900" cy="1638300"/>
                          </a:xfrm>
                          <a:prstGeom prst="rect">
                            <a:avLst/>
                          </a:prstGeom>
                          <a:noFill/>
                          <a:ln>
                            <a:noFill/>
                          </a:ln>
                        </pic:spPr>
                      </pic:pic>
                    </a:graphicData>
                  </a:graphic>
                </wp:inline>
              </w:drawing>
            </w:r>
          </w:p>
        </w:tc>
      </w:tr>
    </w:tbl>
    <w:p w14:paraId="44CDEFB5" w14:textId="4C974D79" w:rsidR="00A96E70" w:rsidRDefault="00DD79E3" w:rsidP="00A110EB">
      <w:pPr>
        <w:spacing w:before="160" w:line="240" w:lineRule="auto"/>
      </w:pPr>
      <w:r>
        <w:t xml:space="preserve">See </w:t>
      </w:r>
      <w:r>
        <w:rPr>
          <w:u w:val="single"/>
        </w:rPr>
        <w:fldChar w:fldCharType="begin"/>
      </w:r>
      <w:r>
        <w:rPr>
          <w:u w:val="single"/>
        </w:rPr>
        <w:instrText xml:space="preserve"> REF _Ref229409627 \h  \* MERGEFORMAT </w:instrText>
      </w:r>
      <w:r>
        <w:rPr>
          <w:u w:val="single"/>
        </w:rPr>
      </w:r>
      <w:r>
        <w:rPr>
          <w:u w:val="single"/>
        </w:rPr>
        <w:fldChar w:fldCharType="separate"/>
      </w:r>
      <w:r w:rsidR="00517691" w:rsidRPr="00517691">
        <w:rPr>
          <w:szCs w:val="24"/>
          <w:u w:val="single"/>
        </w:rPr>
        <w:t xml:space="preserve">Figure </w:t>
      </w:r>
      <w:r w:rsidR="00517691" w:rsidRPr="00517691">
        <w:rPr>
          <w:noProof/>
          <w:u w:val="single"/>
        </w:rPr>
        <w:t>12</w:t>
      </w:r>
      <w:r>
        <w:rPr>
          <w:u w:val="single"/>
        </w:rPr>
        <w:fldChar w:fldCharType="end"/>
      </w:r>
      <w:r>
        <w:t xml:space="preserve"> of the City of Yreka; the VCP identifies that the neighborhood is exposed to extreme heat, flooding, and drought, with extreme heat being of the biggest concern in the current timeframe (shown in the darkest maroon color).</w:t>
      </w:r>
    </w:p>
    <w:tbl>
      <w:tblPr>
        <w:tblStyle w:val="TableGrid"/>
        <w:tblW w:w="10795" w:type="dxa"/>
        <w:tblInd w:w="-635" w:type="dxa"/>
        <w:tblLook w:val="04A0" w:firstRow="1" w:lastRow="0" w:firstColumn="1" w:lastColumn="0" w:noHBand="0" w:noVBand="1"/>
      </w:tblPr>
      <w:tblGrid>
        <w:gridCol w:w="10795"/>
      </w:tblGrid>
      <w:tr w:rsidR="009A669C" w:rsidRPr="009A669C" w14:paraId="1337B864" w14:textId="77777777" w:rsidTr="005F1A26">
        <w:trPr>
          <w:trHeight w:val="432"/>
        </w:trPr>
        <w:tc>
          <w:tcPr>
            <w:tcW w:w="10795" w:type="dxa"/>
            <w:shd w:val="clear" w:color="auto" w:fill="000000" w:themeFill="text1"/>
            <w:vAlign w:val="center"/>
          </w:tcPr>
          <w:p w14:paraId="26292330" w14:textId="236C1985" w:rsidR="009A669C" w:rsidRPr="009A669C" w:rsidRDefault="004B22A0" w:rsidP="00BB5ACB">
            <w:pPr>
              <w:rPr>
                <w:b/>
                <w:bCs/>
              </w:rPr>
            </w:pPr>
            <w:bookmarkStart w:id="94" w:name="_Ref229409627"/>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12</w:t>
            </w:r>
            <w:r>
              <w:rPr>
                <w:b/>
                <w:bCs/>
              </w:rPr>
              <w:fldChar w:fldCharType="end"/>
            </w:r>
            <w:bookmarkEnd w:id="94"/>
            <w:r>
              <w:rPr>
                <w:b/>
                <w:bCs/>
              </w:rPr>
              <w:t>. City of Yreka’s climate hazard assessment from the VCP</w:t>
            </w:r>
          </w:p>
        </w:tc>
      </w:tr>
      <w:tr w:rsidR="009A669C" w14:paraId="10B4E80E" w14:textId="77777777" w:rsidTr="005F1A26">
        <w:trPr>
          <w:trHeight w:val="4608"/>
        </w:trPr>
        <w:tc>
          <w:tcPr>
            <w:tcW w:w="10795" w:type="dxa"/>
            <w:vAlign w:val="center"/>
          </w:tcPr>
          <w:p w14:paraId="5BA98089" w14:textId="1CE778FE" w:rsidR="009A669C" w:rsidRDefault="009A669C" w:rsidP="00A96E70">
            <w:pPr>
              <w:spacing w:before="120" w:after="120"/>
              <w:jc w:val="center"/>
            </w:pPr>
            <w:r>
              <w:rPr>
                <w:noProof/>
              </w:rPr>
              <w:drawing>
                <wp:inline distT="0" distB="0" distL="0" distR="0" wp14:anchorId="77196663" wp14:editId="29A9404C">
                  <wp:extent cx="6677606" cy="3200400"/>
                  <wp:effectExtent l="0" t="0" r="9525" b="0"/>
                  <wp:docPr id="884737873" name="Picture 1" descr="Screenshot of VCP tool for extreme heat for the City of Y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37873" name="Picture 1" descr="Screenshot of VCP tool for extreme heat for the City of Yreka."/>
                          <pic:cNvPicPr/>
                        </pic:nvPicPr>
                        <pic:blipFill>
                          <a:blip r:embed="rId156"/>
                          <a:stretch>
                            <a:fillRect/>
                          </a:stretch>
                        </pic:blipFill>
                        <pic:spPr>
                          <a:xfrm>
                            <a:off x="0" y="0"/>
                            <a:ext cx="6691941" cy="3207271"/>
                          </a:xfrm>
                          <a:prstGeom prst="rect">
                            <a:avLst/>
                          </a:prstGeom>
                        </pic:spPr>
                      </pic:pic>
                    </a:graphicData>
                  </a:graphic>
                </wp:inline>
              </w:drawing>
            </w:r>
          </w:p>
        </w:tc>
      </w:tr>
    </w:tbl>
    <w:p w14:paraId="584F387B" w14:textId="6F335B62" w:rsidR="00946446" w:rsidRDefault="00946446" w:rsidP="00A110EB">
      <w:pPr>
        <w:spacing w:before="160" w:line="240" w:lineRule="auto"/>
      </w:pPr>
    </w:p>
    <w:p w14:paraId="774B3DF2" w14:textId="6C7C59CF" w:rsidR="00946446" w:rsidRDefault="008E4332" w:rsidP="00A110EB">
      <w:pPr>
        <w:spacing w:before="160" w:line="240" w:lineRule="auto"/>
      </w:pPr>
      <w:r>
        <w:t xml:space="preserve">Pay attention to where hazards are most severe in the community, as exposure can vary significantly by neighborhood. See </w:t>
      </w:r>
      <w:r>
        <w:rPr>
          <w:u w:val="single"/>
        </w:rPr>
        <w:fldChar w:fldCharType="begin"/>
      </w:r>
      <w:r>
        <w:rPr>
          <w:u w:val="single"/>
        </w:rPr>
        <w:instrText xml:space="preserve"> REF _Ref229409693 \h  \* MERGEFORMAT </w:instrText>
      </w:r>
      <w:r>
        <w:rPr>
          <w:u w:val="single"/>
        </w:rPr>
      </w:r>
      <w:r>
        <w:rPr>
          <w:u w:val="single"/>
        </w:rPr>
        <w:fldChar w:fldCharType="separate"/>
      </w:r>
      <w:r w:rsidR="00517691" w:rsidRPr="00517691">
        <w:rPr>
          <w:szCs w:val="24"/>
          <w:u w:val="single"/>
        </w:rPr>
        <w:t xml:space="preserve">Figure </w:t>
      </w:r>
      <w:r w:rsidR="00517691" w:rsidRPr="00517691">
        <w:rPr>
          <w:noProof/>
          <w:u w:val="single"/>
        </w:rPr>
        <w:t>13</w:t>
      </w:r>
      <w:r>
        <w:rPr>
          <w:u w:val="single"/>
        </w:rPr>
        <w:fldChar w:fldCharType="end"/>
      </w:r>
      <w:r>
        <w:t xml:space="preserve"> of the City of Sacramento; the VCP shows that the neighborhoods of Natomas north of the River currently have high exposure to flooding (shown in the darkest purple color), while exposure is lower in West Sacramento and Downtown.</w:t>
      </w:r>
    </w:p>
    <w:tbl>
      <w:tblPr>
        <w:tblStyle w:val="TableGrid"/>
        <w:tblW w:w="0" w:type="auto"/>
        <w:tblLook w:val="04A0" w:firstRow="1" w:lastRow="0" w:firstColumn="1" w:lastColumn="0" w:noHBand="0" w:noVBand="1"/>
      </w:tblPr>
      <w:tblGrid>
        <w:gridCol w:w="9350"/>
      </w:tblGrid>
      <w:tr w:rsidR="009A669C" w:rsidRPr="009A669C" w14:paraId="53AEB910" w14:textId="77777777" w:rsidTr="006F603D">
        <w:trPr>
          <w:trHeight w:val="432"/>
        </w:trPr>
        <w:tc>
          <w:tcPr>
            <w:tcW w:w="9350" w:type="dxa"/>
            <w:shd w:val="clear" w:color="auto" w:fill="000000" w:themeFill="text1"/>
            <w:vAlign w:val="center"/>
          </w:tcPr>
          <w:p w14:paraId="12AEB6FD" w14:textId="7EFF983F" w:rsidR="009A669C" w:rsidRPr="009A669C" w:rsidRDefault="00BE6B69" w:rsidP="006F603D">
            <w:pPr>
              <w:rPr>
                <w:b/>
                <w:bCs/>
              </w:rPr>
            </w:pPr>
            <w:bookmarkStart w:id="95" w:name="_Ref229409693"/>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13</w:t>
            </w:r>
            <w:r>
              <w:rPr>
                <w:b/>
                <w:bCs/>
              </w:rPr>
              <w:fldChar w:fldCharType="end"/>
            </w:r>
            <w:bookmarkEnd w:id="95"/>
            <w:r>
              <w:rPr>
                <w:b/>
                <w:bCs/>
              </w:rPr>
              <w:t>. City of Sacramento’s flood assessment from the VCP</w:t>
            </w:r>
          </w:p>
        </w:tc>
      </w:tr>
      <w:tr w:rsidR="009A669C" w14:paraId="6DB3F1FE" w14:textId="77777777" w:rsidTr="009A669C">
        <w:trPr>
          <w:trHeight w:val="4670"/>
        </w:trPr>
        <w:tc>
          <w:tcPr>
            <w:tcW w:w="9350" w:type="dxa"/>
          </w:tcPr>
          <w:p w14:paraId="70FE7AA5" w14:textId="217910F3" w:rsidR="00F944E6" w:rsidRDefault="00F944E6" w:rsidP="00A96E70">
            <w:pPr>
              <w:spacing w:before="120" w:after="120"/>
              <w:jc w:val="center"/>
            </w:pPr>
            <w:r>
              <w:rPr>
                <w:noProof/>
              </w:rPr>
              <w:drawing>
                <wp:inline distT="0" distB="0" distL="0" distR="0" wp14:anchorId="3F86520D" wp14:editId="64680914">
                  <wp:extent cx="5188136" cy="4037990"/>
                  <wp:effectExtent l="0" t="0" r="0" b="635"/>
                  <wp:docPr id="1294325729" name="Picture 1" descr="Screenshot of VCP showing flood for the City of Sacr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25729" name="Picture 1" descr="Screenshot of VCP showing flood for the City of Sacramento"/>
                          <pic:cNvPicPr/>
                        </pic:nvPicPr>
                        <pic:blipFill>
                          <a:blip r:embed="rId157"/>
                          <a:stretch>
                            <a:fillRect/>
                          </a:stretch>
                        </pic:blipFill>
                        <pic:spPr>
                          <a:xfrm>
                            <a:off x="0" y="0"/>
                            <a:ext cx="5227591" cy="4068699"/>
                          </a:xfrm>
                          <a:prstGeom prst="rect">
                            <a:avLst/>
                          </a:prstGeom>
                        </pic:spPr>
                      </pic:pic>
                    </a:graphicData>
                  </a:graphic>
                </wp:inline>
              </w:drawing>
            </w:r>
          </w:p>
        </w:tc>
      </w:tr>
    </w:tbl>
    <w:p w14:paraId="2AFC4D46" w14:textId="0B911AD7" w:rsidR="005068D8" w:rsidRDefault="005068D8" w:rsidP="00A110EB">
      <w:pPr>
        <w:spacing w:before="160" w:line="240" w:lineRule="auto"/>
        <w:rPr>
          <w:b/>
          <w:bCs/>
          <w:szCs w:val="24"/>
        </w:rPr>
      </w:pPr>
      <w:r>
        <w:rPr>
          <w:b/>
          <w:bCs/>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A48A9" w:rsidRPr="00BA48A9" w14:paraId="456710EB" w14:textId="77777777" w:rsidTr="0000078B">
        <w:trPr>
          <w:trHeight w:val="576"/>
        </w:trPr>
        <w:tc>
          <w:tcPr>
            <w:tcW w:w="9360" w:type="dxa"/>
            <w:shd w:val="clear" w:color="auto" w:fill="14581C"/>
            <w:vAlign w:val="center"/>
          </w:tcPr>
          <w:p w14:paraId="6E76249A" w14:textId="1D9E33ED" w:rsidR="00465305" w:rsidRPr="00BA48A9" w:rsidRDefault="00551E53" w:rsidP="0000078B">
            <w:pPr>
              <w:rPr>
                <w:b/>
                <w:bCs/>
                <w:color w:val="FFFFFF" w:themeColor="background1"/>
              </w:rPr>
            </w:pPr>
            <w:r>
              <w:rPr>
                <w:b/>
                <w:color w:val="FFFFFF" w:themeColor="background1"/>
              </w:rPr>
              <w:t>Put It Into Practice</w:t>
            </w:r>
          </w:p>
        </w:tc>
      </w:tr>
      <w:tr w:rsidR="00465305" w14:paraId="258FC67A" w14:textId="77777777" w:rsidTr="006B11CC">
        <w:trPr>
          <w:trHeight w:val="7920"/>
        </w:trPr>
        <w:tc>
          <w:tcPr>
            <w:tcW w:w="9360" w:type="dxa"/>
            <w:shd w:val="clear" w:color="auto" w:fill="C2F1C8"/>
          </w:tcPr>
          <w:p w14:paraId="60242A24" w14:textId="3DA7A28A" w:rsidR="00517691" w:rsidRPr="00517691" w:rsidRDefault="00796372" w:rsidP="00517691">
            <w:pPr>
              <w:spacing w:before="120"/>
              <w:rPr>
                <w:b/>
                <w:bCs/>
              </w:rPr>
            </w:pPr>
            <w:r>
              <w:rPr>
                <w:color w:val="000000" w:themeColor="text1"/>
              </w:rPr>
              <w:t xml:space="preserve">See </w:t>
            </w:r>
            <w:r>
              <w:rPr>
                <w:b/>
                <w:bCs/>
                <w:color w:val="000000" w:themeColor="text1"/>
              </w:rPr>
              <w:t xml:space="preserve">Appendix C </w:t>
            </w:r>
            <w:r w:rsidR="00D34B8D">
              <w:rPr>
                <w:b/>
                <w:bCs/>
                <w:color w:val="000000" w:themeColor="text1"/>
              </w:rPr>
              <w:t>–</w:t>
            </w:r>
            <w:r>
              <w:rPr>
                <w:b/>
                <w:bCs/>
                <w:color w:val="000000" w:themeColor="text1"/>
              </w:rPr>
              <w:t xml:space="preserve"> </w:t>
            </w:r>
            <w:r>
              <w:rPr>
                <w:b/>
                <w:bCs/>
                <w:color w:val="000000" w:themeColor="text1"/>
              </w:rPr>
              <w:fldChar w:fldCharType="begin"/>
            </w:r>
            <w:r>
              <w:rPr>
                <w:b/>
                <w:bCs/>
                <w:color w:val="000000" w:themeColor="text1"/>
              </w:rPr>
              <w:instrText xml:space="preserve"> REF _Ref230248148 \h  \* MERGEFORMAT </w:instrText>
            </w:r>
            <w:r>
              <w:rPr>
                <w:b/>
                <w:bCs/>
                <w:color w:val="000000" w:themeColor="text1"/>
              </w:rPr>
            </w:r>
            <w:r>
              <w:rPr>
                <w:b/>
                <w:bCs/>
                <w:color w:val="000000" w:themeColor="text1"/>
              </w:rPr>
              <w:fldChar w:fldCharType="separate"/>
            </w:r>
            <w:r w:rsidR="00517691" w:rsidRPr="00517691">
              <w:rPr>
                <w:b/>
                <w:bCs/>
              </w:rPr>
              <w:br w:type="page"/>
            </w:r>
            <w:r w:rsidR="00D34B8D">
              <w:rPr>
                <w:b/>
                <w:bCs/>
              </w:rPr>
              <w:t>Identifying and Analyzing Primary Climate Hazards</w:t>
            </w:r>
          </w:p>
          <w:p w14:paraId="628849D7" w14:textId="23718FAE" w:rsidR="0066056C" w:rsidRPr="006B1E98" w:rsidRDefault="00796372" w:rsidP="00D34B8D">
            <w:pPr>
              <w:spacing w:before="120"/>
              <w:rPr>
                <w:color w:val="000000" w:themeColor="text1"/>
              </w:rPr>
            </w:pPr>
            <w:r>
              <w:rPr>
                <w:b/>
                <w:bCs/>
                <w:color w:val="000000" w:themeColor="text1"/>
              </w:rPr>
              <w:fldChar w:fldCharType="end"/>
            </w:r>
            <w:r w:rsidR="0066056C">
              <w:rPr>
                <w:color w:val="000000" w:themeColor="text1"/>
              </w:rPr>
              <w:t>Use the table below document and organize the initial hazard assessment from the VCP for the community. In Step 2.1C, fill out row A, B, and C.</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Assessment of climate hazards and vulnerabilities from the VCP"/>
              <w:tblDescription w:val="Fillable table with 4 questions per hazard to do an initial assessment of climate-related hazards"/>
            </w:tblPr>
            <w:tblGrid>
              <w:gridCol w:w="2058"/>
              <w:gridCol w:w="1615"/>
              <w:gridCol w:w="1500"/>
              <w:gridCol w:w="1258"/>
              <w:gridCol w:w="1443"/>
              <w:gridCol w:w="1254"/>
            </w:tblGrid>
            <w:tr w:rsidR="0066056C" w:rsidRPr="00BF6205" w14:paraId="0A8FB7A5" w14:textId="77777777" w:rsidTr="006B11CC">
              <w:trPr>
                <w:trHeight w:val="300"/>
              </w:trPr>
              <w:tc>
                <w:tcPr>
                  <w:tcW w:w="2058" w:type="dxa"/>
                  <w:vAlign w:val="center"/>
                  <w:hideMark/>
                </w:tcPr>
                <w:p w14:paraId="21859F90" w14:textId="630C1E72" w:rsidR="0066056C" w:rsidRPr="00BF6205" w:rsidRDefault="00723AA6" w:rsidP="00BB5ACB">
                  <w:pPr>
                    <w:spacing w:after="0" w:line="240" w:lineRule="auto"/>
                  </w:pPr>
                  <w:r>
                    <w:t xml:space="preserve"> </w:t>
                  </w:r>
                </w:p>
              </w:tc>
              <w:tc>
                <w:tcPr>
                  <w:tcW w:w="1615" w:type="dxa"/>
                  <w:vAlign w:val="center"/>
                  <w:hideMark/>
                </w:tcPr>
                <w:p w14:paraId="1E4724B7" w14:textId="7F958AB8" w:rsidR="0066056C" w:rsidRPr="00BF6205" w:rsidRDefault="0066056C" w:rsidP="00BB5ACB">
                  <w:pPr>
                    <w:spacing w:after="0" w:line="240" w:lineRule="auto"/>
                    <w:jc w:val="center"/>
                  </w:pPr>
                  <w:r>
                    <w:rPr>
                      <w:b/>
                      <w:bCs/>
                    </w:rPr>
                    <w:t>Extreme Heat</w:t>
                  </w:r>
                </w:p>
              </w:tc>
              <w:tc>
                <w:tcPr>
                  <w:tcW w:w="1500" w:type="dxa"/>
                  <w:vAlign w:val="center"/>
                  <w:hideMark/>
                </w:tcPr>
                <w:p w14:paraId="2A584C4F" w14:textId="2CD69335" w:rsidR="0066056C" w:rsidRPr="00BF6205" w:rsidRDefault="0066056C" w:rsidP="00BB5ACB">
                  <w:pPr>
                    <w:spacing w:after="0" w:line="240" w:lineRule="auto"/>
                    <w:jc w:val="center"/>
                  </w:pPr>
                  <w:r>
                    <w:rPr>
                      <w:b/>
                      <w:bCs/>
                    </w:rPr>
                    <w:t>Flood</w:t>
                  </w:r>
                </w:p>
              </w:tc>
              <w:tc>
                <w:tcPr>
                  <w:tcW w:w="1258" w:type="dxa"/>
                  <w:hideMark/>
                </w:tcPr>
                <w:p w14:paraId="187445A6" w14:textId="3EDA13AC" w:rsidR="0066056C" w:rsidRPr="00BF6205" w:rsidRDefault="0066056C" w:rsidP="00BB5ACB">
                  <w:pPr>
                    <w:spacing w:after="0" w:line="240" w:lineRule="auto"/>
                    <w:jc w:val="center"/>
                  </w:pPr>
                  <w:r>
                    <w:rPr>
                      <w:b/>
                      <w:bCs/>
                    </w:rPr>
                    <w:t>SLR</w:t>
                  </w:r>
                </w:p>
              </w:tc>
              <w:tc>
                <w:tcPr>
                  <w:tcW w:w="1443" w:type="dxa"/>
                  <w:hideMark/>
                </w:tcPr>
                <w:p w14:paraId="3FA0A7B4" w14:textId="4F3188E5" w:rsidR="0066056C" w:rsidRPr="00BF6205" w:rsidRDefault="0066056C" w:rsidP="00BB5ACB">
                  <w:pPr>
                    <w:spacing w:after="0" w:line="240" w:lineRule="auto"/>
                    <w:jc w:val="center"/>
                  </w:pPr>
                  <w:r>
                    <w:rPr>
                      <w:b/>
                      <w:bCs/>
                    </w:rPr>
                    <w:t>Drought</w:t>
                  </w:r>
                </w:p>
              </w:tc>
              <w:tc>
                <w:tcPr>
                  <w:tcW w:w="1254" w:type="dxa"/>
                  <w:hideMark/>
                </w:tcPr>
                <w:p w14:paraId="114E794A" w14:textId="3A5DAA1C" w:rsidR="0066056C" w:rsidRPr="00BF6205" w:rsidRDefault="0066056C" w:rsidP="00BB5ACB">
                  <w:pPr>
                    <w:spacing w:after="0" w:line="240" w:lineRule="auto"/>
                    <w:jc w:val="center"/>
                  </w:pPr>
                  <w:r>
                    <w:rPr>
                      <w:b/>
                      <w:bCs/>
                    </w:rPr>
                    <w:t>Wildfire</w:t>
                  </w:r>
                </w:p>
              </w:tc>
            </w:tr>
            <w:tr w:rsidR="0066056C" w:rsidRPr="00BF6205" w14:paraId="4DC60114" w14:textId="77777777" w:rsidTr="006B11CC">
              <w:trPr>
                <w:trHeight w:val="300"/>
              </w:trPr>
              <w:tc>
                <w:tcPr>
                  <w:tcW w:w="2058" w:type="dxa"/>
                  <w:hideMark/>
                </w:tcPr>
                <w:p w14:paraId="4684EB6A" w14:textId="04EC9F7E" w:rsidR="0066056C" w:rsidRPr="00BF6205" w:rsidRDefault="0066056C" w:rsidP="00BB5ACB">
                  <w:pPr>
                    <w:spacing w:after="0" w:line="240" w:lineRule="auto"/>
                    <w:ind w:left="57" w:right="14"/>
                  </w:pPr>
                  <w:r>
                    <w:rPr>
                      <w:b/>
                      <w:bCs/>
                    </w:rPr>
                    <w:t>A</w:t>
                  </w:r>
                  <w:r>
                    <w:t>. Is this climate hazard present in the area of interest (Yes/No) now or in 2050?</w:t>
                  </w:r>
                </w:p>
              </w:tc>
              <w:tc>
                <w:tcPr>
                  <w:tcW w:w="1615" w:type="dxa"/>
                  <w:hideMark/>
                </w:tcPr>
                <w:p w14:paraId="74481D5E" w14:textId="7C86BBED" w:rsidR="0066056C" w:rsidRPr="00BF6205" w:rsidRDefault="00723AA6" w:rsidP="00BB5ACB">
                  <w:pPr>
                    <w:spacing w:after="0" w:line="240" w:lineRule="auto"/>
                  </w:pPr>
                  <w:r>
                    <w:t xml:space="preserve"> </w:t>
                  </w:r>
                </w:p>
              </w:tc>
              <w:tc>
                <w:tcPr>
                  <w:tcW w:w="1500" w:type="dxa"/>
                  <w:hideMark/>
                </w:tcPr>
                <w:p w14:paraId="0D9B9384" w14:textId="70A1344E" w:rsidR="0066056C" w:rsidRPr="00BF6205" w:rsidRDefault="00723AA6" w:rsidP="00BB5ACB">
                  <w:pPr>
                    <w:spacing w:after="0" w:line="240" w:lineRule="auto"/>
                  </w:pPr>
                  <w:r>
                    <w:t xml:space="preserve"> </w:t>
                  </w:r>
                </w:p>
              </w:tc>
              <w:tc>
                <w:tcPr>
                  <w:tcW w:w="1258" w:type="dxa"/>
                  <w:hideMark/>
                </w:tcPr>
                <w:p w14:paraId="2476E5E1" w14:textId="59EA7291" w:rsidR="0066056C" w:rsidRPr="00BF6205" w:rsidRDefault="00723AA6" w:rsidP="00BB5ACB">
                  <w:pPr>
                    <w:spacing w:after="0" w:line="240" w:lineRule="auto"/>
                  </w:pPr>
                  <w:r>
                    <w:t xml:space="preserve"> </w:t>
                  </w:r>
                </w:p>
              </w:tc>
              <w:tc>
                <w:tcPr>
                  <w:tcW w:w="1443" w:type="dxa"/>
                  <w:hideMark/>
                </w:tcPr>
                <w:p w14:paraId="005DA1B0" w14:textId="58BA3F09" w:rsidR="0066056C" w:rsidRPr="00BF6205" w:rsidRDefault="00723AA6" w:rsidP="00BB5ACB">
                  <w:pPr>
                    <w:spacing w:after="0" w:line="240" w:lineRule="auto"/>
                  </w:pPr>
                  <w:r>
                    <w:t xml:space="preserve"> </w:t>
                  </w:r>
                </w:p>
              </w:tc>
              <w:tc>
                <w:tcPr>
                  <w:tcW w:w="1254" w:type="dxa"/>
                  <w:hideMark/>
                </w:tcPr>
                <w:p w14:paraId="23109237" w14:textId="36114747" w:rsidR="0066056C" w:rsidRPr="00BF6205" w:rsidRDefault="00723AA6" w:rsidP="00BB5ACB">
                  <w:pPr>
                    <w:spacing w:after="0" w:line="240" w:lineRule="auto"/>
                  </w:pPr>
                  <w:r>
                    <w:t xml:space="preserve"> </w:t>
                  </w:r>
                </w:p>
              </w:tc>
            </w:tr>
            <w:tr w:rsidR="0066056C" w:rsidRPr="00BF6205" w14:paraId="74FB83AC" w14:textId="77777777" w:rsidTr="006B11CC">
              <w:trPr>
                <w:trHeight w:val="300"/>
              </w:trPr>
              <w:tc>
                <w:tcPr>
                  <w:tcW w:w="2058" w:type="dxa"/>
                  <w:hideMark/>
                </w:tcPr>
                <w:p w14:paraId="40242DDD" w14:textId="0121488E" w:rsidR="0066056C" w:rsidRPr="00BF6205" w:rsidRDefault="0066056C" w:rsidP="00BB5ACB">
                  <w:pPr>
                    <w:spacing w:after="0" w:line="240" w:lineRule="auto"/>
                    <w:ind w:left="57" w:right="14"/>
                  </w:pPr>
                  <w:r>
                    <w:rPr>
                      <w:b/>
                      <w:bCs/>
                    </w:rPr>
                    <w:t>B</w:t>
                  </w:r>
                  <w:r>
                    <w:t>. What specific neighborhoods are affected in the current timeframe?</w:t>
                  </w:r>
                </w:p>
              </w:tc>
              <w:tc>
                <w:tcPr>
                  <w:tcW w:w="1615" w:type="dxa"/>
                  <w:hideMark/>
                </w:tcPr>
                <w:p w14:paraId="470049B5" w14:textId="2BCE12B3" w:rsidR="0066056C" w:rsidRPr="00BF6205" w:rsidRDefault="00723AA6" w:rsidP="00BB5ACB">
                  <w:pPr>
                    <w:spacing w:after="0" w:line="240" w:lineRule="auto"/>
                  </w:pPr>
                  <w:r>
                    <w:t xml:space="preserve"> </w:t>
                  </w:r>
                </w:p>
              </w:tc>
              <w:tc>
                <w:tcPr>
                  <w:tcW w:w="1500" w:type="dxa"/>
                  <w:hideMark/>
                </w:tcPr>
                <w:p w14:paraId="71187719" w14:textId="4E925E39" w:rsidR="0066056C" w:rsidRPr="00BF6205" w:rsidRDefault="00723AA6" w:rsidP="00BB5ACB">
                  <w:pPr>
                    <w:spacing w:after="0" w:line="240" w:lineRule="auto"/>
                  </w:pPr>
                  <w:r>
                    <w:t xml:space="preserve"> </w:t>
                  </w:r>
                </w:p>
              </w:tc>
              <w:tc>
                <w:tcPr>
                  <w:tcW w:w="1258" w:type="dxa"/>
                  <w:hideMark/>
                </w:tcPr>
                <w:p w14:paraId="529DEBD3" w14:textId="7FE03C3C" w:rsidR="0066056C" w:rsidRPr="00BF6205" w:rsidRDefault="00723AA6" w:rsidP="00BB5ACB">
                  <w:pPr>
                    <w:spacing w:after="0" w:line="240" w:lineRule="auto"/>
                  </w:pPr>
                  <w:r>
                    <w:t xml:space="preserve"> </w:t>
                  </w:r>
                </w:p>
              </w:tc>
              <w:tc>
                <w:tcPr>
                  <w:tcW w:w="1443" w:type="dxa"/>
                  <w:hideMark/>
                </w:tcPr>
                <w:p w14:paraId="0F6CCD4E" w14:textId="6F411AEA" w:rsidR="0066056C" w:rsidRPr="00BF6205" w:rsidRDefault="00723AA6" w:rsidP="00BB5ACB">
                  <w:pPr>
                    <w:spacing w:after="0" w:line="240" w:lineRule="auto"/>
                  </w:pPr>
                  <w:r>
                    <w:t xml:space="preserve"> </w:t>
                  </w:r>
                </w:p>
              </w:tc>
              <w:tc>
                <w:tcPr>
                  <w:tcW w:w="1254" w:type="dxa"/>
                  <w:hideMark/>
                </w:tcPr>
                <w:p w14:paraId="5C0CE008" w14:textId="6BC2BE92" w:rsidR="0066056C" w:rsidRPr="00BF6205" w:rsidRDefault="00723AA6" w:rsidP="00BB5ACB">
                  <w:pPr>
                    <w:spacing w:after="0" w:line="240" w:lineRule="auto"/>
                  </w:pPr>
                  <w:r>
                    <w:t xml:space="preserve"> </w:t>
                  </w:r>
                </w:p>
              </w:tc>
            </w:tr>
            <w:tr w:rsidR="0066056C" w:rsidRPr="00BF6205" w14:paraId="4248E41E" w14:textId="77777777" w:rsidTr="006B11CC">
              <w:trPr>
                <w:trHeight w:val="300"/>
              </w:trPr>
              <w:tc>
                <w:tcPr>
                  <w:tcW w:w="2058" w:type="dxa"/>
                  <w:hideMark/>
                </w:tcPr>
                <w:p w14:paraId="6FF7457B" w14:textId="42185142" w:rsidR="0066056C" w:rsidRPr="00BF6205" w:rsidRDefault="0066056C" w:rsidP="00BB5ACB">
                  <w:pPr>
                    <w:spacing w:after="0" w:line="240" w:lineRule="auto"/>
                    <w:ind w:left="57" w:right="14"/>
                  </w:pPr>
                  <w:r>
                    <w:rPr>
                      <w:b/>
                      <w:bCs/>
                    </w:rPr>
                    <w:t>C.</w:t>
                  </w:r>
                  <w:r>
                    <w:t xml:space="preserve"> How are they affected? (HIGH Climate &amp; HIGH Social, MED Climate &amp; HIGH Social, etc.)</w:t>
                  </w:r>
                </w:p>
              </w:tc>
              <w:tc>
                <w:tcPr>
                  <w:tcW w:w="1615" w:type="dxa"/>
                  <w:hideMark/>
                </w:tcPr>
                <w:p w14:paraId="7C318461" w14:textId="1ADD000A" w:rsidR="0066056C" w:rsidRPr="00BF6205" w:rsidRDefault="00723AA6" w:rsidP="00BB5ACB">
                  <w:pPr>
                    <w:spacing w:after="0" w:line="240" w:lineRule="auto"/>
                  </w:pPr>
                  <w:r>
                    <w:t xml:space="preserve"> </w:t>
                  </w:r>
                </w:p>
              </w:tc>
              <w:tc>
                <w:tcPr>
                  <w:tcW w:w="1500" w:type="dxa"/>
                  <w:hideMark/>
                </w:tcPr>
                <w:p w14:paraId="12B07175" w14:textId="4D6FD267" w:rsidR="0066056C" w:rsidRPr="00BF6205" w:rsidRDefault="00723AA6" w:rsidP="00BB5ACB">
                  <w:pPr>
                    <w:spacing w:after="0" w:line="240" w:lineRule="auto"/>
                  </w:pPr>
                  <w:r>
                    <w:t xml:space="preserve"> </w:t>
                  </w:r>
                </w:p>
              </w:tc>
              <w:tc>
                <w:tcPr>
                  <w:tcW w:w="1258" w:type="dxa"/>
                  <w:hideMark/>
                </w:tcPr>
                <w:p w14:paraId="15FD3E7E" w14:textId="2E3A5179" w:rsidR="0066056C" w:rsidRPr="00BF6205" w:rsidRDefault="00723AA6" w:rsidP="00BB5ACB">
                  <w:pPr>
                    <w:spacing w:after="0" w:line="240" w:lineRule="auto"/>
                  </w:pPr>
                  <w:r>
                    <w:t xml:space="preserve"> </w:t>
                  </w:r>
                </w:p>
              </w:tc>
              <w:tc>
                <w:tcPr>
                  <w:tcW w:w="1443" w:type="dxa"/>
                  <w:hideMark/>
                </w:tcPr>
                <w:p w14:paraId="2F5328F6" w14:textId="53263B3E" w:rsidR="0066056C" w:rsidRPr="00BF6205" w:rsidRDefault="00723AA6" w:rsidP="00BB5ACB">
                  <w:pPr>
                    <w:spacing w:after="0" w:line="240" w:lineRule="auto"/>
                  </w:pPr>
                  <w:r>
                    <w:t xml:space="preserve"> </w:t>
                  </w:r>
                </w:p>
              </w:tc>
              <w:tc>
                <w:tcPr>
                  <w:tcW w:w="1254" w:type="dxa"/>
                  <w:hideMark/>
                </w:tcPr>
                <w:p w14:paraId="24574042" w14:textId="456FAD2B" w:rsidR="0066056C" w:rsidRPr="00BF6205" w:rsidRDefault="00723AA6" w:rsidP="00BB5ACB">
                  <w:pPr>
                    <w:spacing w:after="0" w:line="240" w:lineRule="auto"/>
                  </w:pPr>
                  <w:r>
                    <w:t xml:space="preserve"> </w:t>
                  </w:r>
                </w:p>
              </w:tc>
            </w:tr>
            <w:tr w:rsidR="0066056C" w:rsidRPr="00BF6205" w14:paraId="1EFA1D2C" w14:textId="77777777" w:rsidTr="006B11CC">
              <w:trPr>
                <w:trHeight w:val="300"/>
              </w:trPr>
              <w:tc>
                <w:tcPr>
                  <w:tcW w:w="2058" w:type="dxa"/>
                  <w:hideMark/>
                </w:tcPr>
                <w:p w14:paraId="016418F6" w14:textId="2EEB78A6" w:rsidR="0066056C" w:rsidRPr="00BF6205" w:rsidRDefault="0066056C" w:rsidP="00BB5ACB">
                  <w:pPr>
                    <w:spacing w:after="0" w:line="240" w:lineRule="auto"/>
                    <w:ind w:left="57" w:right="14"/>
                  </w:pPr>
                  <w:r>
                    <w:rPr>
                      <w:b/>
                      <w:bCs/>
                    </w:rPr>
                    <w:t>D</w:t>
                  </w:r>
                  <w:r>
                    <w:t>. How does vulnerability change between now and 2050?</w:t>
                  </w:r>
                </w:p>
              </w:tc>
              <w:tc>
                <w:tcPr>
                  <w:tcW w:w="1615" w:type="dxa"/>
                  <w:hideMark/>
                </w:tcPr>
                <w:p w14:paraId="781E4279" w14:textId="4649B938" w:rsidR="0066056C" w:rsidRPr="00BF6205" w:rsidRDefault="00723AA6" w:rsidP="00BB5ACB">
                  <w:pPr>
                    <w:spacing w:after="0" w:line="240" w:lineRule="auto"/>
                  </w:pPr>
                  <w:r>
                    <w:t xml:space="preserve"> </w:t>
                  </w:r>
                </w:p>
              </w:tc>
              <w:tc>
                <w:tcPr>
                  <w:tcW w:w="1500" w:type="dxa"/>
                  <w:hideMark/>
                </w:tcPr>
                <w:p w14:paraId="3BE90323" w14:textId="3D9EE1F0" w:rsidR="0066056C" w:rsidRPr="00BF6205" w:rsidRDefault="00723AA6" w:rsidP="00BB5ACB">
                  <w:pPr>
                    <w:spacing w:after="0" w:line="240" w:lineRule="auto"/>
                  </w:pPr>
                  <w:r>
                    <w:t xml:space="preserve"> </w:t>
                  </w:r>
                </w:p>
              </w:tc>
              <w:tc>
                <w:tcPr>
                  <w:tcW w:w="1258" w:type="dxa"/>
                  <w:hideMark/>
                </w:tcPr>
                <w:p w14:paraId="752A195F" w14:textId="44B4965B" w:rsidR="0066056C" w:rsidRPr="00BF6205" w:rsidRDefault="00723AA6" w:rsidP="00BB5ACB">
                  <w:pPr>
                    <w:spacing w:after="0" w:line="240" w:lineRule="auto"/>
                  </w:pPr>
                  <w:r>
                    <w:t xml:space="preserve"> </w:t>
                  </w:r>
                </w:p>
              </w:tc>
              <w:tc>
                <w:tcPr>
                  <w:tcW w:w="1443" w:type="dxa"/>
                  <w:hideMark/>
                </w:tcPr>
                <w:p w14:paraId="6B1C5289" w14:textId="12BDC436" w:rsidR="0066056C" w:rsidRPr="00BF6205" w:rsidRDefault="00723AA6" w:rsidP="00BB5ACB">
                  <w:pPr>
                    <w:spacing w:after="0" w:line="240" w:lineRule="auto"/>
                  </w:pPr>
                  <w:r>
                    <w:t xml:space="preserve"> </w:t>
                  </w:r>
                </w:p>
              </w:tc>
              <w:tc>
                <w:tcPr>
                  <w:tcW w:w="1254" w:type="dxa"/>
                  <w:hideMark/>
                </w:tcPr>
                <w:p w14:paraId="389749E1" w14:textId="13AF9630" w:rsidR="0066056C" w:rsidRPr="00BF6205" w:rsidRDefault="00723AA6" w:rsidP="00BB5ACB">
                  <w:pPr>
                    <w:spacing w:after="0" w:line="240" w:lineRule="auto"/>
                  </w:pPr>
                  <w:r>
                    <w:t xml:space="preserve"> </w:t>
                  </w:r>
                </w:p>
              </w:tc>
            </w:tr>
          </w:tbl>
          <w:p w14:paraId="1E00F3A5" w14:textId="6126D51C" w:rsidR="00465305" w:rsidRPr="00A96E70" w:rsidRDefault="001076CC" w:rsidP="00BB5ACB">
            <w:pPr>
              <w:rPr>
                <w:sz w:val="12"/>
                <w:szCs w:val="12"/>
              </w:rPr>
            </w:pPr>
            <w:r>
              <w:rPr>
                <w:sz w:val="12"/>
                <w:szCs w:val="12"/>
              </w:rPr>
              <w:t xml:space="preserve">  </w:t>
            </w:r>
          </w:p>
        </w:tc>
      </w:tr>
    </w:tbl>
    <w:p w14:paraId="7F2AC32F" w14:textId="77777777" w:rsidR="00B725D4" w:rsidRDefault="00B725D4" w:rsidP="00B725D4">
      <w:pPr>
        <w:spacing w:before="160" w:line="240" w:lineRule="auto"/>
      </w:pPr>
      <w:bookmarkStart w:id="96" w:name="_Toc224722677"/>
    </w:p>
    <w:p w14:paraId="2C2BAA61" w14:textId="258FE548" w:rsidR="00CF71BD" w:rsidRPr="00EE7165" w:rsidRDefault="00CA2562" w:rsidP="00A110EB">
      <w:pPr>
        <w:pStyle w:val="Heading3"/>
        <w:spacing w:after="160" w:line="240" w:lineRule="auto"/>
      </w:pPr>
      <w:bookmarkStart w:id="97" w:name="_Toc235802689"/>
      <w:r>
        <w:t xml:space="preserve">Step 2.1D: </w:t>
      </w:r>
      <w:bookmarkEnd w:id="96"/>
      <w:r>
        <w:t>Describe How Climate Hazards Are Expected to Change</w:t>
      </w:r>
      <w:bookmarkEnd w:id="97"/>
    </w:p>
    <w:p w14:paraId="309F8CD8" w14:textId="6ECB4351" w:rsidR="00CF71BD" w:rsidRPr="000F62D9" w:rsidRDefault="00FF635B" w:rsidP="00A110EB">
      <w:pPr>
        <w:spacing w:before="160" w:line="240" w:lineRule="auto"/>
      </w:pPr>
      <w:r>
        <w:t>After identifying which climate hazards are currently a concern, communities should also consider how climate change will affect their severity, likelihood, timing, and location. Planning efforts such as Local/Tribal Hazard Mitigation Plans (LHMPs/THMPs), General Plan Safety Elements, Climate Adaptation Plans (CAPs) all rely on comprehensive assessments of both current and future risks.</w:t>
      </w:r>
    </w:p>
    <w:p w14:paraId="73EB0D1D" w14:textId="63439186" w:rsidR="00CF71BD" w:rsidRPr="000F62D9" w:rsidRDefault="00CF71BD" w:rsidP="00A110EB">
      <w:pPr>
        <w:spacing w:before="160" w:line="240" w:lineRule="auto"/>
      </w:pPr>
      <w:r>
        <w:t>Incorporating climate projections helps communities evaluate whether existing approaches will remain effective under future conditions and a changing climate. Projections help ask and answer questions like:</w:t>
      </w:r>
    </w:p>
    <w:p w14:paraId="1B62F8CA" w14:textId="0B024EFA" w:rsidR="00CF71BD" w:rsidRPr="000F62D9" w:rsidRDefault="00CF71BD">
      <w:pPr>
        <w:pStyle w:val="ListParagraph"/>
        <w:widowControl w:val="0"/>
        <w:numPr>
          <w:ilvl w:val="0"/>
          <w:numId w:val="33"/>
        </w:numPr>
        <w:tabs>
          <w:tab w:val="left" w:pos="1620"/>
        </w:tabs>
        <w:autoSpaceDE w:val="0"/>
        <w:autoSpaceDN w:val="0"/>
        <w:spacing w:before="160" w:line="240" w:lineRule="auto"/>
        <w:ind w:left="720"/>
      </w:pPr>
      <w:r>
        <w:t>Will infrastructure that was originally designed for past flood levels remain adequate as precipitation patterns change?</w:t>
      </w:r>
    </w:p>
    <w:p w14:paraId="3EEF1C8C" w14:textId="7409C187" w:rsidR="00CF71BD" w:rsidRPr="000F62D9" w:rsidRDefault="00CF71BD">
      <w:pPr>
        <w:pStyle w:val="ListParagraph"/>
        <w:widowControl w:val="0"/>
        <w:numPr>
          <w:ilvl w:val="0"/>
          <w:numId w:val="33"/>
        </w:numPr>
        <w:tabs>
          <w:tab w:val="left" w:pos="1620"/>
        </w:tabs>
        <w:autoSpaceDE w:val="0"/>
        <w:autoSpaceDN w:val="0"/>
        <w:spacing w:before="160" w:line="240" w:lineRule="auto"/>
        <w:ind w:left="720"/>
      </w:pPr>
      <w:r>
        <w:t>Could future development be exposed to increased wildfire or extreme heat risk?</w:t>
      </w:r>
    </w:p>
    <w:p w14:paraId="7627056A" w14:textId="46126693" w:rsidR="00CF71BD" w:rsidRPr="000F62D9" w:rsidRDefault="00CF71BD">
      <w:pPr>
        <w:pStyle w:val="ListParagraph"/>
        <w:widowControl w:val="0"/>
        <w:numPr>
          <w:ilvl w:val="0"/>
          <w:numId w:val="33"/>
        </w:numPr>
        <w:tabs>
          <w:tab w:val="left" w:pos="1620"/>
        </w:tabs>
        <w:autoSpaceDE w:val="0"/>
        <w:autoSpaceDN w:val="0"/>
        <w:spacing w:before="160" w:line="240" w:lineRule="auto"/>
        <w:ind w:left="720"/>
      </w:pPr>
      <w:r>
        <w:t>Will evacuation routes, shelters, and emergency response systems remain viable during more severe events?</w:t>
      </w:r>
    </w:p>
    <w:p w14:paraId="379ABBC5" w14:textId="5400355A" w:rsidR="0024398C" w:rsidRDefault="005B4A12" w:rsidP="00386148">
      <w:pPr>
        <w:spacing w:before="160" w:line="240" w:lineRule="auto"/>
      </w:pPr>
      <w:r>
        <w:t xml:space="preserve">California has strong resources for this. Start with the VCP, which aggregates local climate data and shows projected hazard severity into 2050. As an example, see </w:t>
      </w:r>
      <w:r>
        <w:rPr>
          <w:u w:val="single"/>
        </w:rPr>
        <w:fldChar w:fldCharType="begin"/>
      </w:r>
      <w:r>
        <w:rPr>
          <w:u w:val="single"/>
        </w:rPr>
        <w:instrText xml:space="preserve"> REF _Ref229409901 \h  \* MERGEFORMAT </w:instrText>
      </w:r>
      <w:r>
        <w:rPr>
          <w:u w:val="single"/>
        </w:rPr>
      </w:r>
      <w:r>
        <w:rPr>
          <w:u w:val="single"/>
        </w:rPr>
        <w:fldChar w:fldCharType="separate"/>
      </w:r>
      <w:r w:rsidR="00517691" w:rsidRPr="00517691">
        <w:rPr>
          <w:szCs w:val="24"/>
          <w:u w:val="single"/>
        </w:rPr>
        <w:t>Figure 14</w:t>
      </w:r>
      <w:r>
        <w:rPr>
          <w:u w:val="single"/>
        </w:rPr>
        <w:fldChar w:fldCharType="end"/>
      </w:r>
      <w:r>
        <w:t xml:space="preserve"> depicting the City of San Fernando: by 2050, the east side of the city becomes more vulnerable to extreme heat (darkest maroon).</w:t>
      </w:r>
    </w:p>
    <w:tbl>
      <w:tblPr>
        <w:tblStyle w:val="TableGrid"/>
        <w:tblW w:w="0" w:type="auto"/>
        <w:tblLook w:val="04A0" w:firstRow="1" w:lastRow="0" w:firstColumn="1" w:lastColumn="0" w:noHBand="0" w:noVBand="1"/>
      </w:tblPr>
      <w:tblGrid>
        <w:gridCol w:w="9350"/>
      </w:tblGrid>
      <w:tr w:rsidR="00C45B70" w:rsidRPr="00C45B70" w14:paraId="78E4B7D7" w14:textId="77777777" w:rsidTr="00586069">
        <w:trPr>
          <w:trHeight w:val="720"/>
        </w:trPr>
        <w:tc>
          <w:tcPr>
            <w:tcW w:w="9350" w:type="dxa"/>
            <w:shd w:val="clear" w:color="auto" w:fill="000000" w:themeFill="text1"/>
            <w:vAlign w:val="center"/>
          </w:tcPr>
          <w:p w14:paraId="6DA89EE5" w14:textId="6356F959" w:rsidR="00325069" w:rsidRPr="00C45B70" w:rsidRDefault="00C45B70" w:rsidP="0000078B">
            <w:pPr>
              <w:rPr>
                <w:b/>
                <w:bCs/>
                <w:color w:val="FFFFFF" w:themeColor="background1"/>
              </w:rPr>
            </w:pPr>
            <w:bookmarkStart w:id="98" w:name="_Ref229409901"/>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14</w:t>
            </w:r>
            <w:r>
              <w:rPr>
                <w:b/>
                <w:bCs/>
              </w:rPr>
              <w:fldChar w:fldCharType="end"/>
            </w:r>
            <w:bookmarkEnd w:id="98"/>
            <w:r>
              <w:rPr>
                <w:b/>
                <w:bCs/>
              </w:rPr>
              <w:t>. City of San Fernando (left panel: extreme heat in current timeframe, right panel: extreme heat in 2050 timeframe)</w:t>
            </w:r>
          </w:p>
        </w:tc>
      </w:tr>
      <w:tr w:rsidR="00325069" w14:paraId="7FD27776" w14:textId="77777777" w:rsidTr="00325069">
        <w:tc>
          <w:tcPr>
            <w:tcW w:w="9350" w:type="dxa"/>
          </w:tcPr>
          <w:p w14:paraId="796DAEA9" w14:textId="4D11FBD2" w:rsidR="00325069" w:rsidRDefault="002639D1" w:rsidP="002639D1">
            <w:pPr>
              <w:spacing w:before="120" w:after="120"/>
              <w:ind w:left="-14"/>
              <w:jc w:val="center"/>
            </w:pPr>
            <w:r>
              <w:rPr>
                <w:noProof/>
              </w:rPr>
              <mc:AlternateContent>
                <mc:Choice Requires="wps">
                  <w:drawing>
                    <wp:anchor distT="0" distB="0" distL="114300" distR="114300" simplePos="0" relativeHeight="251658259" behindDoc="0" locked="0" layoutInCell="1" allowOverlap="1" wp14:anchorId="5601F2BE" wp14:editId="21224EB1">
                      <wp:simplePos x="0" y="0"/>
                      <wp:positionH relativeFrom="column">
                        <wp:posOffset>916110</wp:posOffset>
                      </wp:positionH>
                      <wp:positionV relativeFrom="paragraph">
                        <wp:posOffset>191770</wp:posOffset>
                      </wp:positionV>
                      <wp:extent cx="796925" cy="263525"/>
                      <wp:effectExtent l="0" t="0" r="22225" b="22225"/>
                      <wp:wrapNone/>
                      <wp:docPr id="348584965" name="Text Box 3"/>
                      <wp:cNvGraphicFramePr/>
                      <a:graphic xmlns:a="http://schemas.openxmlformats.org/drawingml/2006/main">
                        <a:graphicData uri="http://schemas.microsoft.com/office/word/2010/wordprocessingShape">
                          <wps:wsp>
                            <wps:cNvSpPr txBox="1"/>
                            <wps:spPr>
                              <a:xfrm>
                                <a:off x="0" y="0"/>
                                <a:ext cx="796925" cy="263525"/>
                              </a:xfrm>
                              <a:prstGeom prst="rect">
                                <a:avLst/>
                              </a:prstGeom>
                              <a:solidFill>
                                <a:schemeClr val="lt1"/>
                              </a:solidFill>
                              <a:ln w="6350">
                                <a:solidFill>
                                  <a:prstClr val="black"/>
                                </a:solidFill>
                              </a:ln>
                            </wps:spPr>
                            <wps:txbx>
                              <w:txbxContent>
                                <w:p w14:paraId="0E3E5AE6" w14:textId="77777777" w:rsidR="00C45B70" w:rsidRDefault="00C45B70" w:rsidP="00740E06">
                                  <w:pPr>
                                    <w:spacing w:after="0"/>
                                    <w:jc w:val="center"/>
                                  </w:pPr>
                                  <w:r>
                                    <w:t>Current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01F2BE" id="Text Box 3" o:spid="_x0000_s1031" type="#_x0000_t202" style="position:absolute;left:0;text-align:left;margin-left:72.15pt;margin-top:15.1pt;width:62.75pt;height:20.7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" fillcolor="white [3201]" strokeweight=".5pt">
                      <v:textbox>
                        <w:txbxContent>
                          <w:p w14:paraId="0E3E5AE6" w14:textId="77777777" w:rsidR="00C45B70" w:rsidRDefault="00C45B70" w:rsidP="00740E06">
                            <w:pPr>
                              <w:spacing w:after="0"/>
                              <w:jc w:val="center"/>
                            </w:pPr>
                            <w:r>
                              <w:t>Current</w:t>
                            </w:r>
                          </w:p>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143DD63A" wp14:editId="2E3363FE">
                      <wp:simplePos x="0" y="0"/>
                      <wp:positionH relativeFrom="column">
                        <wp:posOffset>3212465</wp:posOffset>
                      </wp:positionH>
                      <wp:positionV relativeFrom="paragraph">
                        <wp:posOffset>189966</wp:posOffset>
                      </wp:positionV>
                      <wp:extent cx="574040" cy="263424"/>
                      <wp:effectExtent l="0" t="0" r="16510" b="22860"/>
                      <wp:wrapNone/>
                      <wp:docPr id="1485931475" name="Text Box 3"/>
                      <wp:cNvGraphicFramePr/>
                      <a:graphic xmlns:a="http://schemas.openxmlformats.org/drawingml/2006/main">
                        <a:graphicData uri="http://schemas.microsoft.com/office/word/2010/wordprocessingShape">
                          <wps:wsp>
                            <wps:cNvSpPr txBox="1"/>
                            <wps:spPr>
                              <a:xfrm>
                                <a:off x="0" y="0"/>
                                <a:ext cx="574040" cy="263424"/>
                              </a:xfrm>
                              <a:prstGeom prst="rect">
                                <a:avLst/>
                              </a:prstGeom>
                              <a:solidFill>
                                <a:schemeClr val="lt1"/>
                              </a:solidFill>
                              <a:ln w="6350">
                                <a:solidFill>
                                  <a:prstClr val="black"/>
                                </a:solidFill>
                              </a:ln>
                            </wps:spPr>
                            <wps:txbx>
                              <w:txbxContent>
                                <w:p w14:paraId="7CA67C5C" w14:textId="77777777" w:rsidR="00C45B70" w:rsidRDefault="00C45B70" w:rsidP="00740E06">
                                  <w:pPr>
                                    <w:spacing w:after="0"/>
                                    <w:jc w:val="center"/>
                                  </w:pPr>
                                  <w:r>
                                    <w:t>2050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D63A" id="_x0000_s1032" type="#_x0000_t202" style="position:absolute;left:0;text-align:left;margin-left:252.95pt;margin-top:14.95pt;width:45.2pt;height:2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" fillcolor="white [3201]" strokeweight=".5pt">
                      <v:textbox>
                        <w:txbxContent>
                          <w:p w14:paraId="7CA67C5C" w14:textId="77777777" w:rsidR="00C45B70" w:rsidRDefault="00C45B70" w:rsidP="00740E06">
                            <w:pPr>
                              <w:spacing w:after="0"/>
                              <w:jc w:val="center"/>
                            </w:pPr>
                            <w:r>
                              <w:t>2050</w:t>
                            </w:r>
                          </w:p>
                        </w:txbxContent>
                      </v:textbox>
                    </v:shape>
                  </w:pict>
                </mc:Fallback>
              </mc:AlternateContent>
            </w:r>
            <w:r>
              <w:rPr>
                <w:noProof/>
              </w:rPr>
              <w:drawing>
                <wp:inline distT="0" distB="0" distL="0" distR="0" wp14:anchorId="23BB375C" wp14:editId="074F664E">
                  <wp:extent cx="4628270" cy="3078591"/>
                  <wp:effectExtent l="0" t="0" r="1270" b="7620"/>
                  <wp:docPr id="1342760629" name="Picture 1" descr="Screenshot of VCP comparing current conditions vs 2050 conditions for extreme heat for the city of San Fern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60629" name="Picture 1" descr="Screenshot of VCP comparing current conditions vs 2050 conditions for extreme heat for the city of San Fernando"/>
                          <pic:cNvPicPr/>
                        </pic:nvPicPr>
                        <pic:blipFill>
                          <a:blip r:embed="rId158"/>
                          <a:stretch>
                            <a:fillRect/>
                          </a:stretch>
                        </pic:blipFill>
                        <pic:spPr>
                          <a:xfrm>
                            <a:off x="0" y="0"/>
                            <a:ext cx="4647819" cy="3091594"/>
                          </a:xfrm>
                          <a:prstGeom prst="rect">
                            <a:avLst/>
                          </a:prstGeom>
                        </pic:spPr>
                      </pic:pic>
                    </a:graphicData>
                  </a:graphic>
                </wp:inline>
              </w:drawing>
            </w:r>
          </w:p>
        </w:tc>
      </w:tr>
    </w:tbl>
    <w:p w14:paraId="0A7553E3" w14:textId="55FF1486" w:rsidR="00B23BCD" w:rsidRDefault="00B23BCD" w:rsidP="0024398C">
      <w:pPr>
        <w:spacing w:after="0" w:line="240" w:lineRule="auto"/>
        <w:rPr>
          <w:sz w:val="18"/>
          <w:szCs w:val="16"/>
        </w:rPr>
      </w:pPr>
    </w:p>
    <w:p w14:paraId="61915CCE" w14:textId="77777777" w:rsidR="005B7662" w:rsidRDefault="005B7662" w:rsidP="0024398C">
      <w:pPr>
        <w:spacing w:after="0" w:line="240" w:lineRule="auto"/>
        <w:rPr>
          <w:sz w:val="18"/>
          <w:szCs w:val="16"/>
        </w:rPr>
      </w:pPr>
    </w:p>
    <w:p w14:paraId="0BC6E016" w14:textId="77777777" w:rsidR="005B7662" w:rsidRDefault="005B7662" w:rsidP="0024398C">
      <w:pPr>
        <w:spacing w:after="0" w:line="240" w:lineRule="auto"/>
        <w:rPr>
          <w:sz w:val="18"/>
          <w:szCs w:val="16"/>
        </w:rPr>
      </w:pPr>
    </w:p>
    <w:p w14:paraId="02D84A10" w14:textId="77777777" w:rsidR="005B7662" w:rsidRDefault="005B7662" w:rsidP="0024398C">
      <w:pPr>
        <w:spacing w:after="0" w:line="240" w:lineRule="auto"/>
        <w:rPr>
          <w:sz w:val="18"/>
          <w:szCs w:val="16"/>
        </w:rPr>
      </w:pPr>
    </w:p>
    <w:p w14:paraId="4CC6E2AE" w14:textId="77777777" w:rsidR="005B7662" w:rsidRDefault="005B7662" w:rsidP="0024398C">
      <w:pPr>
        <w:spacing w:after="0" w:line="240" w:lineRule="auto"/>
        <w:rPr>
          <w:sz w:val="18"/>
          <w:szCs w:val="16"/>
        </w:rPr>
      </w:pPr>
    </w:p>
    <w:p w14:paraId="79627AE7" w14:textId="77777777" w:rsidR="005B7662" w:rsidRDefault="005B7662" w:rsidP="0024398C">
      <w:pPr>
        <w:spacing w:after="0" w:line="240" w:lineRule="auto"/>
        <w:rPr>
          <w:sz w:val="18"/>
          <w:szCs w:val="16"/>
        </w:rPr>
      </w:pPr>
    </w:p>
    <w:p w14:paraId="129DA4D0" w14:textId="77777777" w:rsidR="005B7662" w:rsidRDefault="005B7662" w:rsidP="0024398C">
      <w:pPr>
        <w:spacing w:after="0" w:line="240" w:lineRule="auto"/>
        <w:rPr>
          <w:sz w:val="18"/>
          <w:szCs w:val="16"/>
        </w:rPr>
      </w:pPr>
    </w:p>
    <w:p w14:paraId="57CFC55E" w14:textId="77777777" w:rsidR="005B7662" w:rsidRDefault="005B7662" w:rsidP="0024398C">
      <w:pPr>
        <w:spacing w:after="0" w:line="240" w:lineRule="auto"/>
        <w:rPr>
          <w:sz w:val="18"/>
          <w:szCs w:val="16"/>
        </w:rPr>
      </w:pPr>
    </w:p>
    <w:p w14:paraId="4419A651" w14:textId="77777777" w:rsidR="005B7662" w:rsidRDefault="005B7662" w:rsidP="0024398C">
      <w:pPr>
        <w:spacing w:after="0" w:line="240" w:lineRule="auto"/>
        <w:rPr>
          <w:sz w:val="18"/>
          <w:szCs w:val="16"/>
        </w:rPr>
      </w:pPr>
    </w:p>
    <w:p w14:paraId="69DD67B6" w14:textId="77777777" w:rsidR="005B7662" w:rsidRDefault="005B7662" w:rsidP="0024398C">
      <w:pPr>
        <w:spacing w:after="0" w:line="240" w:lineRule="auto"/>
        <w:rPr>
          <w:sz w:val="18"/>
          <w:szCs w:val="16"/>
        </w:rPr>
      </w:pPr>
    </w:p>
    <w:p w14:paraId="5BB279FE" w14:textId="77777777" w:rsidR="005B7662" w:rsidRPr="002E5FD6" w:rsidRDefault="005B7662" w:rsidP="0024398C">
      <w:pPr>
        <w:spacing w:after="0" w:line="240" w:lineRule="auto"/>
        <w:rPr>
          <w:sz w:val="18"/>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F67DE" w:rsidRPr="007F67DE" w14:paraId="2C6BB6BD" w14:textId="77777777" w:rsidTr="0000078B">
        <w:trPr>
          <w:trHeight w:val="576"/>
        </w:trPr>
        <w:tc>
          <w:tcPr>
            <w:tcW w:w="9350" w:type="dxa"/>
            <w:shd w:val="clear" w:color="auto" w:fill="14581C"/>
            <w:vAlign w:val="center"/>
          </w:tcPr>
          <w:p w14:paraId="4A8D5E69" w14:textId="64655BF2" w:rsidR="007F67DE" w:rsidRPr="007F67DE" w:rsidRDefault="007835D7" w:rsidP="0000078B">
            <w:pPr>
              <w:rPr>
                <w:b/>
                <w:bCs/>
                <w:color w:val="FFFFFF" w:themeColor="background1"/>
              </w:rPr>
            </w:pPr>
            <w:r>
              <w:rPr>
                <w:b/>
                <w:color w:val="FFFFFF" w:themeColor="background1"/>
              </w:rPr>
              <w:t>Put It into Practice</w:t>
            </w:r>
          </w:p>
        </w:tc>
      </w:tr>
      <w:tr w:rsidR="007F67DE" w14:paraId="45F73D63" w14:textId="77777777" w:rsidTr="0018191C">
        <w:trPr>
          <w:trHeight w:val="2736"/>
        </w:trPr>
        <w:tc>
          <w:tcPr>
            <w:tcW w:w="9350" w:type="dxa"/>
            <w:shd w:val="clear" w:color="auto" w:fill="C2F1C8"/>
          </w:tcPr>
          <w:p w14:paraId="5C48CF4B" w14:textId="56A1C9A5" w:rsidR="00517691" w:rsidRPr="00517691" w:rsidRDefault="00CD6805" w:rsidP="00517691">
            <w:pPr>
              <w:spacing w:before="120"/>
              <w:rPr>
                <w:b/>
                <w:bCs/>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_Ref230248224 \h  \* MERGEFORMAT </w:instrText>
            </w:r>
            <w:r>
              <w:rPr>
                <w:b/>
                <w:bCs/>
                <w:color w:val="000000" w:themeColor="text1"/>
              </w:rPr>
            </w:r>
            <w:r>
              <w:rPr>
                <w:b/>
                <w:bCs/>
                <w:color w:val="000000" w:themeColor="text1"/>
              </w:rPr>
              <w:fldChar w:fldCharType="separate"/>
            </w:r>
            <w:r w:rsidR="00517691" w:rsidRPr="00517691">
              <w:rPr>
                <w:b/>
                <w:bCs/>
              </w:rPr>
              <w:br w:type="page"/>
            </w:r>
            <w:r w:rsidR="00D34B8D" w:rsidRPr="00517691">
              <w:rPr>
                <w:b/>
                <w:bCs/>
              </w:rPr>
              <w:br w:type="page"/>
            </w:r>
            <w:r w:rsidR="00D34B8D">
              <w:rPr>
                <w:b/>
                <w:bCs/>
              </w:rPr>
              <w:t>Identifying and Analyzing Primary Climate Hazards</w:t>
            </w:r>
          </w:p>
          <w:p w14:paraId="116F932B" w14:textId="6AF61739" w:rsidR="007F67DE" w:rsidRPr="00D34B8D" w:rsidRDefault="00CD6805" w:rsidP="00D34B8D">
            <w:pPr>
              <w:spacing w:before="120"/>
              <w:rPr>
                <w:b/>
                <w:bCs/>
                <w:color w:val="000000" w:themeColor="text1"/>
              </w:rPr>
            </w:pPr>
            <w:r>
              <w:rPr>
                <w:b/>
                <w:bCs/>
                <w:color w:val="000000" w:themeColor="text1"/>
              </w:rPr>
              <w:fldChar w:fldCharType="end"/>
            </w:r>
            <w:r w:rsidR="00D93A6D">
              <w:rPr>
                <w:color w:val="000000" w:themeColor="text1"/>
              </w:rPr>
              <w:t>Going back to the table in Appendix C, fill out row D for Step 2.1D.</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Fill out Row D to finish the worksheet where you identify and analyze primary climate hazards"/>
              <w:tblDescription w:val="fillable table asking how vulnerability changes between now and 2050 for climate-related hazards"/>
            </w:tblPr>
            <w:tblGrid>
              <w:gridCol w:w="2313"/>
              <w:gridCol w:w="1650"/>
              <w:gridCol w:w="1383"/>
              <w:gridCol w:w="1107"/>
              <w:gridCol w:w="1350"/>
              <w:gridCol w:w="1275"/>
            </w:tblGrid>
            <w:tr w:rsidR="00A96E70" w:rsidRPr="00BF6205" w14:paraId="496B474F" w14:textId="77777777" w:rsidTr="006B11CC">
              <w:trPr>
                <w:trHeight w:val="300"/>
              </w:trPr>
              <w:tc>
                <w:tcPr>
                  <w:tcW w:w="2313" w:type="dxa"/>
                  <w:vAlign w:val="center"/>
                  <w:hideMark/>
                </w:tcPr>
                <w:p w14:paraId="01F17D53" w14:textId="77777777" w:rsidR="00A96E70" w:rsidRPr="00BF6205" w:rsidRDefault="00A96E70" w:rsidP="00A96E70">
                  <w:pPr>
                    <w:spacing w:after="0" w:line="240" w:lineRule="auto"/>
                  </w:pPr>
                </w:p>
              </w:tc>
              <w:tc>
                <w:tcPr>
                  <w:tcW w:w="1650" w:type="dxa"/>
                  <w:vAlign w:val="center"/>
                  <w:hideMark/>
                </w:tcPr>
                <w:p w14:paraId="2861964C" w14:textId="77777777" w:rsidR="00A96E70" w:rsidRPr="00BF6205" w:rsidRDefault="00A96E70" w:rsidP="00A96E70">
                  <w:pPr>
                    <w:spacing w:after="0" w:line="240" w:lineRule="auto"/>
                    <w:jc w:val="center"/>
                  </w:pPr>
                  <w:r>
                    <w:rPr>
                      <w:b/>
                      <w:bCs/>
                    </w:rPr>
                    <w:t>Extreme Heat</w:t>
                  </w:r>
                </w:p>
              </w:tc>
              <w:tc>
                <w:tcPr>
                  <w:tcW w:w="1383" w:type="dxa"/>
                  <w:vAlign w:val="center"/>
                  <w:hideMark/>
                </w:tcPr>
                <w:p w14:paraId="42CF9D7B" w14:textId="77777777" w:rsidR="00A96E70" w:rsidRPr="00BF6205" w:rsidRDefault="00A96E70" w:rsidP="00A96E70">
                  <w:pPr>
                    <w:spacing w:after="0" w:line="240" w:lineRule="auto"/>
                    <w:jc w:val="center"/>
                  </w:pPr>
                  <w:r>
                    <w:rPr>
                      <w:b/>
                      <w:bCs/>
                    </w:rPr>
                    <w:t>Flood</w:t>
                  </w:r>
                </w:p>
              </w:tc>
              <w:tc>
                <w:tcPr>
                  <w:tcW w:w="1107" w:type="dxa"/>
                  <w:hideMark/>
                </w:tcPr>
                <w:p w14:paraId="31D9472F" w14:textId="77777777" w:rsidR="00A96E70" w:rsidRPr="00BF6205" w:rsidRDefault="00A96E70" w:rsidP="00A96E70">
                  <w:pPr>
                    <w:spacing w:after="0" w:line="240" w:lineRule="auto"/>
                    <w:jc w:val="center"/>
                  </w:pPr>
                  <w:r>
                    <w:rPr>
                      <w:b/>
                      <w:bCs/>
                    </w:rPr>
                    <w:t>SLR</w:t>
                  </w:r>
                </w:p>
              </w:tc>
              <w:tc>
                <w:tcPr>
                  <w:tcW w:w="1350" w:type="dxa"/>
                  <w:hideMark/>
                </w:tcPr>
                <w:p w14:paraId="778CA532" w14:textId="77777777" w:rsidR="00A96E70" w:rsidRPr="00BF6205" w:rsidRDefault="00A96E70" w:rsidP="00A96E70">
                  <w:pPr>
                    <w:spacing w:after="0" w:line="240" w:lineRule="auto"/>
                    <w:jc w:val="center"/>
                  </w:pPr>
                  <w:r>
                    <w:rPr>
                      <w:b/>
                      <w:bCs/>
                    </w:rPr>
                    <w:t>Drought</w:t>
                  </w:r>
                </w:p>
              </w:tc>
              <w:tc>
                <w:tcPr>
                  <w:tcW w:w="1275" w:type="dxa"/>
                  <w:hideMark/>
                </w:tcPr>
                <w:p w14:paraId="69AA682C" w14:textId="77777777" w:rsidR="00A96E70" w:rsidRPr="00BF6205" w:rsidRDefault="00A96E70" w:rsidP="00A96E70">
                  <w:pPr>
                    <w:spacing w:after="0" w:line="240" w:lineRule="auto"/>
                    <w:jc w:val="center"/>
                  </w:pPr>
                  <w:r>
                    <w:rPr>
                      <w:b/>
                      <w:bCs/>
                    </w:rPr>
                    <w:t>Wildfire</w:t>
                  </w:r>
                </w:p>
              </w:tc>
            </w:tr>
            <w:tr w:rsidR="00A96E70" w:rsidRPr="00BF6205" w14:paraId="72199EDF" w14:textId="77777777" w:rsidTr="006B11CC">
              <w:trPr>
                <w:trHeight w:val="300"/>
              </w:trPr>
              <w:tc>
                <w:tcPr>
                  <w:tcW w:w="2313" w:type="dxa"/>
                  <w:hideMark/>
                </w:tcPr>
                <w:p w14:paraId="339B8E0C" w14:textId="77777777" w:rsidR="00A96E70" w:rsidRPr="00BF6205" w:rsidRDefault="00A96E70" w:rsidP="00A96E70">
                  <w:pPr>
                    <w:spacing w:after="0" w:line="240" w:lineRule="auto"/>
                    <w:ind w:left="57" w:right="104"/>
                  </w:pPr>
                  <w:r>
                    <w:rPr>
                      <w:b/>
                      <w:bCs/>
                    </w:rPr>
                    <w:t>D</w:t>
                  </w:r>
                  <w:r>
                    <w:t xml:space="preserve">. How does vulnerability change between now and 2050? </w:t>
                  </w:r>
                </w:p>
              </w:tc>
              <w:tc>
                <w:tcPr>
                  <w:tcW w:w="1650" w:type="dxa"/>
                  <w:hideMark/>
                </w:tcPr>
                <w:p w14:paraId="71A52EDC" w14:textId="77777777" w:rsidR="00A96E70" w:rsidRPr="00BF6205" w:rsidRDefault="00A96E70" w:rsidP="00A96E70">
                  <w:pPr>
                    <w:spacing w:line="240" w:lineRule="auto"/>
                  </w:pPr>
                  <w:r>
                    <w:t xml:space="preserve"> </w:t>
                  </w:r>
                </w:p>
              </w:tc>
              <w:tc>
                <w:tcPr>
                  <w:tcW w:w="1383" w:type="dxa"/>
                  <w:hideMark/>
                </w:tcPr>
                <w:p w14:paraId="69039938" w14:textId="77777777" w:rsidR="00A96E70" w:rsidRPr="00BF6205" w:rsidRDefault="00A96E70" w:rsidP="00A96E70">
                  <w:pPr>
                    <w:spacing w:line="240" w:lineRule="auto"/>
                  </w:pPr>
                  <w:r>
                    <w:t xml:space="preserve"> </w:t>
                  </w:r>
                </w:p>
              </w:tc>
              <w:tc>
                <w:tcPr>
                  <w:tcW w:w="1107" w:type="dxa"/>
                  <w:hideMark/>
                </w:tcPr>
                <w:p w14:paraId="4A19D761" w14:textId="77777777" w:rsidR="00A96E70" w:rsidRPr="00BF6205" w:rsidRDefault="00A96E70" w:rsidP="00A96E70">
                  <w:pPr>
                    <w:spacing w:line="240" w:lineRule="auto"/>
                  </w:pPr>
                  <w:r>
                    <w:t xml:space="preserve"> </w:t>
                  </w:r>
                </w:p>
              </w:tc>
              <w:tc>
                <w:tcPr>
                  <w:tcW w:w="1350" w:type="dxa"/>
                  <w:hideMark/>
                </w:tcPr>
                <w:p w14:paraId="5C687C81" w14:textId="77777777" w:rsidR="00A96E70" w:rsidRPr="00BF6205" w:rsidRDefault="00A96E70" w:rsidP="00A96E70">
                  <w:pPr>
                    <w:spacing w:line="240" w:lineRule="auto"/>
                  </w:pPr>
                  <w:r>
                    <w:t xml:space="preserve"> </w:t>
                  </w:r>
                </w:p>
              </w:tc>
              <w:tc>
                <w:tcPr>
                  <w:tcW w:w="1275" w:type="dxa"/>
                  <w:hideMark/>
                </w:tcPr>
                <w:p w14:paraId="2F7D39A8" w14:textId="77777777" w:rsidR="00A96E70" w:rsidRPr="00BF6205" w:rsidRDefault="00A96E70" w:rsidP="00A96E70">
                  <w:pPr>
                    <w:spacing w:line="240" w:lineRule="auto"/>
                  </w:pPr>
                  <w:r>
                    <w:t xml:space="preserve"> </w:t>
                  </w:r>
                </w:p>
              </w:tc>
            </w:tr>
          </w:tbl>
          <w:p w14:paraId="3B4E4D46" w14:textId="08373DF8" w:rsidR="007F67DE" w:rsidRPr="002B5494" w:rsidRDefault="001076CC" w:rsidP="00BB5ACB">
            <w:pPr>
              <w:rPr>
                <w:sz w:val="12"/>
                <w:szCs w:val="12"/>
              </w:rPr>
            </w:pPr>
            <w:r>
              <w:rPr>
                <w:sz w:val="12"/>
                <w:szCs w:val="12"/>
              </w:rPr>
              <w:t xml:space="preserve">  </w:t>
            </w:r>
          </w:p>
        </w:tc>
      </w:tr>
    </w:tbl>
    <w:p w14:paraId="39CE3F3E" w14:textId="43014435" w:rsidR="005F7EA8" w:rsidRDefault="00707F88" w:rsidP="005B7662">
      <w:pPr>
        <w:spacing w:line="240" w:lineRule="auto"/>
      </w:pPr>
      <w:r>
        <w:t xml:space="preserve">For detailed projections, for example, specific numbers of extreme heat days, sea level rise maps, and more, use the tools below. The Plumas County case study below illustrates how projections </w:t>
      </w:r>
      <w:r w:rsidR="0ACAED95">
        <w:t xml:space="preserve">available on the Cal-Adapt Enterprise </w:t>
      </w:r>
      <w:r>
        <w:t xml:space="preserve">were used in that county's plan.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24C56" w:rsidRPr="00FC52E0" w14:paraId="3A91B9BF" w14:textId="77777777" w:rsidTr="20389150">
        <w:trPr>
          <w:trHeight w:val="576"/>
        </w:trPr>
        <w:tc>
          <w:tcPr>
            <w:tcW w:w="9360" w:type="dxa"/>
            <w:shd w:val="clear" w:color="auto" w:fill="1F5485"/>
            <w:vAlign w:val="center"/>
          </w:tcPr>
          <w:p w14:paraId="776D6391" w14:textId="00AB7DF4" w:rsidR="00224C56" w:rsidRPr="00F73B35" w:rsidRDefault="00224C56" w:rsidP="0000078B">
            <w:pPr>
              <w:rPr>
                <w:b/>
                <w:color w:val="FFFFFF" w:themeColor="background1"/>
              </w:rPr>
            </w:pPr>
            <w:r>
              <w:rPr>
                <w:b/>
                <w:color w:val="FFFFFF" w:themeColor="background1"/>
              </w:rPr>
              <w:t>Case</w:t>
            </w:r>
            <w:r>
              <w:rPr>
                <w:b/>
                <w:bCs/>
                <w:color w:val="FFFFFF" w:themeColor="background1"/>
              </w:rPr>
              <w:t xml:space="preserve"> </w:t>
            </w:r>
            <w:r>
              <w:rPr>
                <w:b/>
                <w:color w:val="FFFFFF" w:themeColor="background1"/>
              </w:rPr>
              <w:t>Study:</w:t>
            </w:r>
            <w:r>
              <w:rPr>
                <w:b/>
                <w:bCs/>
                <w:color w:val="FFFFFF" w:themeColor="background1"/>
              </w:rPr>
              <w:t xml:space="preserve"> </w:t>
            </w:r>
            <w:r>
              <w:rPr>
                <w:b/>
                <w:color w:val="FFFFFF" w:themeColor="background1"/>
              </w:rPr>
              <w:t>Plumas</w:t>
            </w:r>
            <w:r>
              <w:rPr>
                <w:b/>
                <w:bCs/>
                <w:color w:val="FFFFFF" w:themeColor="background1"/>
              </w:rPr>
              <w:t xml:space="preserve"> </w:t>
            </w:r>
            <w:r>
              <w:rPr>
                <w:b/>
                <w:color w:val="FFFFFF" w:themeColor="background1"/>
              </w:rPr>
              <w:t>County’s</w:t>
            </w:r>
            <w:r>
              <w:rPr>
                <w:b/>
                <w:bCs/>
                <w:color w:val="FFFFFF" w:themeColor="background1"/>
              </w:rPr>
              <w:t xml:space="preserve"> </w:t>
            </w:r>
            <w:r>
              <w:rPr>
                <w:b/>
                <w:color w:val="FFFFFF" w:themeColor="background1"/>
              </w:rPr>
              <w:t>Multi-Jurisdictional Hazard Mitigation Plan</w:t>
            </w:r>
          </w:p>
        </w:tc>
      </w:tr>
      <w:tr w:rsidR="00224C56" w14:paraId="252BBEA9" w14:textId="77777777" w:rsidTr="20389150">
        <w:trPr>
          <w:trHeight w:val="6912"/>
        </w:trPr>
        <w:tc>
          <w:tcPr>
            <w:tcW w:w="9360" w:type="dxa"/>
            <w:shd w:val="clear" w:color="auto" w:fill="DCEAF7"/>
          </w:tcPr>
          <w:p w14:paraId="038FA8D6" w14:textId="70946F49" w:rsidR="00224C56" w:rsidRPr="00206C25" w:rsidRDefault="2E793FBB" w:rsidP="00C4184F">
            <w:pPr>
              <w:spacing w:before="120" w:after="160"/>
            </w:pPr>
            <w:r>
              <w:t>The</w:t>
            </w:r>
            <w:r w:rsidRPr="20389150">
              <w:rPr>
                <w:b/>
                <w:bCs/>
                <w:i/>
                <w:iCs/>
              </w:rPr>
              <w:t xml:space="preserve"> </w:t>
            </w:r>
            <w:hyperlink r:id="rId159">
              <w:r w:rsidRPr="20389150">
                <w:rPr>
                  <w:rStyle w:val="Hyperlink"/>
                  <w:i/>
                  <w:iCs/>
                </w:rPr>
                <w:t>Plumas County MJHMP Update</w:t>
              </w:r>
            </w:hyperlink>
            <w:r>
              <w:t xml:space="preserve"> from 2026 included </w:t>
            </w:r>
            <w:r w:rsidR="00586228">
              <w:t>projections produced</w:t>
            </w:r>
            <w:r w:rsidR="6AB67DA3">
              <w:t xml:space="preserve"> for California’s Fourth Climate Change Assessment available on the</w:t>
            </w:r>
            <w:r>
              <w:t xml:space="preserve"> </w:t>
            </w:r>
            <w:hyperlink r:id="rId160">
              <w:r w:rsidRPr="20389150">
                <w:rPr>
                  <w:rStyle w:val="Hyperlink"/>
                </w:rPr>
                <w:t>Cal-Adapt</w:t>
              </w:r>
            </w:hyperlink>
            <w:r>
              <w:t xml:space="preserve"> </w:t>
            </w:r>
            <w:r w:rsidR="717EF113">
              <w:t>Enterprise</w:t>
            </w:r>
            <w:r>
              <w:t>.</w:t>
            </w:r>
          </w:p>
          <w:tbl>
            <w:tblPr>
              <w:tblStyle w:val="TableGrid"/>
              <w:tblW w:w="0" w:type="auto"/>
              <w:tblLook w:val="04A0" w:firstRow="1" w:lastRow="0" w:firstColumn="1" w:lastColumn="0" w:noHBand="0" w:noVBand="1"/>
            </w:tblPr>
            <w:tblGrid>
              <w:gridCol w:w="9134"/>
            </w:tblGrid>
            <w:tr w:rsidR="00224C56" w14:paraId="0C706423" w14:textId="77777777" w:rsidTr="00551090">
              <w:trPr>
                <w:trHeight w:val="432"/>
              </w:trPr>
              <w:tc>
                <w:tcPr>
                  <w:tcW w:w="9134" w:type="dxa"/>
                  <w:shd w:val="clear" w:color="auto" w:fill="000000" w:themeFill="text1"/>
                  <w:vAlign w:val="center"/>
                </w:tcPr>
                <w:p w14:paraId="50BD6249" w14:textId="72D27E71" w:rsidR="00224C56" w:rsidRPr="00F73B35" w:rsidRDefault="00224C56" w:rsidP="00551090">
                  <w:pPr>
                    <w:rPr>
                      <w:b/>
                    </w:rPr>
                  </w:pPr>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15</w:t>
                  </w:r>
                  <w:r>
                    <w:rPr>
                      <w:b/>
                      <w:bCs/>
                    </w:rPr>
                    <w:fldChar w:fldCharType="end"/>
                  </w:r>
                  <w:r>
                    <w:rPr>
                      <w:b/>
                      <w:bCs/>
                    </w:rPr>
                    <w:t xml:space="preserve">. </w:t>
                  </w:r>
                  <w:r>
                    <w:rPr>
                      <w:b/>
                    </w:rPr>
                    <w:t>Using Cal-Adapt in a Multi-Jurisdictional Hazard Mitigation Plan</w:t>
                  </w:r>
                </w:p>
              </w:tc>
            </w:tr>
            <w:tr w:rsidR="00224C56" w14:paraId="75FC076F" w14:textId="77777777" w:rsidTr="007A34BA">
              <w:trPr>
                <w:trHeight w:val="5472"/>
              </w:trPr>
              <w:tc>
                <w:tcPr>
                  <w:tcW w:w="9134" w:type="dxa"/>
                  <w:shd w:val="clear" w:color="auto" w:fill="FFFFFF" w:themeFill="background1"/>
                  <w:vAlign w:val="center"/>
                </w:tcPr>
                <w:p w14:paraId="4EBE4F7B" w14:textId="38FBE740" w:rsidR="00224C56" w:rsidRDefault="00C93D72" w:rsidP="007A34BA">
                  <w:pPr>
                    <w:jc w:val="center"/>
                  </w:pPr>
                  <w:r>
                    <w:rPr>
                      <w:noProof/>
                    </w:rPr>
                    <w:drawing>
                      <wp:inline distT="0" distB="0" distL="0" distR="0" wp14:anchorId="397984F0" wp14:editId="7C93E92E">
                        <wp:extent cx="5647260" cy="3220278"/>
                        <wp:effectExtent l="0" t="0" r="0" b="0"/>
                        <wp:docPr id="747964060" name="Picture 16" descr="Screenshot of Plumas County's MJHMP showing how it incorporated Cal-Adapt climate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64060" name="Picture 16" descr="Screenshot of Plumas County's MJHMP showing how it incorporated Cal-Adapt climate projections"/>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650834" cy="3222316"/>
                                </a:xfrm>
                                <a:prstGeom prst="rect">
                                  <a:avLst/>
                                </a:prstGeom>
                                <a:noFill/>
                                <a:ln>
                                  <a:noFill/>
                                </a:ln>
                              </pic:spPr>
                            </pic:pic>
                          </a:graphicData>
                        </a:graphic>
                      </wp:inline>
                    </w:drawing>
                  </w:r>
                </w:p>
              </w:tc>
            </w:tr>
          </w:tbl>
          <w:p w14:paraId="24748554" w14:textId="77777777" w:rsidR="00224C56" w:rsidRPr="00C4184F" w:rsidRDefault="00224C56" w:rsidP="00BB5ACB">
            <w:pPr>
              <w:rPr>
                <w:sz w:val="12"/>
                <w:szCs w:val="12"/>
              </w:rPr>
            </w:pPr>
          </w:p>
        </w:tc>
      </w:tr>
    </w:tbl>
    <w:p w14:paraId="2E984207" w14:textId="63565C6D" w:rsidR="00934FE2" w:rsidRPr="00586228" w:rsidRDefault="00456DDC" w:rsidP="00AA1669">
      <w:pPr>
        <w:spacing w:before="160" w:line="240" w:lineRule="auto"/>
      </w:pPr>
      <w:r>
        <w:t xml:space="preserve">Each hazard section below highlights a few recommended tools; see </w:t>
      </w:r>
      <w:r>
        <w:rPr>
          <w:b/>
        </w:rPr>
        <w:t>Appendix B: Climate Data Tools</w:t>
      </w:r>
      <w:r>
        <w:t xml:space="preserve"> for the complete list, direct links, and guidance on choosing among them. Use the recommended tools to obtain climate and environmental data for each hazard. Record your findings in the corresponding worksheets provided in </w:t>
      </w:r>
      <w:r>
        <w:rPr>
          <w:b/>
        </w:rPr>
        <w:t>Appendix C.</w:t>
      </w:r>
    </w:p>
    <w:p w14:paraId="270FFC8E" w14:textId="5C6F4F30" w:rsidR="00A01752" w:rsidRPr="00984E57" w:rsidRDefault="00A01752" w:rsidP="00CB798F">
      <w:pPr>
        <w:spacing w:before="160" w:after="0" w:line="240" w:lineRule="auto"/>
        <w:rPr>
          <w:b/>
          <w:bCs/>
        </w:rPr>
      </w:pPr>
      <w:r>
        <w:rPr>
          <w:b/>
          <w:bCs/>
        </w:rPr>
        <w:t>Extreme Heat</w:t>
      </w:r>
    </w:p>
    <w:p w14:paraId="71592D9E" w14:textId="760BF852" w:rsidR="004F618A" w:rsidRPr="00A01752" w:rsidRDefault="2D2D93ED">
      <w:pPr>
        <w:pStyle w:val="ListParagraph"/>
        <w:numPr>
          <w:ilvl w:val="0"/>
          <w:numId w:val="60"/>
        </w:numPr>
      </w:pPr>
      <w:r>
        <w:t xml:space="preserve">LCI’s </w:t>
      </w:r>
      <w:hyperlink r:id="rId162" w:history="1">
        <w:r w:rsidRPr="55DEB025">
          <w:rPr>
            <w:rStyle w:val="Hyperlink"/>
          </w:rPr>
          <w:t>Climate Data Viewer</w:t>
        </w:r>
      </w:hyperlink>
      <w:r>
        <w:t xml:space="preserve">. : The Climate Data Viewer displays metrics for extreme heat developed from Cal-Adapt: Analytics Engine projections, including the hottest day of the year, number of summer days over 90°F and 100°F, and hot summer nights. </w:t>
      </w:r>
    </w:p>
    <w:p w14:paraId="6799D54B" w14:textId="634AE18D" w:rsidR="00A01752" w:rsidRPr="00984E57" w:rsidRDefault="00A01752" w:rsidP="00CB798F">
      <w:pPr>
        <w:spacing w:before="160" w:after="0" w:line="240" w:lineRule="auto"/>
        <w:rPr>
          <w:b/>
          <w:bCs/>
        </w:rPr>
      </w:pPr>
      <w:r>
        <w:rPr>
          <w:b/>
          <w:bCs/>
        </w:rPr>
        <w:t>Wildfire</w:t>
      </w:r>
    </w:p>
    <w:p w14:paraId="35C2B9E3" w14:textId="4129456F" w:rsidR="00BE48FE" w:rsidRDefault="00A01752">
      <w:pPr>
        <w:numPr>
          <w:ilvl w:val="0"/>
          <w:numId w:val="38"/>
        </w:numPr>
        <w:spacing w:after="0" w:line="240" w:lineRule="auto"/>
      </w:pPr>
      <w:hyperlink r:id="rId163" w:tgtFrame="_blank" w:history="1">
        <w:r>
          <w:rPr>
            <w:rStyle w:val="Hyperlink"/>
          </w:rPr>
          <w:t>US Forest Service Wildfire Risk to Communities:</w:t>
        </w:r>
      </w:hyperlink>
      <w:r>
        <w:t xml:space="preserve"> </w:t>
      </w:r>
      <w:r>
        <w:rPr>
          <w:rFonts w:eastAsia="Century Gothic" w:cs="Century Gothic"/>
          <w:color w:val="000000" w:themeColor="text1"/>
          <w:szCs w:val="24"/>
        </w:rPr>
        <w:t xml:space="preserve">The USFS has several wildfire maps including the annual probability of wildfire, expected wildfire intensity, exposure of communities, and the susceptibility of homes or communities to wildfire damage. </w:t>
      </w:r>
    </w:p>
    <w:p w14:paraId="0D987FB9" w14:textId="6F530F67" w:rsidR="00BE48FE" w:rsidRPr="003000D9" w:rsidRDefault="009F156D">
      <w:pPr>
        <w:numPr>
          <w:ilvl w:val="0"/>
          <w:numId w:val="38"/>
        </w:numPr>
        <w:spacing w:after="0" w:line="240" w:lineRule="auto"/>
      </w:pPr>
      <w:hyperlink r:id="rId164" w:history="1">
        <w:r>
          <w:rPr>
            <w:rStyle w:val="Hyperlink"/>
          </w:rPr>
          <w:t>Fire Hazard Severity Zones</w:t>
        </w:r>
      </w:hyperlink>
      <w:r>
        <w:rPr>
          <w:u w:val="single"/>
        </w:rPr>
        <w:t xml:space="preserve"> </w:t>
      </w:r>
      <w:r>
        <w:t>(FHSZ): The State’s wildfire hazard classification system that can support climate adaptation planning vulnerability assessments by identifying areas with elevated wildfire hazard conditions.</w:t>
      </w:r>
      <w:r>
        <w:rPr>
          <w:u w:val="single"/>
        </w:rPr>
        <w:t xml:space="preserve"> </w:t>
      </w:r>
    </w:p>
    <w:p w14:paraId="1E5AD849" w14:textId="191A157A" w:rsidR="003000D9" w:rsidRPr="003000D9" w:rsidRDefault="003000D9">
      <w:pPr>
        <w:pStyle w:val="ListParagraph"/>
        <w:numPr>
          <w:ilvl w:val="0"/>
          <w:numId w:val="38"/>
        </w:numPr>
        <w:spacing w:before="160" w:line="240" w:lineRule="auto"/>
        <w:rPr>
          <w:rFonts w:eastAsia="Century Gothic" w:cs="Century Gothic"/>
        </w:rPr>
      </w:pPr>
      <w:hyperlink r:id="rId165">
        <w:r w:rsidRPr="003000D9">
          <w:rPr>
            <w:rStyle w:val="Hyperlink"/>
            <w:rFonts w:eastAsia="Century Gothic" w:cs="Century Gothic"/>
            <w:color w:val="3333FF"/>
          </w:rPr>
          <w:t>CAL FIRE’s Historical Fire Perimeters</w:t>
        </w:r>
      </w:hyperlink>
      <w:r>
        <w:t>:</w:t>
      </w:r>
      <w:r w:rsidRPr="003000D9">
        <w:rPr>
          <w:rFonts w:eastAsia="Century Gothic" w:cs="Century Gothic"/>
        </w:rPr>
        <w:t xml:space="preserve"> This map shows outlines of all past major fires in the state since 1878.</w:t>
      </w:r>
    </w:p>
    <w:p w14:paraId="1260AAFC" w14:textId="3D6025D8" w:rsidR="00BE48FE" w:rsidRPr="005B7662" w:rsidRDefault="003000D9">
      <w:pPr>
        <w:pStyle w:val="ListParagraph"/>
        <w:numPr>
          <w:ilvl w:val="0"/>
          <w:numId w:val="38"/>
        </w:numPr>
        <w:spacing w:before="160" w:line="240" w:lineRule="auto"/>
        <w:rPr>
          <w:rFonts w:eastAsia="Century Gothic" w:cs="Century Gothic"/>
        </w:rPr>
      </w:pPr>
      <w:hyperlink r:id="rId166" w:anchor="/smoke/wsc/county/5avg">
        <w:r w:rsidRPr="003000D9">
          <w:rPr>
            <w:rStyle w:val="Hyperlink"/>
            <w:rFonts w:eastAsia="Century Gothic" w:cs="Century Gothic"/>
            <w:color w:val="3333FF"/>
          </w:rPr>
          <w:t>Standford Wildfire Smoke Map</w:t>
        </w:r>
      </w:hyperlink>
      <w:r w:rsidRPr="003000D9">
        <w:rPr>
          <w:rFonts w:eastAsia="Century Gothic" w:cs="Century Gothic"/>
        </w:rPr>
        <w:t>: This map shows the annual average wildfire smoke PM2.5 concentrations by census tract.</w:t>
      </w:r>
    </w:p>
    <w:p w14:paraId="43F20857" w14:textId="77777777" w:rsidR="00BE48FE" w:rsidRDefault="00A01752" w:rsidP="00BE48FE">
      <w:pPr>
        <w:spacing w:after="0" w:line="240" w:lineRule="auto"/>
      </w:pPr>
      <w:r>
        <w:rPr>
          <w:b/>
          <w:bCs/>
        </w:rPr>
        <w:t>Flooding</w:t>
      </w:r>
    </w:p>
    <w:p w14:paraId="6B79CFDA" w14:textId="02C8A601" w:rsidR="00C864EC" w:rsidRPr="00A01752" w:rsidRDefault="00A01752">
      <w:pPr>
        <w:numPr>
          <w:ilvl w:val="0"/>
          <w:numId w:val="39"/>
        </w:numPr>
        <w:spacing w:line="240" w:lineRule="auto"/>
      </w:pPr>
      <w:hyperlink r:id="rId167" w:history="1">
        <w:r w:rsidRPr="55DEB025">
          <w:rPr>
            <w:rStyle w:val="Hyperlink"/>
          </w:rPr>
          <w:t>California Department of Water Resources Best Available Maps</w:t>
        </w:r>
        <w:r w:rsidR="1A9718DD" w:rsidRPr="55DEB025">
          <w:rPr>
            <w:rStyle w:val="Hyperlink"/>
          </w:rPr>
          <w:t>:</w:t>
        </w:r>
      </w:hyperlink>
      <w:r w:rsidRPr="55DEB025">
        <w:rPr>
          <w:rFonts w:ascii="Arial" w:hAnsi="Arial" w:cs="Arial"/>
        </w:rPr>
        <w:t> </w:t>
      </w:r>
      <w:r>
        <w:t xml:space="preserve">DWR, in coordination with FEMA and USACE, developed these statewide floodplain maps to provide a comprehensive view of existing flood exposure and vulnerability. These maps include 100-, 200-, and 500-year floodplain information and serve as a baseline resource for understanding current flood risks. While these maps do not represent climate projections, they provide valuable flood hazard information for communities with FEMA regulatory maps, DWR awareness maps, or USACE regional studies. </w:t>
      </w:r>
    </w:p>
    <w:p w14:paraId="4525A4BB" w14:textId="255822C2" w:rsidR="00E97DEA" w:rsidRPr="00A01752" w:rsidRDefault="62C382A7">
      <w:pPr>
        <w:numPr>
          <w:ilvl w:val="0"/>
          <w:numId w:val="39"/>
        </w:numPr>
        <w:spacing w:line="240" w:lineRule="auto"/>
      </w:pPr>
      <w:hyperlink r:id="rId168" w:history="1">
        <w:r w:rsidRPr="55DEB025">
          <w:rPr>
            <w:rStyle w:val="Hyperlink"/>
          </w:rPr>
          <w:t>Climate Data Viewer</w:t>
        </w:r>
      </w:hyperlink>
      <w:r w:rsidR="003000D9">
        <w:t>:</w:t>
      </w:r>
      <w:r>
        <w:t xml:space="preserve"> </w:t>
      </w:r>
      <w:r w:rsidR="003000D9">
        <w:t>Displays</w:t>
      </w:r>
      <w:r>
        <w:t xml:space="preserve"> metrics for flood developed from Cal-Adapt: Analytics Engine </w:t>
      </w:r>
      <w:r w:rsidR="00047CD9">
        <w:t>projections, including</w:t>
      </w:r>
      <w:r>
        <w:t xml:space="preserve"> annual precipitation, rainiest day of the year, days over 1” and 2” of rain, and percent precipitation on heavy rain days. </w:t>
      </w:r>
    </w:p>
    <w:p w14:paraId="22FB6C70" w14:textId="1696CD78" w:rsidR="00A01752" w:rsidRPr="00984E57" w:rsidRDefault="00A01752" w:rsidP="00CB798F">
      <w:pPr>
        <w:spacing w:before="160" w:after="0" w:line="240" w:lineRule="auto"/>
        <w:rPr>
          <w:b/>
          <w:bCs/>
        </w:rPr>
      </w:pPr>
      <w:r>
        <w:rPr>
          <w:b/>
          <w:bCs/>
        </w:rPr>
        <w:t>Sea Level Rise</w:t>
      </w:r>
    </w:p>
    <w:p w14:paraId="227BB937" w14:textId="6C395D37" w:rsidR="00A01752" w:rsidRPr="00A01752" w:rsidRDefault="00A01752">
      <w:pPr>
        <w:numPr>
          <w:ilvl w:val="0"/>
          <w:numId w:val="40"/>
        </w:numPr>
        <w:spacing w:after="0" w:line="240" w:lineRule="auto"/>
      </w:pPr>
      <w:hyperlink r:id="rId169" w:tgtFrame="_blank" w:history="1">
        <w:r>
          <w:rPr>
            <w:rStyle w:val="Hyperlink"/>
          </w:rPr>
          <w:t>California Our Coast Our Future (OCOF) Viewer:</w:t>
        </w:r>
      </w:hyperlink>
      <w:r>
        <w:t xml:space="preserve"> This dashboard shows projections for different levels of sea level rise, different storm intensities, and other scenarios.</w:t>
      </w:r>
    </w:p>
    <w:p w14:paraId="7F7D331E" w14:textId="4E39AD41" w:rsidR="00A01752" w:rsidRDefault="00A01752">
      <w:pPr>
        <w:numPr>
          <w:ilvl w:val="0"/>
          <w:numId w:val="41"/>
        </w:numPr>
        <w:spacing w:line="240" w:lineRule="auto"/>
      </w:pPr>
      <w:hyperlink r:id="rId170" w:anchor="/layer/slr/0.5/-13154474.045543376/4003922.977270838/11.388/satellite/none/0.8/2050/interHigh/noAccretion/NOS_Minor" w:tgtFrame="_blank" w:history="1">
        <w:r>
          <w:rPr>
            <w:rStyle w:val="Hyperlink"/>
          </w:rPr>
          <w:t>National Oceanic and Atmospheric Administration (NOAA) SLR Viewer:</w:t>
        </w:r>
      </w:hyperlink>
      <w:r>
        <w:t xml:space="preserve"> This map is similar to the OCOF viewer, but it covers different scenarios, including marsh migration and high tide flooding.</w:t>
      </w:r>
    </w:p>
    <w:p w14:paraId="49F02662" w14:textId="2FFF833D" w:rsidR="00BE48FE" w:rsidRPr="00BE48FE" w:rsidRDefault="00DF4E3D">
      <w:pPr>
        <w:pStyle w:val="ListParagraph"/>
        <w:numPr>
          <w:ilvl w:val="0"/>
          <w:numId w:val="41"/>
        </w:numPr>
        <w:spacing w:before="100" w:beforeAutospacing="1" w:after="100" w:afterAutospacing="1" w:line="240" w:lineRule="auto"/>
        <w:rPr>
          <w:rFonts w:eastAsia="Times New Roman" w:cs="Arial"/>
          <w:kern w:val="0"/>
          <w:szCs w:val="24"/>
          <w14:ligatures w14:val="none"/>
        </w:rPr>
      </w:pPr>
      <w:hyperlink r:id="rId171" w:history="1">
        <w:r w:rsidRPr="00586228">
          <w:rPr>
            <w:rFonts w:eastAsia="Times New Roman" w:cs="Segoe UI"/>
            <w:color w:val="0000FF"/>
            <w:kern w:val="0"/>
            <w:szCs w:val="24"/>
            <w:u w:val="single"/>
            <w14:ligatures w14:val="none"/>
          </w:rPr>
          <w:t>Adapting to Rising Tides Bay Shoreline Flood Explorer</w:t>
        </w:r>
      </w:hyperlink>
      <w:r w:rsidRPr="00586228">
        <w:rPr>
          <w:rFonts w:eastAsia="Times New Roman" w:cs="Segoe UI"/>
          <w:kern w:val="0"/>
          <w:szCs w:val="24"/>
          <w14:ligatures w14:val="none"/>
        </w:rPr>
        <w:t xml:space="preserve">: </w:t>
      </w:r>
      <w:r w:rsidR="001A4AC8">
        <w:rPr>
          <w:rFonts w:eastAsia="Times New Roman" w:cs="Segoe UI"/>
          <w:color w:val="373534"/>
          <w:kern w:val="0"/>
          <w:szCs w:val="24"/>
          <w:shd w:val="clear" w:color="auto" w:fill="FFFFFF"/>
          <w14:ligatures w14:val="none"/>
        </w:rPr>
        <w:t xml:space="preserve">BCDC developed this map to </w:t>
      </w:r>
      <w:r w:rsidRPr="00586228">
        <w:rPr>
          <w:rFonts w:eastAsia="Times New Roman" w:cs="Segoe UI"/>
          <w:color w:val="373534"/>
          <w:kern w:val="0"/>
          <w:szCs w:val="24"/>
          <w:shd w:val="clear" w:color="auto" w:fill="FFFFFF"/>
          <w14:ligatures w14:val="none"/>
        </w:rPr>
        <w:t>provide a regional-scale illustration of coastal flooding due to specific sea level rise and storm surge scenarios.</w:t>
      </w:r>
    </w:p>
    <w:p w14:paraId="659F7CCF" w14:textId="63F34D04" w:rsidR="006D1D6C" w:rsidRPr="003000D9" w:rsidRDefault="004733A1">
      <w:pPr>
        <w:pStyle w:val="ListParagraph"/>
        <w:numPr>
          <w:ilvl w:val="0"/>
          <w:numId w:val="41"/>
        </w:numPr>
        <w:spacing w:before="100" w:beforeAutospacing="1" w:after="100" w:afterAutospacing="1" w:line="240" w:lineRule="auto"/>
        <w:rPr>
          <w:rFonts w:eastAsia="Times New Roman" w:cs="Arial"/>
          <w:kern w:val="0"/>
          <w:szCs w:val="24"/>
          <w14:ligatures w14:val="none"/>
        </w:rPr>
      </w:pPr>
      <w:hyperlink r:id="rId172" w:history="1">
        <w:r>
          <w:rPr>
            <w:rStyle w:val="Hyperlink"/>
            <w:rFonts w:eastAsiaTheme="majorEastAsia" w:cs="Segoe UI"/>
            <w:szCs w:val="24"/>
          </w:rPr>
          <w:t>Regional Shoreline Adaptation Atlas</w:t>
        </w:r>
      </w:hyperlink>
      <w:r>
        <w:rPr>
          <w:rFonts w:eastAsiaTheme="majorEastAsia" w:cs="Segoe UI"/>
          <w:szCs w:val="24"/>
        </w:rPr>
        <w:t xml:space="preserve">: This tool includes region wide data on coastal flood hazards, community vulnerability, existing conditions, Strategic Regional Priorities, and nature-based adaptation suitability. </w:t>
      </w:r>
    </w:p>
    <w:p w14:paraId="4976A456" w14:textId="7DD8A94A" w:rsidR="003000D9" w:rsidRPr="005E3F4C" w:rsidRDefault="003000D9">
      <w:pPr>
        <w:pStyle w:val="ListParagraph"/>
        <w:numPr>
          <w:ilvl w:val="0"/>
          <w:numId w:val="41"/>
        </w:numPr>
        <w:spacing w:before="160" w:line="240" w:lineRule="auto"/>
        <w:rPr>
          <w:rFonts w:eastAsia="Century Gothic" w:cs="Century Gothic"/>
        </w:rPr>
      </w:pPr>
      <w:hyperlink r:id="rId173" w:history="1">
        <w:r w:rsidRPr="003000D9">
          <w:rPr>
            <w:rStyle w:val="Hyperlink"/>
            <w:rFonts w:eastAsia="Century Gothic" w:cs="Century Gothic"/>
          </w:rPr>
          <w:t>USGS</w:t>
        </w:r>
        <w:r>
          <w:rPr>
            <w:rStyle w:val="Hyperlink"/>
          </w:rPr>
          <w:t xml:space="preserve"> Hazard Exposure Reporting and Analytics (HERA) web tool</w:t>
        </w:r>
      </w:hyperlink>
      <w:r>
        <w:t>:</w:t>
      </w:r>
      <w:r w:rsidRPr="003000D9">
        <w:rPr>
          <w:rFonts w:eastAsia="Century Gothic" w:cs="Century Gothic"/>
        </w:rPr>
        <w:t xml:space="preserve"> This tool contains the same USGS </w:t>
      </w:r>
      <w:proofErr w:type="spellStart"/>
      <w:r w:rsidRPr="003000D9">
        <w:rPr>
          <w:rFonts w:eastAsia="Century Gothic" w:cs="Century Gothic"/>
        </w:rPr>
        <w:t>CoSMoS</w:t>
      </w:r>
      <w:proofErr w:type="spellEnd"/>
      <w:r w:rsidRPr="003000D9">
        <w:rPr>
          <w:rFonts w:eastAsia="Century Gothic" w:cs="Century Gothic"/>
        </w:rPr>
        <w:t xml:space="preserve"> hazard maps and scenarios as the OCOF viewer, but it provides exposure metrics for a variety of assets, summarized by community and county jurisdictions (Census Designated Place boundaries). </w:t>
      </w:r>
    </w:p>
    <w:p w14:paraId="17F8F528" w14:textId="51E85535" w:rsidR="00FD23C4" w:rsidRDefault="0004672A" w:rsidP="00FD23C4">
      <w:pPr>
        <w:spacing w:line="240" w:lineRule="auto"/>
        <w:rPr>
          <w:b/>
          <w:bCs/>
        </w:rPr>
      </w:pPr>
      <w:r w:rsidRPr="006C1DC0">
        <w:rPr>
          <w:b/>
          <w:bCs/>
        </w:rPr>
        <w:t>Drought</w:t>
      </w:r>
    </w:p>
    <w:p w14:paraId="61E9B00C" w14:textId="617265DC" w:rsidR="00BE48FE" w:rsidRDefault="001E7AA1">
      <w:pPr>
        <w:pStyle w:val="ListParagraph"/>
        <w:numPr>
          <w:ilvl w:val="0"/>
          <w:numId w:val="61"/>
        </w:numPr>
        <w:spacing w:line="240" w:lineRule="auto"/>
      </w:pPr>
      <w:hyperlink r:id="rId174" w:tgtFrame="_blank" w:history="1">
        <w:r w:rsidRPr="00586228">
          <w:rPr>
            <w:rStyle w:val="Hyperlink"/>
          </w:rPr>
          <w:t>DWR Water Shortage Vulnerability Tool</w:t>
        </w:r>
      </w:hyperlink>
      <w:r w:rsidRPr="00586228">
        <w:t>:</w:t>
      </w:r>
      <w:r w:rsidRPr="00586228">
        <w:rPr>
          <w:i/>
          <w:iCs/>
        </w:rPr>
        <w:t> </w:t>
      </w:r>
      <w:r w:rsidRPr="00586228">
        <w:t xml:space="preserve">This dashboard </w:t>
      </w:r>
      <w:r>
        <w:t xml:space="preserve">displays metrics related to water infrastructure and reported shortages. </w:t>
      </w:r>
    </w:p>
    <w:p w14:paraId="14FCBFFA" w14:textId="19EC87E0" w:rsidR="00D7065A" w:rsidRPr="0032306E" w:rsidRDefault="7BC6A744">
      <w:pPr>
        <w:pStyle w:val="ListParagraph"/>
        <w:numPr>
          <w:ilvl w:val="0"/>
          <w:numId w:val="61"/>
        </w:numPr>
        <w:spacing w:line="240" w:lineRule="auto"/>
      </w:pPr>
      <w:r>
        <w:t xml:space="preserve">LCI’s </w:t>
      </w:r>
      <w:hyperlink r:id="rId175" w:history="1">
        <w:r w:rsidRPr="55DEB025">
          <w:rPr>
            <w:rStyle w:val="Hyperlink"/>
          </w:rPr>
          <w:t>Climate Data Viewer</w:t>
        </w:r>
      </w:hyperlink>
      <w:r>
        <w:t>: The Climate Data Viewer displays metrics for drought developed from Cal-Adapt: Analytics Engine projections, including dry spell length.</w:t>
      </w:r>
    </w:p>
    <w:p w14:paraId="2C4F65E8" w14:textId="7EC1C4D9" w:rsidR="004B1719" w:rsidRDefault="00711A4B" w:rsidP="00AA1669">
      <w:pPr>
        <w:spacing w:before="160" w:line="240" w:lineRule="auto"/>
      </w:pPr>
      <w:r>
        <w:t>California’s Fifth Climate Change Assessment provides additional resources that allow users to interact with and analyze climate projections data.</w:t>
      </w:r>
      <w:r>
        <w:rPr>
          <w:rFonts w:ascii="Arial" w:hAnsi="Arial" w:cs="Arial"/>
        </w:rPr>
        <w:t> </w:t>
      </w:r>
      <w:r>
        <w:t>If the planning</w:t>
      </w:r>
      <w:r>
        <w:rPr>
          <w:rFonts w:ascii="Arial" w:hAnsi="Arial" w:cs="Arial"/>
        </w:rPr>
        <w:t> </w:t>
      </w:r>
      <w:r>
        <w:t>team has the technical capacity and</w:t>
      </w:r>
      <w:r>
        <w:rPr>
          <w:rFonts w:ascii="Arial" w:hAnsi="Arial" w:cs="Arial"/>
        </w:rPr>
        <w:t> </w:t>
      </w:r>
      <w:r>
        <w:t>would like to work</w:t>
      </w:r>
      <w:r>
        <w:rPr>
          <w:rFonts w:ascii="Arial" w:hAnsi="Arial" w:cs="Arial"/>
        </w:rPr>
        <w:t> </w:t>
      </w:r>
      <w:r>
        <w:t>directly</w:t>
      </w:r>
      <w:r>
        <w:rPr>
          <w:rFonts w:ascii="Arial" w:hAnsi="Arial" w:cs="Arial"/>
        </w:rPr>
        <w:t> </w:t>
      </w:r>
      <w:r>
        <w:t>with climate</w:t>
      </w:r>
      <w:r>
        <w:rPr>
          <w:rFonts w:ascii="Arial" w:hAnsi="Arial" w:cs="Arial"/>
        </w:rPr>
        <w:t> </w:t>
      </w:r>
      <w:r>
        <w:t xml:space="preserve">projections data, please reach out for assistance from the </w:t>
      </w:r>
      <w:hyperlink r:id="rId176" w:history="1">
        <w:r>
          <w:rPr>
            <w:rStyle w:val="Hyperlink"/>
          </w:rPr>
          <w:t>Climate Services</w:t>
        </w:r>
      </w:hyperlink>
      <w:r>
        <w:t xml:space="preserve"> team at LCI. For example, the Cal-Adapt: Analytics Engine facilitates access to climate and weather data for California and offers scientific guidance for application of these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21752" w:rsidRPr="00A21752" w14:paraId="36AB9787" w14:textId="77777777" w:rsidTr="20389150">
        <w:trPr>
          <w:trHeight w:val="576"/>
        </w:trPr>
        <w:tc>
          <w:tcPr>
            <w:tcW w:w="9360" w:type="dxa"/>
            <w:shd w:val="clear" w:color="auto" w:fill="404040" w:themeFill="text1" w:themeFillTint="BF"/>
            <w:vAlign w:val="center"/>
          </w:tcPr>
          <w:p w14:paraId="70458927" w14:textId="03CCC7CE" w:rsidR="008E0FED" w:rsidRPr="00A21752" w:rsidRDefault="008E0FED" w:rsidP="00BB5ACB">
            <w:pPr>
              <w:rPr>
                <w:color w:val="FFFFFF" w:themeColor="background1"/>
              </w:rPr>
            </w:pPr>
            <w:r>
              <w:rPr>
                <w:b/>
                <w:bCs/>
                <w:color w:val="FFFFFF" w:themeColor="background1"/>
              </w:rPr>
              <w:t>Climate Projections in California</w:t>
            </w:r>
          </w:p>
        </w:tc>
      </w:tr>
      <w:tr w:rsidR="004B1719" w:rsidRPr="00A21752" w14:paraId="3853FB43" w14:textId="77777777" w:rsidTr="004B1719">
        <w:trPr>
          <w:trHeight w:val="576"/>
        </w:trPr>
        <w:tc>
          <w:tcPr>
            <w:tcW w:w="9360" w:type="dxa"/>
            <w:shd w:val="clear" w:color="auto" w:fill="F2F2F2" w:themeFill="background1" w:themeFillShade="F2"/>
            <w:vAlign w:val="center"/>
          </w:tcPr>
          <w:p w14:paraId="3989E9E3" w14:textId="77777777" w:rsidR="004B1719" w:rsidRDefault="004B1719" w:rsidP="004B1719">
            <w:pPr>
              <w:spacing w:before="120" w:after="160"/>
            </w:pPr>
            <w:r>
              <w:t>California’s climate change projections are available for an array of greenhouse gas (GHG) emissions scenarios, climate models, and timeframes. Often, tools using climate projections data will require users to select these parameters to obtain information on projected changes.</w:t>
            </w:r>
          </w:p>
          <w:p w14:paraId="6CDEBF0B" w14:textId="5A3D83C8" w:rsidR="004B1719" w:rsidRPr="004B1719" w:rsidRDefault="004B1719" w:rsidP="004B1719">
            <w:pPr>
              <w:spacing w:before="160" w:after="160"/>
            </w:pPr>
            <w:r>
              <w:t>California’s Fifth Climate Change Assessment provides a helpful model for selecting these parameters.</w:t>
            </w:r>
            <w:r>
              <w:rPr>
                <w:rFonts w:ascii="Arial" w:hAnsi="Arial" w:cs="Arial"/>
              </w:rPr>
              <w:t> </w:t>
            </w:r>
            <w:r>
              <w:t>California</w:t>
            </w:r>
            <w:r>
              <w:rPr>
                <w:rFonts w:cs="Century Gothic"/>
              </w:rPr>
              <w:t>’</w:t>
            </w:r>
            <w:r>
              <w:t>s Fifth Climate Change Assessment</w:t>
            </w:r>
            <w:r>
              <w:rPr>
                <w:rFonts w:ascii="Arial" w:hAnsi="Arial" w:cs="Arial"/>
              </w:rPr>
              <w:t> </w:t>
            </w:r>
            <w:r>
              <w:t>assumed</w:t>
            </w:r>
            <w:r>
              <w:rPr>
                <w:rFonts w:ascii="Arial" w:hAnsi="Arial" w:cs="Arial"/>
              </w:rPr>
              <w:t> </w:t>
            </w:r>
            <w:r>
              <w:t xml:space="preserve">a range between </w:t>
            </w:r>
            <w:r>
              <w:rPr>
                <w:rFonts w:cs="Century Gothic"/>
              </w:rPr>
              <w:t>“</w:t>
            </w:r>
            <w:r>
              <w:t>intermediate</w:t>
            </w:r>
            <w:r>
              <w:rPr>
                <w:rFonts w:cs="Century Gothic"/>
              </w:rPr>
              <w:t>”</w:t>
            </w:r>
            <w:r>
              <w:t xml:space="preserve">- to- </w:t>
            </w:r>
            <w:r>
              <w:rPr>
                <w:rFonts w:cs="Century Gothic"/>
              </w:rPr>
              <w:t>“</w:t>
            </w:r>
            <w:r>
              <w:t>high</w:t>
            </w:r>
            <w:r>
              <w:rPr>
                <w:rFonts w:cs="Century Gothic"/>
              </w:rPr>
              <w:t>”</w:t>
            </w:r>
            <w:r>
              <w:t xml:space="preserve"> GHG emissions in the near term (SSP2-4.5 and SSP3-7.0, respectively) to most accurately assess</w:t>
            </w:r>
            <w:r>
              <w:rPr>
                <w:rFonts w:ascii="Arial" w:hAnsi="Arial" w:cs="Arial"/>
              </w:rPr>
              <w:t> </w:t>
            </w:r>
            <w:r>
              <w:t>the</w:t>
            </w:r>
            <w:r>
              <w:rPr>
                <w:rFonts w:ascii="Arial" w:hAnsi="Arial" w:cs="Arial"/>
              </w:rPr>
              <w:t> </w:t>
            </w:r>
            <w:r>
              <w:t>climate impacts California will face through the end of this century</w:t>
            </w:r>
            <w:r>
              <w:rPr>
                <w:rFonts w:ascii="Arial" w:hAnsi="Arial" w:cs="Arial"/>
              </w:rPr>
              <w:t> </w:t>
            </w:r>
            <w:r>
              <w:t>with a focus on SSP3-7.0.</w:t>
            </w:r>
            <w:r>
              <w:rPr>
                <w:rFonts w:ascii="Arial" w:hAnsi="Arial" w:cs="Arial"/>
              </w:rPr>
              <w:t> </w:t>
            </w:r>
            <w:r>
              <w:t>The Assessment used the</w:t>
            </w:r>
            <w:r>
              <w:rPr>
                <w:rFonts w:ascii="Arial" w:hAnsi="Arial" w:cs="Arial"/>
              </w:rPr>
              <w:t> </w:t>
            </w:r>
            <w:r>
              <w:rPr>
                <w:rFonts w:cs="Century Gothic"/>
              </w:rPr>
              <w:t>“</w:t>
            </w:r>
            <w:r>
              <w:t>very high</w:t>
            </w:r>
            <w:r>
              <w:rPr>
                <w:rFonts w:cs="Century Gothic"/>
              </w:rPr>
              <w:t>”</w:t>
            </w:r>
            <w:r>
              <w:t xml:space="preserve"> GHG emission scenario (SSP5-8.5) as a worst-case scenario to guide the most aggressive adaptation planning.</w:t>
            </w:r>
          </w:p>
        </w:tc>
      </w:tr>
      <w:tr w:rsidR="008E0FED" w14:paraId="2131DBDD" w14:textId="77777777" w:rsidTr="004B1719">
        <w:trPr>
          <w:trHeight w:val="3860"/>
        </w:trPr>
        <w:tc>
          <w:tcPr>
            <w:tcW w:w="9360" w:type="dxa"/>
            <w:shd w:val="clear" w:color="auto" w:fill="F2F2F2" w:themeFill="background1" w:themeFillShade="F2"/>
          </w:tcPr>
          <w:p w14:paraId="568F6EF6" w14:textId="207F8467" w:rsidR="008E0FED" w:rsidRDefault="00E3717E" w:rsidP="00BB5ACB">
            <w:pPr>
              <w:rPr>
                <w:b/>
                <w:bCs/>
              </w:rPr>
            </w:pPr>
            <w:bookmarkStart w:id="99" w:name="_Ref230961150"/>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5</w:t>
            </w:r>
            <w:r>
              <w:rPr>
                <w:b/>
                <w:bCs/>
              </w:rPr>
              <w:fldChar w:fldCharType="end"/>
            </w:r>
            <w:bookmarkEnd w:id="99"/>
            <w:r>
              <w:rPr>
                <w:b/>
                <w:bCs/>
              </w:rPr>
              <w:t>. Three of the common greenhouse gas trajectory scenarios hosted on the Analytics Engine</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Definitions, Descriptions, and Outcomes of 3 different SSP greenhouse gas emissions trajectories"/>
            </w:tblPr>
            <w:tblGrid>
              <w:gridCol w:w="1506"/>
              <w:gridCol w:w="3069"/>
              <w:gridCol w:w="3157"/>
              <w:gridCol w:w="1386"/>
            </w:tblGrid>
            <w:tr w:rsidR="008E0FED" w:rsidRPr="00A01752" w14:paraId="0E8A0099" w14:textId="77777777" w:rsidTr="007107AC">
              <w:trPr>
                <w:trHeight w:val="300"/>
              </w:trPr>
              <w:tc>
                <w:tcPr>
                  <w:tcW w:w="1506" w:type="dxa"/>
                  <w:shd w:val="clear" w:color="auto" w:fill="000000" w:themeFill="text1"/>
                  <w:vAlign w:val="center"/>
                  <w:hideMark/>
                </w:tcPr>
                <w:p w14:paraId="4D6344DE" w14:textId="2E643E37" w:rsidR="008E0FED" w:rsidRPr="00984E57" w:rsidRDefault="008E0FED" w:rsidP="00BB5ACB">
                  <w:pPr>
                    <w:spacing w:after="0" w:line="240" w:lineRule="auto"/>
                    <w:jc w:val="center"/>
                  </w:pPr>
                  <w:r>
                    <w:rPr>
                      <w:b/>
                      <w:bCs/>
                    </w:rPr>
                    <w:t>EMISSIONS TRAJECTORY</w:t>
                  </w:r>
                </w:p>
              </w:tc>
              <w:tc>
                <w:tcPr>
                  <w:tcW w:w="3069" w:type="dxa"/>
                  <w:shd w:val="clear" w:color="auto" w:fill="000000" w:themeFill="text1"/>
                  <w:vAlign w:val="center"/>
                  <w:hideMark/>
                </w:tcPr>
                <w:p w14:paraId="7455D2C9" w14:textId="77777777" w:rsidR="008E0FED" w:rsidRPr="00984E57" w:rsidRDefault="008E0FED" w:rsidP="00BB5ACB">
                  <w:pPr>
                    <w:spacing w:after="0" w:line="240" w:lineRule="auto"/>
                    <w:jc w:val="center"/>
                  </w:pPr>
                  <w:r>
                    <w:rPr>
                      <w:b/>
                      <w:bCs/>
                    </w:rPr>
                    <w:t>DEFINITION</w:t>
                  </w:r>
                </w:p>
              </w:tc>
              <w:tc>
                <w:tcPr>
                  <w:tcW w:w="3157" w:type="dxa"/>
                  <w:shd w:val="clear" w:color="auto" w:fill="000000" w:themeFill="text1"/>
                  <w:vAlign w:val="center"/>
                  <w:hideMark/>
                </w:tcPr>
                <w:p w14:paraId="1B845691" w14:textId="77777777" w:rsidR="008E0FED" w:rsidRPr="00984E57" w:rsidRDefault="008E0FED" w:rsidP="00BB5ACB">
                  <w:pPr>
                    <w:spacing w:after="0" w:line="240" w:lineRule="auto"/>
                    <w:jc w:val="center"/>
                  </w:pPr>
                  <w:r>
                    <w:rPr>
                      <w:b/>
                      <w:bCs/>
                    </w:rPr>
                    <w:t>DESCRIPTION</w:t>
                  </w:r>
                </w:p>
              </w:tc>
              <w:tc>
                <w:tcPr>
                  <w:tcW w:w="1386" w:type="dxa"/>
                  <w:shd w:val="clear" w:color="auto" w:fill="000000" w:themeFill="text1"/>
                  <w:vAlign w:val="center"/>
                  <w:hideMark/>
                </w:tcPr>
                <w:p w14:paraId="3EF9C1BB" w14:textId="77777777" w:rsidR="008E0FED" w:rsidRPr="00984E57" w:rsidRDefault="008E0FED" w:rsidP="00BB5ACB">
                  <w:pPr>
                    <w:spacing w:after="0" w:line="240" w:lineRule="auto"/>
                    <w:jc w:val="center"/>
                  </w:pPr>
                  <w:r>
                    <w:rPr>
                      <w:b/>
                      <w:bCs/>
                    </w:rPr>
                    <w:t>OUTCOME</w:t>
                  </w:r>
                </w:p>
              </w:tc>
            </w:tr>
            <w:tr w:rsidR="008E0FED" w:rsidRPr="00A01752" w14:paraId="29AFB48A" w14:textId="77777777" w:rsidTr="007107AC">
              <w:trPr>
                <w:trHeight w:val="300"/>
              </w:trPr>
              <w:tc>
                <w:tcPr>
                  <w:tcW w:w="1506" w:type="dxa"/>
                  <w:shd w:val="clear" w:color="auto" w:fill="FFFFFF" w:themeFill="background1"/>
                  <w:vAlign w:val="center"/>
                  <w:hideMark/>
                </w:tcPr>
                <w:p w14:paraId="5F45A301" w14:textId="77777777" w:rsidR="008E0FED" w:rsidRPr="00984E57" w:rsidRDefault="008E0FED" w:rsidP="00BB5ACB">
                  <w:pPr>
                    <w:spacing w:after="0" w:line="240" w:lineRule="auto"/>
                    <w:jc w:val="center"/>
                  </w:pPr>
                  <w:r>
                    <w:t>SSP2-4.5</w:t>
                  </w:r>
                </w:p>
              </w:tc>
              <w:tc>
                <w:tcPr>
                  <w:tcW w:w="3069" w:type="dxa"/>
                  <w:shd w:val="clear" w:color="auto" w:fill="FFFFFF" w:themeFill="background1"/>
                  <w:vAlign w:val="center"/>
                  <w:hideMark/>
                </w:tcPr>
                <w:p w14:paraId="0D8B4AC3" w14:textId="3F324A33" w:rsidR="008E0FED" w:rsidRPr="00984E57" w:rsidRDefault="008E0FED" w:rsidP="00BB5ACB">
                  <w:pPr>
                    <w:spacing w:after="0" w:line="240" w:lineRule="auto"/>
                    <w:ind w:left="93" w:right="46"/>
                  </w:pPr>
                  <w:r>
                    <w:t>4.5 watts per meter squared of radiative forcing in the year 2100</w:t>
                  </w:r>
                </w:p>
              </w:tc>
              <w:tc>
                <w:tcPr>
                  <w:tcW w:w="3157" w:type="dxa"/>
                  <w:shd w:val="clear" w:color="auto" w:fill="FFFFFF" w:themeFill="background1"/>
                  <w:vAlign w:val="center"/>
                  <w:hideMark/>
                </w:tcPr>
                <w:p w14:paraId="33BFD5CF" w14:textId="3CBC4EC4" w:rsidR="008E0FED" w:rsidRPr="00984E57" w:rsidRDefault="008E0FED" w:rsidP="00BB5ACB">
                  <w:pPr>
                    <w:spacing w:after="0" w:line="240" w:lineRule="auto"/>
                    <w:ind w:left="30" w:right="61"/>
                  </w:pPr>
                  <w:r>
                    <w:t>Emissions continue at present levels to mid-century and then decline</w:t>
                  </w:r>
                </w:p>
              </w:tc>
              <w:tc>
                <w:tcPr>
                  <w:tcW w:w="1386" w:type="dxa"/>
                  <w:shd w:val="clear" w:color="auto" w:fill="FFFFFF" w:themeFill="background1"/>
                  <w:vAlign w:val="center"/>
                  <w:hideMark/>
                </w:tcPr>
                <w:p w14:paraId="617A3E2A" w14:textId="20CB5A84" w:rsidR="008E0FED" w:rsidRPr="00984E57" w:rsidRDefault="008E0FED" w:rsidP="00D91E88">
                  <w:pPr>
                    <w:spacing w:after="0" w:line="240" w:lineRule="auto"/>
                    <w:ind w:left="33" w:right="85"/>
                  </w:pPr>
                  <w:r>
                    <w:t>2.7°C warmer at end of century</w:t>
                  </w:r>
                </w:p>
              </w:tc>
            </w:tr>
            <w:tr w:rsidR="008E0FED" w:rsidRPr="00A01752" w14:paraId="3CF6A55C" w14:textId="77777777" w:rsidTr="007107AC">
              <w:trPr>
                <w:trHeight w:val="300"/>
              </w:trPr>
              <w:tc>
                <w:tcPr>
                  <w:tcW w:w="1506" w:type="dxa"/>
                  <w:shd w:val="clear" w:color="auto" w:fill="D9D9D9" w:themeFill="background1" w:themeFillShade="D9"/>
                  <w:vAlign w:val="center"/>
                  <w:hideMark/>
                </w:tcPr>
                <w:p w14:paraId="54ADDF75" w14:textId="77777777" w:rsidR="008E0FED" w:rsidRPr="00984E57" w:rsidRDefault="008E0FED" w:rsidP="00BB5ACB">
                  <w:pPr>
                    <w:spacing w:after="0" w:line="240" w:lineRule="auto"/>
                    <w:jc w:val="center"/>
                  </w:pPr>
                  <w:r>
                    <w:t>SSP3-7.0</w:t>
                  </w:r>
                </w:p>
              </w:tc>
              <w:tc>
                <w:tcPr>
                  <w:tcW w:w="3069" w:type="dxa"/>
                  <w:shd w:val="clear" w:color="auto" w:fill="D9D9D9" w:themeFill="background1" w:themeFillShade="D9"/>
                  <w:vAlign w:val="center"/>
                  <w:hideMark/>
                </w:tcPr>
                <w:p w14:paraId="2D6276BA" w14:textId="703E044F" w:rsidR="008E0FED" w:rsidRPr="00984E57" w:rsidRDefault="008E0FED" w:rsidP="00BB5ACB">
                  <w:pPr>
                    <w:spacing w:after="0" w:line="240" w:lineRule="auto"/>
                    <w:ind w:left="93" w:right="46"/>
                  </w:pPr>
                  <w:r>
                    <w:t>7.0 watts per meter squared of radiative forcing by the year 2100</w:t>
                  </w:r>
                </w:p>
              </w:tc>
              <w:tc>
                <w:tcPr>
                  <w:tcW w:w="3157" w:type="dxa"/>
                  <w:shd w:val="clear" w:color="auto" w:fill="D9D9D9" w:themeFill="background1" w:themeFillShade="D9"/>
                  <w:vAlign w:val="center"/>
                  <w:hideMark/>
                </w:tcPr>
                <w:p w14:paraId="357194A3" w14:textId="67EEB996" w:rsidR="008E0FED" w:rsidRPr="00984E57" w:rsidRDefault="008E0FED" w:rsidP="00BB5ACB">
                  <w:pPr>
                    <w:spacing w:after="0" w:line="240" w:lineRule="auto"/>
                    <w:ind w:left="30" w:right="61"/>
                  </w:pPr>
                  <w:r>
                    <w:t>Emissions roughly double from current levels by 2100</w:t>
                  </w:r>
                </w:p>
              </w:tc>
              <w:tc>
                <w:tcPr>
                  <w:tcW w:w="1386" w:type="dxa"/>
                  <w:shd w:val="clear" w:color="auto" w:fill="D9D9D9" w:themeFill="background1" w:themeFillShade="D9"/>
                  <w:vAlign w:val="center"/>
                  <w:hideMark/>
                </w:tcPr>
                <w:p w14:paraId="61600D9A" w14:textId="2E890DE3" w:rsidR="008E0FED" w:rsidRPr="00984E57" w:rsidRDefault="008E0FED" w:rsidP="00D91E88">
                  <w:pPr>
                    <w:spacing w:after="0" w:line="240" w:lineRule="auto"/>
                    <w:ind w:left="33" w:right="85"/>
                  </w:pPr>
                  <w:r>
                    <w:t>3.6°C warmer at end of century</w:t>
                  </w:r>
                </w:p>
              </w:tc>
            </w:tr>
            <w:tr w:rsidR="008E0FED" w:rsidRPr="00A01752" w14:paraId="7639E1BB" w14:textId="77777777" w:rsidTr="007107AC">
              <w:trPr>
                <w:trHeight w:val="300"/>
              </w:trPr>
              <w:tc>
                <w:tcPr>
                  <w:tcW w:w="1506" w:type="dxa"/>
                  <w:shd w:val="clear" w:color="auto" w:fill="FFFFFF" w:themeFill="background1"/>
                  <w:vAlign w:val="center"/>
                  <w:hideMark/>
                </w:tcPr>
                <w:p w14:paraId="5D32A126" w14:textId="77777777" w:rsidR="008E0FED" w:rsidRPr="00984E57" w:rsidRDefault="008E0FED" w:rsidP="00BB5ACB">
                  <w:pPr>
                    <w:spacing w:after="0" w:line="240" w:lineRule="auto"/>
                    <w:jc w:val="center"/>
                  </w:pPr>
                  <w:r>
                    <w:t>SSP5-8.5</w:t>
                  </w:r>
                </w:p>
              </w:tc>
              <w:tc>
                <w:tcPr>
                  <w:tcW w:w="3069" w:type="dxa"/>
                  <w:shd w:val="clear" w:color="auto" w:fill="FFFFFF" w:themeFill="background1"/>
                  <w:vAlign w:val="center"/>
                  <w:hideMark/>
                </w:tcPr>
                <w:p w14:paraId="7A5D09C4" w14:textId="785234C9" w:rsidR="008E0FED" w:rsidRPr="00984E57" w:rsidRDefault="008E0FED" w:rsidP="00BB5ACB">
                  <w:pPr>
                    <w:spacing w:after="0" w:line="240" w:lineRule="auto"/>
                    <w:ind w:left="93" w:right="46"/>
                  </w:pPr>
                  <w:r>
                    <w:t>8.5 watts per meter squared of radiative forcing by the year 2100</w:t>
                  </w:r>
                </w:p>
              </w:tc>
              <w:tc>
                <w:tcPr>
                  <w:tcW w:w="3157" w:type="dxa"/>
                  <w:shd w:val="clear" w:color="auto" w:fill="FFFFFF" w:themeFill="background1"/>
                  <w:vAlign w:val="center"/>
                  <w:hideMark/>
                </w:tcPr>
                <w:p w14:paraId="5E4C91AC" w14:textId="050502D4" w:rsidR="008E0FED" w:rsidRPr="00984E57" w:rsidRDefault="008E0FED" w:rsidP="00BB5ACB">
                  <w:pPr>
                    <w:spacing w:after="0" w:line="240" w:lineRule="auto"/>
                    <w:ind w:left="30" w:right="61"/>
                  </w:pPr>
                  <w:r>
                    <w:t>Emissions roughly double from current levels by 2050</w:t>
                  </w:r>
                </w:p>
              </w:tc>
              <w:tc>
                <w:tcPr>
                  <w:tcW w:w="1386" w:type="dxa"/>
                  <w:shd w:val="clear" w:color="auto" w:fill="FFFFFF" w:themeFill="background1"/>
                  <w:vAlign w:val="center"/>
                  <w:hideMark/>
                </w:tcPr>
                <w:p w14:paraId="3A7D5BDC" w14:textId="5419BECE" w:rsidR="008E0FED" w:rsidRPr="00984E57" w:rsidRDefault="008E0FED" w:rsidP="00D91E88">
                  <w:pPr>
                    <w:spacing w:after="0" w:line="240" w:lineRule="auto"/>
                    <w:ind w:left="33" w:right="85"/>
                  </w:pPr>
                  <w:r>
                    <w:t>4.4°C warmer at end of century</w:t>
                  </w:r>
                </w:p>
              </w:tc>
            </w:tr>
          </w:tbl>
          <w:p w14:paraId="6FE0E158" w14:textId="077A6429" w:rsidR="00A21752" w:rsidRDefault="00A21752" w:rsidP="00243891">
            <w:pPr>
              <w:spacing w:before="160" w:after="120"/>
            </w:pPr>
            <w:r>
              <w:t>California’s Fifth Climate Change Assessment</w:t>
            </w:r>
            <w:r>
              <w:rPr>
                <w:rFonts w:ascii="Arial" w:hAnsi="Arial" w:cs="Arial"/>
              </w:rPr>
              <w:t> </w:t>
            </w:r>
            <w:r>
              <w:t>used</w:t>
            </w:r>
            <w:r>
              <w:rPr>
                <w:rFonts w:ascii="Arial" w:hAnsi="Arial" w:cs="Arial"/>
              </w:rPr>
              <w:t> </w:t>
            </w:r>
            <w:r>
              <w:t>30-year</w:t>
            </w:r>
            <w:r>
              <w:rPr>
                <w:rFonts w:cs="Century Gothic"/>
              </w:rPr>
              <w:t xml:space="preserve"> </w:t>
            </w:r>
            <w:r>
              <w:t>time frames</w:t>
            </w:r>
            <w:r>
              <w:rPr>
                <w:rFonts w:ascii="Arial" w:hAnsi="Arial" w:cs="Arial"/>
              </w:rPr>
              <w:t> </w:t>
            </w:r>
            <w:r>
              <w:t xml:space="preserve">for analyses of climate projections, as shown in </w:t>
            </w:r>
            <w:r>
              <w:rPr>
                <w:u w:val="single"/>
              </w:rPr>
              <w:fldChar w:fldCharType="begin"/>
            </w:r>
            <w:r>
              <w:rPr>
                <w:u w:val="single"/>
              </w:rPr>
              <w:instrText xml:space="preserve"> REF _Ref230961241 \h  \* MERGEFORMAT </w:instrText>
            </w:r>
            <w:r>
              <w:rPr>
                <w:u w:val="single"/>
              </w:rPr>
            </w:r>
            <w:r>
              <w:rPr>
                <w:u w:val="single"/>
              </w:rPr>
              <w:fldChar w:fldCharType="separate"/>
            </w:r>
            <w:r w:rsidR="00517691" w:rsidRPr="00517691">
              <w:rPr>
                <w:u w:val="single"/>
              </w:rPr>
              <w:t xml:space="preserve">Table </w:t>
            </w:r>
            <w:r w:rsidR="00517691" w:rsidRPr="00517691">
              <w:rPr>
                <w:noProof/>
                <w:u w:val="single"/>
              </w:rPr>
              <w:t>6</w:t>
            </w:r>
            <w:r>
              <w:rPr>
                <w:u w:val="single"/>
              </w:rPr>
              <w:fldChar w:fldCharType="end"/>
            </w:r>
            <w:r>
              <w:rPr>
                <w:u w:val="single"/>
              </w:rPr>
              <w:fldChar w:fldCharType="begin"/>
            </w:r>
            <w:r>
              <w:rPr>
                <w:u w:val="single"/>
              </w:rPr>
              <w:instrText xml:space="preserve"> REF _Ref230961150 \h  \* MERGEFORMAT </w:instrText>
            </w:r>
            <w:r>
              <w:rPr>
                <w:u w:val="single"/>
              </w:rPr>
            </w:r>
            <w:r>
              <w:rPr>
                <w:u w:val="single"/>
              </w:rPr>
              <w:fldChar w:fldCharType="separate"/>
            </w:r>
            <w:r w:rsidR="00517691">
              <w:rPr>
                <w:b/>
                <w:bCs/>
              </w:rPr>
              <w:t xml:space="preserve">Table </w:t>
            </w:r>
            <w:r w:rsidR="00517691">
              <w:rPr>
                <w:b/>
                <w:bCs/>
                <w:noProof/>
              </w:rPr>
              <w:t>5</w:t>
            </w:r>
            <w:r>
              <w:rPr>
                <w:u w:val="single"/>
              </w:rPr>
              <w:fldChar w:fldCharType="end"/>
            </w:r>
            <w:r>
              <w:t>.</w:t>
            </w:r>
            <w:r>
              <w:rPr>
                <w:rFonts w:ascii="Arial" w:hAnsi="Arial" w:cs="Arial"/>
              </w:rPr>
              <w:t> </w:t>
            </w:r>
            <w:r>
              <w:t>The Assessment</w:t>
            </w:r>
            <w:r>
              <w:rPr>
                <w:rFonts w:ascii="Arial" w:hAnsi="Arial" w:cs="Arial"/>
              </w:rPr>
              <w:t> </w:t>
            </w:r>
            <w:r>
              <w:t>focused on the</w:t>
            </w:r>
            <w:r>
              <w:rPr>
                <w:rFonts w:ascii="Arial" w:hAnsi="Arial" w:cs="Arial"/>
              </w:rPr>
              <w:t> </w:t>
            </w:r>
            <w:r>
              <w:t>mid-century</w:t>
            </w:r>
            <w:r>
              <w:rPr>
                <w:rFonts w:ascii="Arial" w:hAnsi="Arial" w:cs="Arial"/>
              </w:rPr>
              <w:t> </w:t>
            </w:r>
            <w:r>
              <w:t>time frame</w:t>
            </w:r>
            <w:r>
              <w:rPr>
                <w:rFonts w:ascii="Arial" w:hAnsi="Arial" w:cs="Arial"/>
              </w:rPr>
              <w:t> </w:t>
            </w:r>
            <w:r>
              <w:t>to</w:t>
            </w:r>
            <w:r>
              <w:rPr>
                <w:rFonts w:ascii="Arial" w:hAnsi="Arial" w:cs="Arial"/>
              </w:rPr>
              <w:t> </w:t>
            </w:r>
            <w:r>
              <w:t>determine</w:t>
            </w:r>
            <w:r>
              <w:rPr>
                <w:rFonts w:cs="Century Gothic"/>
              </w:rPr>
              <w:t xml:space="preserve"> </w:t>
            </w:r>
            <w:r>
              <w:t>near-term projections, and time series from the historical period through 2100 to illustrate variability and changes across the 21st Century. While mid-century projections are commonly used for adaptation planning, some communities may choose to evaluate late-century conditions (through 2100) depending on their planning goals, asset lifespans, and desired level of long-term resilience. It is important to note that the “mid-century” timeframe used in many tools extends through 2070 (or, in some cases, 2074), rather than representing only the year 2050. Communities should select timeframes that align with their adaptation goals and the lifespan of the systems or assets being considered.</w:t>
            </w:r>
          </w:p>
        </w:tc>
      </w:tr>
      <w:tr w:rsidR="00243891" w14:paraId="22F4BFF8" w14:textId="77777777" w:rsidTr="004B1719">
        <w:trPr>
          <w:trHeight w:val="620"/>
        </w:trPr>
        <w:tc>
          <w:tcPr>
            <w:tcW w:w="9360" w:type="dxa"/>
            <w:shd w:val="clear" w:color="auto" w:fill="F2F2F2" w:themeFill="background1" w:themeFillShade="F2"/>
          </w:tcPr>
          <w:p w14:paraId="4041D145" w14:textId="650D4049" w:rsidR="00243891" w:rsidRPr="00A60D1A" w:rsidRDefault="00243891" w:rsidP="00243891">
            <w:pPr>
              <w:spacing w:before="120"/>
              <w:rPr>
                <w:b/>
                <w:bCs/>
              </w:rPr>
            </w:pPr>
            <w:bookmarkStart w:id="100" w:name="_Ref230961241"/>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6</w:t>
            </w:r>
            <w:r>
              <w:rPr>
                <w:b/>
                <w:bCs/>
              </w:rPr>
              <w:fldChar w:fldCharType="end"/>
            </w:r>
            <w:bookmarkEnd w:id="100"/>
            <w:r>
              <w:rPr>
                <w:b/>
                <w:bCs/>
              </w:rPr>
              <w:t>. Timeframes used by California’s Fifth Climate Change Assessment</w:t>
            </w:r>
          </w:p>
          <w:tbl>
            <w:tblPr>
              <w:tblW w:w="7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How California's Fifth Climate Change Assessment quantifies historical, mid-century, and late-century"/>
            </w:tblPr>
            <w:tblGrid>
              <w:gridCol w:w="3690"/>
              <w:gridCol w:w="3690"/>
            </w:tblGrid>
            <w:tr w:rsidR="00243891" w:rsidRPr="00A01752" w14:paraId="426ECA34" w14:textId="77777777" w:rsidTr="007107AC">
              <w:trPr>
                <w:trHeight w:val="300"/>
              </w:trPr>
              <w:tc>
                <w:tcPr>
                  <w:tcW w:w="369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38062087" w14:textId="77777777" w:rsidR="00243891" w:rsidRPr="00984E57" w:rsidRDefault="00243891" w:rsidP="00243891">
                  <w:pPr>
                    <w:spacing w:after="0" w:line="240" w:lineRule="auto"/>
                    <w:jc w:val="center"/>
                  </w:pPr>
                  <w:r>
                    <w:rPr>
                      <w:b/>
                      <w:bCs/>
                    </w:rPr>
                    <w:t>Descriptive Term</w:t>
                  </w:r>
                  <w:r>
                    <w:rPr>
                      <w:rFonts w:ascii="Arial" w:hAnsi="Arial" w:cs="Arial"/>
                      <w:b/>
                      <w:bCs/>
                    </w:rPr>
                    <w:t> </w:t>
                  </w:r>
                </w:p>
              </w:tc>
              <w:tc>
                <w:tcPr>
                  <w:tcW w:w="369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5E1ABA6D" w14:textId="77777777" w:rsidR="00243891" w:rsidRPr="00984E57" w:rsidRDefault="00243891" w:rsidP="00243891">
                  <w:pPr>
                    <w:spacing w:after="0" w:line="240" w:lineRule="auto"/>
                    <w:jc w:val="center"/>
                  </w:pPr>
                  <w:r>
                    <w:rPr>
                      <w:b/>
                      <w:bCs/>
                    </w:rPr>
                    <w:t>Time Range</w:t>
                  </w:r>
                  <w:r>
                    <w:rPr>
                      <w:rFonts w:ascii="Arial" w:hAnsi="Arial" w:cs="Arial"/>
                      <w:b/>
                      <w:bCs/>
                    </w:rPr>
                    <w:t> </w:t>
                  </w:r>
                </w:p>
              </w:tc>
            </w:tr>
            <w:tr w:rsidR="00243891" w:rsidRPr="00A01752" w14:paraId="5AA72A83" w14:textId="77777777" w:rsidTr="007107AC">
              <w:trPr>
                <w:trHeight w:val="300"/>
              </w:trPr>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50083B" w14:textId="77777777" w:rsidR="00243891" w:rsidRPr="00984E57" w:rsidRDefault="00243891" w:rsidP="00243891">
                  <w:pPr>
                    <w:spacing w:after="0" w:line="240" w:lineRule="auto"/>
                    <w:jc w:val="center"/>
                  </w:pPr>
                  <w:r>
                    <w:t>Historical</w:t>
                  </w:r>
                  <w:r>
                    <w:rPr>
                      <w:rFonts w:ascii="Arial" w:hAnsi="Arial" w:cs="Arial"/>
                    </w:rPr>
                    <w:t> </w:t>
                  </w:r>
                </w:p>
              </w:tc>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588305" w14:textId="77777777" w:rsidR="00243891" w:rsidRPr="00984E57" w:rsidRDefault="00243891" w:rsidP="00243891">
                  <w:pPr>
                    <w:spacing w:after="0" w:line="240" w:lineRule="auto"/>
                    <w:jc w:val="center"/>
                  </w:pPr>
                  <w:r>
                    <w:t>1981-2010</w:t>
                  </w:r>
                  <w:r>
                    <w:rPr>
                      <w:rFonts w:ascii="Arial" w:hAnsi="Arial" w:cs="Arial"/>
                    </w:rPr>
                    <w:t> </w:t>
                  </w:r>
                </w:p>
              </w:tc>
            </w:tr>
            <w:tr w:rsidR="00243891" w:rsidRPr="00A01752" w14:paraId="257ABE42" w14:textId="77777777" w:rsidTr="007107AC">
              <w:trPr>
                <w:trHeight w:val="300"/>
              </w:trPr>
              <w:tc>
                <w:tcPr>
                  <w:tcW w:w="36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A16B94E" w14:textId="77777777" w:rsidR="00243891" w:rsidRPr="00984E57" w:rsidRDefault="00243891" w:rsidP="00243891">
                  <w:pPr>
                    <w:spacing w:after="0" w:line="240" w:lineRule="auto"/>
                    <w:jc w:val="center"/>
                  </w:pPr>
                  <w:r>
                    <w:t>Mid-Century</w:t>
                  </w:r>
                  <w:r>
                    <w:rPr>
                      <w:rFonts w:ascii="Arial" w:hAnsi="Arial" w:cs="Arial"/>
                    </w:rPr>
                    <w:t> </w:t>
                  </w:r>
                </w:p>
              </w:tc>
              <w:tc>
                <w:tcPr>
                  <w:tcW w:w="36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4CFDDBF" w14:textId="77777777" w:rsidR="00243891" w:rsidRPr="00984E57" w:rsidRDefault="00243891" w:rsidP="00243891">
                  <w:pPr>
                    <w:spacing w:after="0" w:line="240" w:lineRule="auto"/>
                    <w:jc w:val="center"/>
                  </w:pPr>
                  <w:r>
                    <w:t>2041-2070</w:t>
                  </w:r>
                  <w:r>
                    <w:rPr>
                      <w:rFonts w:ascii="Arial" w:hAnsi="Arial" w:cs="Arial"/>
                    </w:rPr>
                    <w:t> </w:t>
                  </w:r>
                </w:p>
              </w:tc>
            </w:tr>
            <w:tr w:rsidR="00243891" w:rsidRPr="00A01752" w14:paraId="1851BBFD" w14:textId="77777777" w:rsidTr="007107AC">
              <w:trPr>
                <w:trHeight w:val="300"/>
              </w:trPr>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1A398" w14:textId="77777777" w:rsidR="00243891" w:rsidRPr="00984E57" w:rsidRDefault="00243891" w:rsidP="00243891">
                  <w:pPr>
                    <w:spacing w:after="0" w:line="240" w:lineRule="auto"/>
                    <w:jc w:val="center"/>
                  </w:pPr>
                  <w:r>
                    <w:t>Late-Century</w:t>
                  </w:r>
                  <w:r>
                    <w:rPr>
                      <w:rFonts w:ascii="Arial" w:hAnsi="Arial" w:cs="Arial"/>
                    </w:rPr>
                    <w:t> </w:t>
                  </w:r>
                </w:p>
              </w:tc>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DF236" w14:textId="77777777" w:rsidR="00243891" w:rsidRPr="00984E57" w:rsidRDefault="00243891" w:rsidP="00243891">
                  <w:pPr>
                    <w:spacing w:after="0" w:line="240" w:lineRule="auto"/>
                    <w:jc w:val="center"/>
                  </w:pPr>
                  <w:r>
                    <w:t>2071-2100</w:t>
                  </w:r>
                  <w:r>
                    <w:rPr>
                      <w:rFonts w:ascii="Arial" w:hAnsi="Arial" w:cs="Arial"/>
                    </w:rPr>
                    <w:t> </w:t>
                  </w:r>
                </w:p>
              </w:tc>
            </w:tr>
          </w:tbl>
          <w:p w14:paraId="0641BCCD" w14:textId="758575B5" w:rsidR="00243891" w:rsidRPr="00984E57" w:rsidRDefault="00243891" w:rsidP="00243891">
            <w:pPr>
              <w:spacing w:before="160" w:after="120"/>
            </w:pPr>
          </w:p>
        </w:tc>
      </w:tr>
      <w:tr w:rsidR="004B1719" w14:paraId="52F185F3" w14:textId="77777777" w:rsidTr="004B1719">
        <w:trPr>
          <w:trHeight w:val="2510"/>
        </w:trPr>
        <w:tc>
          <w:tcPr>
            <w:tcW w:w="9360" w:type="dxa"/>
            <w:shd w:val="clear" w:color="auto" w:fill="F2F2F2" w:themeFill="background1" w:themeFillShade="F2"/>
          </w:tcPr>
          <w:p w14:paraId="52A65AAD" w14:textId="1C018AEE" w:rsidR="004B1719" w:rsidRDefault="004B1719" w:rsidP="00243891">
            <w:pPr>
              <w:spacing w:before="120"/>
              <w:rPr>
                <w:b/>
                <w:bCs/>
              </w:rPr>
            </w:pPr>
            <w:r>
              <w:rPr>
                <w:rFonts w:ascii="Arial" w:hAnsi="Arial" w:cs="Arial"/>
              </w:rPr>
              <w:t> </w:t>
            </w:r>
            <w:r>
              <w:t>The high-resolution climate projections data available for California were developed for a range of global climate models (GCMs). Multiple GCM projections should be considered in assessing climate changes and impacts. One helpful way to get started with analyzing downscaled climate projections is to use the California Fifth Climate Change Assessment’s General Use Projections. The General Use Projections are single ensemble members of SSP3-7.0 projections of five GCMs that were selected as an entry point into climate data utilization to reduce the barrier of working with the full suite of data.</w:t>
            </w:r>
          </w:p>
        </w:tc>
      </w:tr>
    </w:tbl>
    <w:p w14:paraId="53B09CB6" w14:textId="233E3ADB" w:rsidR="007C58F6" w:rsidRPr="00AE4D7C" w:rsidRDefault="007C58F6" w:rsidP="00AA1669">
      <w:pPr>
        <w:pStyle w:val="Heading4"/>
        <w:spacing w:after="160" w:line="240" w:lineRule="auto"/>
      </w:pPr>
      <w:bookmarkStart w:id="101" w:name="Downscaled_Approach"/>
      <w:bookmarkEnd w:id="101"/>
      <w:r>
        <w:t>Challenges and Limitations of Climate Projections</w:t>
      </w:r>
    </w:p>
    <w:p w14:paraId="3978DDB7" w14:textId="540E8E6C" w:rsidR="007C58F6" w:rsidRPr="00AE4D7C" w:rsidRDefault="007C58F6" w:rsidP="00AA1669">
      <w:pPr>
        <w:tabs>
          <w:tab w:val="left" w:pos="2340"/>
        </w:tabs>
        <w:spacing w:before="160" w:line="240" w:lineRule="auto"/>
        <w:rPr>
          <w:szCs w:val="24"/>
        </w:rPr>
      </w:pPr>
      <w:r>
        <w:rPr>
          <w:spacing w:val="-2"/>
          <w:szCs w:val="24"/>
        </w:rPr>
        <w:t>Climate projections are valuable tools for planning ahead, but they must be interpreted carefully. Because they rely on models with inherent uncertainties, their results can sometimes be misunderstood or misapplied. Keep the following in mind:</w:t>
      </w:r>
    </w:p>
    <w:p w14:paraId="6CDE8906" w14:textId="28D4CC7A" w:rsidR="007C58F6" w:rsidRPr="00554EF8" w:rsidRDefault="007C58F6">
      <w:pPr>
        <w:pStyle w:val="ListParagraph"/>
        <w:widowControl w:val="0"/>
        <w:numPr>
          <w:ilvl w:val="0"/>
          <w:numId w:val="33"/>
        </w:numPr>
        <w:tabs>
          <w:tab w:val="left" w:pos="1620"/>
        </w:tabs>
        <w:autoSpaceDE w:val="0"/>
        <w:autoSpaceDN w:val="0"/>
        <w:spacing w:before="160" w:line="240" w:lineRule="auto"/>
        <w:ind w:left="720"/>
      </w:pPr>
      <w:r>
        <w:rPr>
          <w:szCs w:val="24"/>
        </w:rPr>
        <w:t>C</w:t>
      </w:r>
      <w:r>
        <w:t>limate projections are not predictions. Climate projections depend on assumptions about future greenhouse gas emissions and policy decisions, rather than predicting exactly what will happen.</w:t>
      </w:r>
    </w:p>
    <w:p w14:paraId="303B9953" w14:textId="7B382553" w:rsidR="007C58F6" w:rsidRPr="00554EF8" w:rsidRDefault="007C58F6">
      <w:pPr>
        <w:pStyle w:val="ListParagraph"/>
        <w:widowControl w:val="0"/>
        <w:numPr>
          <w:ilvl w:val="0"/>
          <w:numId w:val="33"/>
        </w:numPr>
        <w:tabs>
          <w:tab w:val="left" w:pos="1620"/>
        </w:tabs>
        <w:autoSpaceDE w:val="0"/>
        <w:autoSpaceDN w:val="0"/>
        <w:spacing w:before="160" w:line="240" w:lineRule="auto"/>
        <w:ind w:left="720"/>
      </w:pPr>
      <w:r>
        <w:t>Results differ across models. No single model is “best” for every situation. Looking at multiple projections helps provide a more complete understanding of possible future conditions.</w:t>
      </w:r>
    </w:p>
    <w:p w14:paraId="65EFB597" w14:textId="6731C565" w:rsidR="007C58F6" w:rsidRDefault="007C58F6">
      <w:pPr>
        <w:pStyle w:val="ListParagraph"/>
        <w:widowControl w:val="0"/>
        <w:numPr>
          <w:ilvl w:val="0"/>
          <w:numId w:val="33"/>
        </w:numPr>
        <w:tabs>
          <w:tab w:val="left" w:pos="1620"/>
        </w:tabs>
        <w:autoSpaceDE w:val="0"/>
        <w:autoSpaceDN w:val="0"/>
        <w:spacing w:before="160" w:line="240" w:lineRule="auto"/>
        <w:ind w:left="720"/>
      </w:pPr>
      <w:r>
        <w:t>Uncertainty in climate projections shouldn’t prevent effective planning. Despite differences across models, there is strong agreement on overall trends, such as rising temperatures, increasing sea levels, and more frequent heavy precipitation. For many planning mechanisms, knowing general climate trends is sufficient for most planning risk assessments.</w:t>
      </w:r>
    </w:p>
    <w:tbl>
      <w:tblPr>
        <w:tblStyle w:val="TableGrid"/>
        <w:tblW w:w="0" w:type="auto"/>
        <w:tblLook w:val="04A0" w:firstRow="1" w:lastRow="0" w:firstColumn="1" w:lastColumn="0" w:noHBand="0" w:noVBand="1"/>
      </w:tblPr>
      <w:tblGrid>
        <w:gridCol w:w="9350"/>
      </w:tblGrid>
      <w:tr w:rsidR="003F2CED" w:rsidRPr="003F2CED" w14:paraId="5BD2561D" w14:textId="77777777" w:rsidTr="003F2CED">
        <w:trPr>
          <w:trHeight w:val="576"/>
        </w:trPr>
        <w:tc>
          <w:tcPr>
            <w:tcW w:w="9350" w:type="dxa"/>
            <w:tcBorders>
              <w:top w:val="nil"/>
              <w:left w:val="nil"/>
              <w:bottom w:val="nil"/>
              <w:right w:val="nil"/>
            </w:tcBorders>
            <w:shd w:val="clear" w:color="auto" w:fill="58257F"/>
            <w:vAlign w:val="center"/>
          </w:tcPr>
          <w:p w14:paraId="14715B90" w14:textId="2663A141" w:rsidR="00106D32" w:rsidRPr="003F2CED" w:rsidRDefault="003F2CED" w:rsidP="00BB5ACB">
            <w:pPr>
              <w:rPr>
                <w:b/>
                <w:bCs/>
                <w:color w:val="FFFFFF" w:themeColor="background1"/>
              </w:rPr>
            </w:pPr>
            <w:r>
              <w:rPr>
                <w:b/>
                <w:bCs/>
                <w:color w:val="FFFFFF" w:themeColor="background1"/>
              </w:rPr>
              <w:t xml:space="preserve">Policy Connection: Local Hazard Mitigation Plans </w:t>
            </w:r>
          </w:p>
        </w:tc>
      </w:tr>
      <w:tr w:rsidR="007C58F6" w:rsidDel="001E24C7" w14:paraId="3CF9CC44" w14:textId="622C43D3">
        <w:tc>
          <w:tcPr>
            <w:tcW w:w="9350" w:type="dxa"/>
            <w:tcBorders>
              <w:top w:val="nil"/>
              <w:left w:val="nil"/>
              <w:bottom w:val="nil"/>
              <w:right w:val="nil"/>
            </w:tcBorders>
            <w:shd w:val="clear" w:color="auto" w:fill="D6BBEB"/>
          </w:tcPr>
          <w:p w14:paraId="4A97CF55" w14:textId="3CC0C12F" w:rsidR="000850FE" w:rsidDel="001E24C7" w:rsidRDefault="001972D3" w:rsidP="00C66491">
            <w:pPr>
              <w:spacing w:before="120" w:after="120"/>
            </w:pPr>
            <w:r>
              <w:t>Local Hazard Mitigation Plans must include an assessment of the probability of future hazard events affecting the planning area. This assessment should also consider how changing future conditions may influence the type, location, frequency, and range of intensities associated with each hazard.</w:t>
            </w:r>
          </w:p>
        </w:tc>
      </w:tr>
    </w:tbl>
    <w:p w14:paraId="5087700D" w14:textId="77777777" w:rsidR="002E4A80" w:rsidRDefault="002E4A80" w:rsidP="00BA410F">
      <w:pPr>
        <w:spacing w:before="160" w:line="240" w:lineRule="auto"/>
      </w:pPr>
      <w:bookmarkStart w:id="102" w:name="_Toc224722679"/>
    </w:p>
    <w:p w14:paraId="59BC5556" w14:textId="164C9057" w:rsidR="004639E6" w:rsidRPr="00B17CBE" w:rsidRDefault="00596628" w:rsidP="002E4A80">
      <w:pPr>
        <w:pStyle w:val="Heading3"/>
        <w:spacing w:after="160" w:line="240" w:lineRule="auto"/>
      </w:pPr>
      <w:bookmarkStart w:id="103" w:name="_Toc235802690"/>
      <w:r>
        <w:t>Step 2.1E: Determine Secondary and Cascading Hazards</w:t>
      </w:r>
      <w:bookmarkEnd w:id="103"/>
    </w:p>
    <w:p w14:paraId="2FB5AD2A" w14:textId="122F9E5D" w:rsidR="004639E6" w:rsidRPr="00B17CBE" w:rsidRDefault="004639E6" w:rsidP="002E4A80">
      <w:pPr>
        <w:spacing w:before="160" w:line="240" w:lineRule="auto"/>
      </w:pPr>
      <w:r>
        <w:t xml:space="preserve">Secondary hazards do not emerge directly from a climate event but from the cascading impacts that follow. A primary climate hazard, such as wildfire, extreme heat, flooding, sea level rise, or drought can trigger a chain of additional challenges that affect communities, infrastructure, and public systems. For example, after the 2018 Thomas Fire near Montecito, a post-fire rainfall triggered a </w:t>
      </w:r>
      <w:hyperlink r:id="rId177" w:history="1">
        <w:r>
          <w:rPr>
            <w:rStyle w:val="Hyperlink"/>
            <w:rFonts w:eastAsia="Century Gothic" w:cs="Century Gothic"/>
          </w:rPr>
          <w:t>debris flow event in the Santa Ynez mountains</w:t>
        </w:r>
      </w:hyperlink>
      <w:r>
        <w:t xml:space="preserve"> that killed 23 people and damaged over 400 homes.</w:t>
      </w:r>
    </w:p>
    <w:p w14:paraId="6E9C5C63" w14:textId="7A374D6B" w:rsidR="004639E6" w:rsidRPr="00B17CBE" w:rsidRDefault="004639E6" w:rsidP="002E4A80">
      <w:pPr>
        <w:spacing w:before="160" w:line="240" w:lineRule="auto"/>
      </w:pPr>
      <w:r>
        <w:t>Understanding cascading and secondary hazards helps decision-makers build a more accurate assessment of vulnerability and better anticipate what may happen after a major climate event, not just during it. Additional examples include:</w:t>
      </w:r>
    </w:p>
    <w:p w14:paraId="7F912551" w14:textId="563CEC35" w:rsidR="004639E6" w:rsidRPr="00B17CBE" w:rsidRDefault="004639E6">
      <w:pPr>
        <w:pStyle w:val="ListParagraph"/>
        <w:widowControl w:val="0"/>
        <w:numPr>
          <w:ilvl w:val="0"/>
          <w:numId w:val="33"/>
        </w:numPr>
        <w:autoSpaceDE w:val="0"/>
        <w:autoSpaceDN w:val="0"/>
        <w:spacing w:before="160" w:line="240" w:lineRule="auto"/>
        <w:ind w:left="720"/>
      </w:pPr>
      <w:r>
        <w:t>Landslides occurring on fire-damaged slopes after heavy rainfall, sometimes weeks or months after the initial fire, thus contaminating lakes, rivers, and coastal waters from wildfire ash and heavy metals</w:t>
      </w:r>
    </w:p>
    <w:p w14:paraId="39419B1C" w14:textId="3942E44B" w:rsidR="00084CD6" w:rsidRDefault="004639E6">
      <w:pPr>
        <w:pStyle w:val="ListParagraph"/>
        <w:widowControl w:val="0"/>
        <w:numPr>
          <w:ilvl w:val="0"/>
          <w:numId w:val="33"/>
        </w:numPr>
        <w:autoSpaceDE w:val="0"/>
        <w:autoSpaceDN w:val="0"/>
        <w:spacing w:before="160" w:line="240" w:lineRule="auto"/>
        <w:ind w:left="720"/>
      </w:pPr>
      <w:r>
        <w:t>Increased heart- and lung-related hospitalizations due to wildfire smoke during fire events</w:t>
      </w:r>
    </w:p>
    <w:p w14:paraId="3FEA1362" w14:textId="77777777" w:rsidR="00F446E5" w:rsidRDefault="00F446E5" w:rsidP="00BE48FE">
      <w:pPr>
        <w:pStyle w:val="ListParagraph"/>
        <w:widowControl w:val="0"/>
        <w:autoSpaceDE w:val="0"/>
        <w:autoSpaceDN w:val="0"/>
        <w:spacing w:before="160" w:line="240" w:lineRule="auto"/>
        <w:ind w:left="0"/>
      </w:pPr>
    </w:p>
    <w:tbl>
      <w:tblPr>
        <w:tblStyle w:val="TableGrid"/>
        <w:tblW w:w="0" w:type="auto"/>
        <w:tblLook w:val="04A0" w:firstRow="1" w:lastRow="0" w:firstColumn="1" w:lastColumn="0" w:noHBand="0" w:noVBand="1"/>
      </w:tblPr>
      <w:tblGrid>
        <w:gridCol w:w="9360"/>
      </w:tblGrid>
      <w:tr w:rsidR="00512ECF" w:rsidRPr="004D5EB4" w14:paraId="46747500" w14:textId="77777777" w:rsidTr="00444D84">
        <w:trPr>
          <w:trHeight w:val="576"/>
        </w:trPr>
        <w:tc>
          <w:tcPr>
            <w:tcW w:w="9360" w:type="dxa"/>
            <w:tcBorders>
              <w:top w:val="nil"/>
              <w:left w:val="nil"/>
              <w:bottom w:val="nil"/>
              <w:right w:val="nil"/>
            </w:tcBorders>
            <w:shd w:val="clear" w:color="auto" w:fill="1F5485"/>
            <w:vAlign w:val="center"/>
          </w:tcPr>
          <w:p w14:paraId="6F7068E1" w14:textId="09F1B80A" w:rsidR="00512ECF" w:rsidRPr="00416943" w:rsidRDefault="009F7C92" w:rsidP="00BB5ACB">
            <w:pPr>
              <w:rPr>
                <w:b/>
                <w:color w:val="FFFFFF" w:themeColor="background1"/>
              </w:rPr>
            </w:pPr>
            <w:r>
              <w:rPr>
                <w:b/>
                <w:color w:val="FFFFFF" w:themeColor="background1"/>
              </w:rPr>
              <w:t>Case</w:t>
            </w:r>
            <w:r>
              <w:rPr>
                <w:b/>
                <w:bCs/>
                <w:color w:val="FFFFFF" w:themeColor="background1"/>
              </w:rPr>
              <w:t xml:space="preserve"> </w:t>
            </w:r>
            <w:r>
              <w:rPr>
                <w:b/>
                <w:color w:val="FFFFFF" w:themeColor="background1"/>
              </w:rPr>
              <w:t>Study:</w:t>
            </w:r>
            <w:r>
              <w:rPr>
                <w:b/>
                <w:bCs/>
                <w:color w:val="FFFFFF" w:themeColor="background1"/>
              </w:rPr>
              <w:t xml:space="preserve"> </w:t>
            </w:r>
            <w:r>
              <w:rPr>
                <w:b/>
                <w:color w:val="FFFFFF" w:themeColor="background1"/>
              </w:rPr>
              <w:t>City</w:t>
            </w:r>
            <w:r>
              <w:rPr>
                <w:b/>
                <w:bCs/>
                <w:color w:val="FFFFFF" w:themeColor="background1"/>
              </w:rPr>
              <w:t xml:space="preserve"> </w:t>
            </w:r>
            <w:r>
              <w:rPr>
                <w:b/>
                <w:color w:val="FFFFFF" w:themeColor="background1"/>
              </w:rPr>
              <w:t>of</w:t>
            </w:r>
            <w:r>
              <w:rPr>
                <w:b/>
                <w:bCs/>
                <w:color w:val="FFFFFF" w:themeColor="background1"/>
              </w:rPr>
              <w:t xml:space="preserve"> </w:t>
            </w:r>
            <w:r>
              <w:rPr>
                <w:b/>
                <w:color w:val="FFFFFF" w:themeColor="background1"/>
              </w:rPr>
              <w:t>Carson’s</w:t>
            </w:r>
            <w:r>
              <w:rPr>
                <w:b/>
                <w:bCs/>
                <w:color w:val="FFFFFF" w:themeColor="background1"/>
              </w:rPr>
              <w:t xml:space="preserve"> </w:t>
            </w:r>
            <w:r>
              <w:rPr>
                <w:b/>
                <w:color w:val="FFFFFF" w:themeColor="background1"/>
              </w:rPr>
              <w:t>Local Hazard Mitigation Plan</w:t>
            </w:r>
          </w:p>
        </w:tc>
      </w:tr>
      <w:tr w:rsidR="00512ECF" w14:paraId="1FC108CD" w14:textId="77777777" w:rsidTr="00193922">
        <w:trPr>
          <w:trHeight w:val="6768"/>
        </w:trPr>
        <w:tc>
          <w:tcPr>
            <w:tcW w:w="9360" w:type="dxa"/>
            <w:tcBorders>
              <w:top w:val="nil"/>
              <w:left w:val="nil"/>
              <w:bottom w:val="nil"/>
              <w:right w:val="nil"/>
            </w:tcBorders>
            <w:shd w:val="clear" w:color="auto" w:fill="DCEAF7"/>
          </w:tcPr>
          <w:p w14:paraId="6F6B69EE" w14:textId="378F3191" w:rsidR="00512ECF" w:rsidRDefault="00C53816" w:rsidP="00C939BE">
            <w:pPr>
              <w:spacing w:before="120" w:after="120"/>
            </w:pPr>
            <w:r>
              <w:t xml:space="preserve">Carson’s </w:t>
            </w:r>
            <w:hyperlink r:id="rId178" w:history="1">
              <w:r>
                <w:rPr>
                  <w:rStyle w:val="Hyperlink"/>
                  <w:i/>
                  <w:iCs/>
                </w:rPr>
                <w:t>2026 LHMP</w:t>
              </w:r>
            </w:hyperlink>
            <w:r>
              <w:t xml:space="preserve"> discusses secondary hazards in addition to primary ones.</w:t>
            </w:r>
          </w:p>
          <w:tbl>
            <w:tblPr>
              <w:tblStyle w:val="TableGrid"/>
              <w:tblW w:w="0" w:type="auto"/>
              <w:tblLook w:val="04A0" w:firstRow="1" w:lastRow="0" w:firstColumn="1" w:lastColumn="0" w:noHBand="0" w:noVBand="1"/>
            </w:tblPr>
            <w:tblGrid>
              <w:gridCol w:w="9134"/>
            </w:tblGrid>
            <w:tr w:rsidR="00512ECF" w:rsidRPr="008C7E0C" w14:paraId="4F1C35DB" w14:textId="77777777" w:rsidTr="00CD7512">
              <w:trPr>
                <w:trHeight w:val="432"/>
              </w:trPr>
              <w:tc>
                <w:tcPr>
                  <w:tcW w:w="9134" w:type="dxa"/>
                  <w:shd w:val="clear" w:color="auto" w:fill="000000" w:themeFill="text1"/>
                  <w:vAlign w:val="center"/>
                </w:tcPr>
                <w:p w14:paraId="06CBAF99" w14:textId="59594815" w:rsidR="00512ECF" w:rsidRPr="00416943" w:rsidRDefault="00512ECF" w:rsidP="00CD7512">
                  <w:pPr>
                    <w:rPr>
                      <w:color w:val="FFFFFF" w:themeColor="background1"/>
                    </w:rPr>
                  </w:pPr>
                  <w:r>
                    <w:rPr>
                      <w:b/>
                      <w:color w:val="FFFFFF" w:themeColor="background1"/>
                    </w:rPr>
                    <w:t>Figure</w:t>
                  </w:r>
                  <w:r>
                    <w:rPr>
                      <w:b/>
                      <w:bCs/>
                      <w:color w:val="FFFFFF" w:themeColor="background1"/>
                    </w:rPr>
                    <w:t xml:space="preserve"> </w:t>
                  </w:r>
                  <w:r>
                    <w:rPr>
                      <w:b/>
                      <w:color w:val="FFFFFF" w:themeColor="background1"/>
                    </w:rPr>
                    <w:fldChar w:fldCharType="begin"/>
                  </w:r>
                  <w:r>
                    <w:rPr>
                      <w:b/>
                      <w:color w:val="FFFFFF" w:themeColor="background1"/>
                    </w:rPr>
                    <w:instrText xml:space="preserve"> SEQ Figure \* ARABIC </w:instrText>
                  </w:r>
                  <w:r>
                    <w:rPr>
                      <w:b/>
                      <w:color w:val="FFFFFF" w:themeColor="background1"/>
                    </w:rPr>
                    <w:fldChar w:fldCharType="separate"/>
                  </w:r>
                  <w:r w:rsidR="00517691">
                    <w:rPr>
                      <w:b/>
                      <w:noProof/>
                      <w:color w:val="FFFFFF" w:themeColor="background1"/>
                    </w:rPr>
                    <w:t>16</w:t>
                  </w:r>
                  <w:r>
                    <w:rPr>
                      <w:b/>
                      <w:color w:val="FFFFFF" w:themeColor="background1"/>
                    </w:rPr>
                    <w:fldChar w:fldCharType="end"/>
                  </w:r>
                  <w:r>
                    <w:rPr>
                      <w:b/>
                      <w:color w:val="FFFFFF" w:themeColor="background1"/>
                    </w:rPr>
                    <w:t>.</w:t>
                  </w:r>
                  <w:r>
                    <w:rPr>
                      <w:b/>
                      <w:bCs/>
                      <w:color w:val="FFFFFF" w:themeColor="background1"/>
                    </w:rPr>
                    <w:t xml:space="preserve"> </w:t>
                  </w:r>
                  <w:r>
                    <w:rPr>
                      <w:b/>
                      <w:color w:val="FFFFFF" w:themeColor="background1"/>
                    </w:rPr>
                    <w:t>Carson LHMP’s cascading hazards</w:t>
                  </w:r>
                </w:p>
              </w:tc>
            </w:tr>
            <w:tr w:rsidR="00512ECF" w14:paraId="3E336D07" w14:textId="77777777" w:rsidTr="00444D84">
              <w:tc>
                <w:tcPr>
                  <w:tcW w:w="9134" w:type="dxa"/>
                  <w:shd w:val="clear" w:color="auto" w:fill="FFFFFF" w:themeFill="background1"/>
                </w:tcPr>
                <w:p w14:paraId="084AF205" w14:textId="475D61E5" w:rsidR="00512ECF" w:rsidRDefault="00DD02CF" w:rsidP="00A718EC">
                  <w:pPr>
                    <w:spacing w:before="120" w:after="120"/>
                    <w:jc w:val="center"/>
                  </w:pPr>
                  <w:r>
                    <w:rPr>
                      <w:noProof/>
                    </w:rPr>
                    <w:drawing>
                      <wp:inline distT="0" distB="0" distL="0" distR="0" wp14:anchorId="61B2BAE9" wp14:editId="41FAB7A2">
                        <wp:extent cx="5605914" cy="3460652"/>
                        <wp:effectExtent l="0" t="0" r="0" b="6985"/>
                        <wp:docPr id="699124284" name="Picture 17" descr="Screenshot of Table 41 of Carson's 2026 LHMP, titled &quot;Secondary Hazards from Flooding Events in Carson.&quot; Secondary hazards are water supply contamination, disease, landslide &amp; erosion, infrastructure damage, and displacement of people. Each have a detailed description of how the flooding cause the secondary haz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24284" name="Picture 17" descr="Screenshot of Table 41 of Carson's 2026 LHMP, titled &quot;Secondary Hazards from Flooding Events in Carson.&quot; Secondary hazards are water supply contamination, disease, landslide &amp; erosion, infrastructure damage, and displacement of people. Each have a detailed description of how the flooding cause the secondary hazards."/>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t="7273" b="962"/>
                                <a:stretch>
                                  <a:fillRect/>
                                </a:stretch>
                              </pic:blipFill>
                              <pic:spPr bwMode="auto">
                                <a:xfrm>
                                  <a:off x="0" y="0"/>
                                  <a:ext cx="5607982" cy="34619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EA7CC2" w14:textId="2D662A78" w:rsidR="00512ECF" w:rsidRPr="00521144" w:rsidRDefault="00DD02CF" w:rsidP="00521144">
            <w:pPr>
              <w:rPr>
                <w:sz w:val="12"/>
                <w:szCs w:val="12"/>
              </w:rPr>
            </w:pPr>
            <w:r>
              <w:rPr>
                <w:sz w:val="12"/>
                <w:szCs w:val="12"/>
              </w:rPr>
              <w:t xml:space="preserve">   </w:t>
            </w:r>
          </w:p>
        </w:tc>
      </w:tr>
    </w:tbl>
    <w:p w14:paraId="28499CBF" w14:textId="0B62CA0A" w:rsidR="00521144" w:rsidRPr="002C31B6" w:rsidRDefault="002C31B6" w:rsidP="003321DF">
      <w:pPr>
        <w:spacing w:after="0" w:line="240" w:lineRule="auto"/>
        <w:rPr>
          <w:sz w:val="6"/>
          <w:szCs w:val="4"/>
        </w:rPr>
      </w:pPr>
      <w:r>
        <w:rPr>
          <w:sz w:val="6"/>
          <w:szCs w:val="4"/>
        </w:rPr>
        <w:t xml:space="preserve">               </w:t>
      </w:r>
    </w:p>
    <w:bookmarkEnd w:id="102"/>
    <w:p w14:paraId="637D3469" w14:textId="0A23DCAB" w:rsidR="00F831C0" w:rsidRDefault="0033313B" w:rsidP="0033313B">
      <w:pPr>
        <w:pStyle w:val="ListParagraph"/>
        <w:widowControl w:val="0"/>
        <w:autoSpaceDE w:val="0"/>
        <w:autoSpaceDN w:val="0"/>
        <w:spacing w:before="160" w:line="240" w:lineRule="auto"/>
        <w:ind w:left="0"/>
      </w:pPr>
      <w:r>
        <w:t>Local context determines the nature and severity of cascading and secondary hazards. For example, desert communities face compound climate vulnerabilities resulting from the intersection of extreme heat, drought, limited shade and green infrastructure, high social vulnerability, agricultural labor dependence, and degraded natural environments. These challenges can differ significantly from those experienced in coastal and inland urban areas.</w:t>
      </w:r>
      <w:r w:rsidR="00A45F45">
        <w:t xml:space="preserve"> In particular, i</w:t>
      </w:r>
      <w:r>
        <w:t xml:space="preserve">nland desert </w:t>
      </w:r>
      <w:r w:rsidR="00EE752A">
        <w:t>regions</w:t>
      </w:r>
      <w:r w:rsidR="00A45F45">
        <w:t xml:space="preserve"> </w:t>
      </w:r>
      <w:r>
        <w:t>may experience compounding vulnerabilities associated with extreme heat exposure, agricultural labor conditions, limited shade infrastructure, water access challenges, invasive species impacts, and concentrations of disadvantaged populations.</w:t>
      </w:r>
      <w:r w:rsidR="00F64F8E">
        <w:t xml:space="preserve"> </w:t>
      </w:r>
      <w:r>
        <w:t xml:space="preserve">These factors should be documented as part of your vulnerability assessment. </w:t>
      </w:r>
    </w:p>
    <w:p w14:paraId="31B110A6" w14:textId="77777777" w:rsidR="00F831C0" w:rsidRDefault="00F831C0" w:rsidP="0033313B">
      <w:pPr>
        <w:pStyle w:val="ListParagraph"/>
        <w:widowControl w:val="0"/>
        <w:autoSpaceDE w:val="0"/>
        <w:autoSpaceDN w:val="0"/>
        <w:spacing w:before="160" w:line="240" w:lineRule="auto"/>
        <w:ind w:left="0"/>
      </w:pPr>
    </w:p>
    <w:p w14:paraId="4878E8FF" w14:textId="2D6D3CE9" w:rsidR="00BC0716" w:rsidRPr="00B17CBE" w:rsidRDefault="0033313B" w:rsidP="00BE48FE">
      <w:pPr>
        <w:pStyle w:val="ListParagraph"/>
        <w:widowControl w:val="0"/>
        <w:autoSpaceDE w:val="0"/>
        <w:autoSpaceDN w:val="0"/>
        <w:spacing w:before="160" w:line="240" w:lineRule="auto"/>
        <w:ind w:left="0"/>
      </w:pPr>
      <w:r>
        <w:t xml:space="preserve">Revisit the plans discussed in </w:t>
      </w:r>
      <w:r>
        <w:fldChar w:fldCharType="begin"/>
      </w:r>
      <w:r>
        <w:instrText xml:space="preserve"> REF _Ref235092233 \h </w:instrText>
      </w:r>
      <w:r>
        <w:fldChar w:fldCharType="separate"/>
      </w:r>
      <w:r w:rsidR="00517691">
        <w:t>Step 2.1A: Review Existing Documents</w:t>
      </w:r>
      <w:r>
        <w:fldChar w:fldCharType="end"/>
      </w:r>
      <w:r>
        <w:t xml:space="preserve"> to identify cascading impacts and interconnected risks affecting your planning area. Document any relevant findings in the worksheet to support your vulnerability assessment. </w:t>
      </w:r>
    </w:p>
    <w:tbl>
      <w:tblPr>
        <w:tblStyle w:val="TableGrid"/>
        <w:tblpPr w:leftFromText="180" w:rightFromText="180" w:vertAnchor="text" w:horzAnchor="margin" w:tblpY="-6"/>
        <w:tblW w:w="0" w:type="auto"/>
        <w:tblLook w:val="04A0" w:firstRow="1" w:lastRow="0" w:firstColumn="1" w:lastColumn="0" w:noHBand="0" w:noVBand="1"/>
      </w:tblPr>
      <w:tblGrid>
        <w:gridCol w:w="9360"/>
      </w:tblGrid>
      <w:tr w:rsidR="0033313B" w:rsidRPr="009F7C92" w14:paraId="66CC0241" w14:textId="77777777" w:rsidTr="0033313B">
        <w:trPr>
          <w:trHeight w:val="576"/>
        </w:trPr>
        <w:tc>
          <w:tcPr>
            <w:tcW w:w="9350" w:type="dxa"/>
            <w:tcBorders>
              <w:top w:val="nil"/>
              <w:left w:val="nil"/>
              <w:bottom w:val="nil"/>
              <w:right w:val="nil"/>
            </w:tcBorders>
            <w:shd w:val="clear" w:color="auto" w:fill="14581C"/>
            <w:vAlign w:val="center"/>
          </w:tcPr>
          <w:p w14:paraId="3F096748" w14:textId="77777777" w:rsidR="0033313B" w:rsidRPr="009F7C92" w:rsidRDefault="0033313B" w:rsidP="0033313B">
            <w:pPr>
              <w:rPr>
                <w:b/>
                <w:bCs/>
                <w:color w:val="FFFFFF" w:themeColor="background1"/>
              </w:rPr>
            </w:pPr>
            <w:r>
              <w:rPr>
                <w:b/>
                <w:color w:val="FFFFFF" w:themeColor="background1"/>
              </w:rPr>
              <w:t>Put It into Practice</w:t>
            </w:r>
          </w:p>
        </w:tc>
      </w:tr>
      <w:tr w:rsidR="0033313B" w14:paraId="7C60D112" w14:textId="77777777" w:rsidTr="0033313B">
        <w:trPr>
          <w:trHeight w:val="1872"/>
        </w:trPr>
        <w:tc>
          <w:tcPr>
            <w:tcW w:w="9350" w:type="dxa"/>
            <w:tcBorders>
              <w:top w:val="nil"/>
              <w:left w:val="nil"/>
              <w:bottom w:val="nil"/>
              <w:right w:val="nil"/>
            </w:tcBorders>
            <w:shd w:val="clear" w:color="auto" w:fill="C1F0C7" w:themeFill="accent3" w:themeFillTint="33"/>
          </w:tcPr>
          <w:p w14:paraId="20523854" w14:textId="77777777" w:rsidR="00517691" w:rsidRDefault="0033313B" w:rsidP="00517691">
            <w:pPr>
              <w:spacing w:before="120"/>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_Ref230247844 \h  \* MERGEFORMAT </w:instrText>
            </w:r>
            <w:r>
              <w:rPr>
                <w:b/>
                <w:bCs/>
                <w:color w:val="000000" w:themeColor="text1"/>
              </w:rPr>
            </w:r>
            <w:r>
              <w:rPr>
                <w:b/>
                <w:bCs/>
                <w:color w:val="000000" w:themeColor="text1"/>
              </w:rPr>
              <w:fldChar w:fldCharType="separate"/>
            </w:r>
            <w:r w:rsidR="00517691" w:rsidRPr="00517691">
              <w:rPr>
                <w:b/>
                <w:bCs/>
              </w:rPr>
              <w:t xml:space="preserve">Identifying and Analyzing Primary </w:t>
            </w:r>
            <w:r w:rsidR="00517691" w:rsidRPr="00D34B8D">
              <w:rPr>
                <w:b/>
                <w:bCs/>
              </w:rPr>
              <w:t>Climate Hazards</w:t>
            </w:r>
          </w:p>
          <w:p w14:paraId="0D47A3F1" w14:textId="77777777" w:rsidR="00517691" w:rsidRPr="004E75A7" w:rsidRDefault="00517691" w:rsidP="005F158A">
            <w:pPr>
              <w:spacing w:before="160"/>
              <w:rPr>
                <w:rFonts w:eastAsia="Century Gothic" w:cs="Century Gothic"/>
                <w:b/>
                <w:bCs/>
                <w:i/>
                <w:iCs/>
                <w:color w:val="000000" w:themeColor="text1"/>
              </w:rPr>
            </w:pPr>
            <w:r>
              <w:rPr>
                <w:rFonts w:eastAsia="Century Gothic" w:cs="Century Gothic"/>
                <w:b/>
                <w:bCs/>
                <w:i/>
                <w:iCs/>
                <w:color w:val="000000" w:themeColor="text1"/>
              </w:rPr>
              <w:t>Used in Steps 2.1C, 2.1D, 2.2A</w:t>
            </w:r>
          </w:p>
          <w:p w14:paraId="10691B96" w14:textId="77777777" w:rsidR="00517691" w:rsidRDefault="00517691" w:rsidP="005F158A">
            <w:pPr>
              <w:spacing w:before="160"/>
              <w:rPr>
                <w:rFonts w:eastAsia="Century Gothic" w:cs="Century Gothic"/>
                <w:color w:val="000000" w:themeColor="text1"/>
              </w:rPr>
            </w:pPr>
            <w:r>
              <w:rPr>
                <w:rFonts w:eastAsia="Century Gothic" w:cs="Century Gothic"/>
                <w:color w:val="000000" w:themeColor="text1"/>
              </w:rPr>
              <w:t xml:space="preserve">Use the table below to document and organize an initial assessment of the community’s vulnerabilities. Fill in the observations and insights based on the VCP’s </w:t>
            </w:r>
            <w:r w:rsidRPr="00810BC6">
              <w:rPr>
                <w:rFonts w:eastAsia="Century Gothic" w:cs="Century Gothic"/>
              </w:rPr>
              <w:t>Climate Vulnerability Map</w:t>
            </w:r>
            <w:r>
              <w:rPr>
                <w:rFonts w:eastAsia="Century Gothic" w:cs="Century Gothic"/>
                <w:color w:val="000000" w:themeColor="text1"/>
              </w:rPr>
              <w:t>. The key below describes where to look to find the information to fill in each row of the table.</w:t>
            </w:r>
          </w:p>
          <w:p w14:paraId="2B540476" w14:textId="77777777" w:rsidR="00517691" w:rsidRDefault="00517691" w:rsidP="005F158A">
            <w:pPr>
              <w:spacing w:before="160"/>
              <w:rPr>
                <w:rFonts w:eastAsia="Century Gothic" w:cs="Century Gothic"/>
                <w:color w:val="000000" w:themeColor="text1"/>
              </w:rPr>
            </w:pPr>
            <w:r>
              <w:rPr>
                <w:rFonts w:eastAsia="Century Gothic" w:cs="Century Gothic"/>
                <w:b/>
                <w:bCs/>
                <w:color w:val="000000" w:themeColor="text1"/>
              </w:rPr>
              <w:t>#1.</w:t>
            </w:r>
            <w:r>
              <w:rPr>
                <w:rFonts w:eastAsia="Century Gothic" w:cs="Century Gothic"/>
                <w:color w:val="000000" w:themeColor="text1"/>
              </w:rPr>
              <w:t xml:space="preserve"> Look at the map for each hazard to assess if there is vulnerability present and where it is located.</w:t>
            </w:r>
          </w:p>
          <w:p w14:paraId="513BFAD5" w14:textId="77777777" w:rsidR="00517691" w:rsidRDefault="00517691" w:rsidP="005F158A">
            <w:pPr>
              <w:spacing w:before="160"/>
              <w:rPr>
                <w:rFonts w:eastAsia="Century Gothic" w:cs="Century Gothic"/>
                <w:color w:val="000000" w:themeColor="text1"/>
              </w:rPr>
            </w:pPr>
            <w:r>
              <w:rPr>
                <w:rFonts w:eastAsia="Century Gothic" w:cs="Century Gothic"/>
                <w:b/>
                <w:bCs/>
                <w:color w:val="000000" w:themeColor="text1"/>
              </w:rPr>
              <w:t>#2.</w:t>
            </w:r>
            <w:r>
              <w:rPr>
                <w:rFonts w:eastAsia="Century Gothic" w:cs="Century Gothic"/>
                <w:color w:val="000000" w:themeColor="text1"/>
              </w:rPr>
              <w:t xml:space="preserve"> Look at the Pop-ups for a quick ‘report card’ of the clicked block group that includes its High/Med/Low designation for each hazard.</w:t>
            </w:r>
          </w:p>
          <w:p w14:paraId="0512A0AA" w14:textId="77777777" w:rsidR="00517691" w:rsidRDefault="00517691" w:rsidP="005F158A">
            <w:pPr>
              <w:spacing w:before="160"/>
              <w:rPr>
                <w:rFonts w:eastAsia="Century Gothic" w:cs="Century Gothic"/>
                <w:color w:val="000000" w:themeColor="text1"/>
              </w:rPr>
            </w:pPr>
            <w:r>
              <w:rPr>
                <w:rFonts w:eastAsia="Century Gothic" w:cs="Century Gothic"/>
                <w:b/>
                <w:bCs/>
                <w:color w:val="000000" w:themeColor="text1"/>
              </w:rPr>
              <w:t>#3</w:t>
            </w:r>
            <w:r>
              <w:rPr>
                <w:rFonts w:eastAsia="Century Gothic" w:cs="Century Gothic"/>
                <w:color w:val="000000" w:themeColor="text1"/>
              </w:rPr>
              <w:t>. Use the ‘Compare Tool’ – found in the top right corner of the page – to compare hazards across the Now timeframe and the 2050 timeframe.</w:t>
            </w:r>
          </w:p>
          <w:p w14:paraId="36AA40B9" w14:textId="77777777" w:rsidR="00517691" w:rsidRDefault="00517691" w:rsidP="005F158A">
            <w:pPr>
              <w:spacing w:before="160"/>
              <w:rPr>
                <w:rFonts w:eastAsia="Century Gothic" w:cs="Century Gothic"/>
                <w:color w:val="000000" w:themeColor="text1"/>
              </w:rPr>
            </w:pPr>
            <w:r>
              <w:rPr>
                <w:rFonts w:eastAsia="Century Gothic" w:cs="Century Gothic"/>
                <w:b/>
                <w:bCs/>
                <w:color w:val="000000" w:themeColor="text1"/>
              </w:rPr>
              <w:t xml:space="preserve">#4. </w:t>
            </w:r>
            <w:r>
              <w:rPr>
                <w:rFonts w:eastAsia="Century Gothic" w:cs="Century Gothic"/>
                <w:color w:val="000000" w:themeColor="text1"/>
              </w:rPr>
              <w:t>Use the ‘Individual Indicators’ tab – found in the top right of the page – to select specific individual indicators of vulnerability from the left side menu.</w:t>
            </w:r>
          </w:p>
          <w:tbl>
            <w:tblPr>
              <w:tblStyle w:val="TableGrid"/>
              <w:tblW w:w="12793" w:type="dxa"/>
              <w:tblLook w:val="04A0" w:firstRow="1" w:lastRow="0" w:firstColumn="1" w:lastColumn="0" w:noHBand="0" w:noVBand="1"/>
              <w:tblCaption w:val="Assessment of climate hazards and vulnerabilities from the VCP"/>
              <w:tblDescription w:val="Fillable table with 4 questions per hazard to do an initial assessment of climate-related hazards."/>
            </w:tblPr>
            <w:tblGrid>
              <w:gridCol w:w="4945"/>
              <w:gridCol w:w="1800"/>
              <w:gridCol w:w="1512"/>
              <w:gridCol w:w="1512"/>
              <w:gridCol w:w="1512"/>
              <w:gridCol w:w="1512"/>
            </w:tblGrid>
            <w:tr w:rsidR="00517691" w14:paraId="2684392C" w14:textId="77777777" w:rsidTr="00C36E1D">
              <w:trPr>
                <w:trHeight w:val="300"/>
              </w:trPr>
              <w:tc>
                <w:tcPr>
                  <w:tcW w:w="4945" w:type="dxa"/>
                  <w:tcMar>
                    <w:left w:w="105" w:type="dxa"/>
                    <w:right w:w="105" w:type="dxa"/>
                  </w:tcMar>
                </w:tcPr>
                <w:p w14:paraId="3C81BE11" w14:textId="77777777" w:rsidR="00517691" w:rsidRDefault="00517691" w:rsidP="00D34B8D">
                  <w:pPr>
                    <w:framePr w:hSpace="180" w:wrap="around" w:vAnchor="text" w:hAnchor="margin" w:y="-6"/>
                    <w:rPr>
                      <w:rFonts w:eastAsia="Century Gothic" w:cs="Century Gothic"/>
                    </w:rPr>
                  </w:pPr>
                </w:p>
              </w:tc>
              <w:tc>
                <w:tcPr>
                  <w:tcW w:w="1800" w:type="dxa"/>
                  <w:tcMar>
                    <w:left w:w="105" w:type="dxa"/>
                    <w:right w:w="105" w:type="dxa"/>
                  </w:tcMar>
                  <w:vAlign w:val="center"/>
                </w:tcPr>
                <w:p w14:paraId="5865693E" w14:textId="77777777" w:rsidR="00517691" w:rsidRDefault="00517691" w:rsidP="00D34B8D">
                  <w:pPr>
                    <w:framePr w:hSpace="180" w:wrap="around" w:vAnchor="text" w:hAnchor="margin" w:y="-6"/>
                    <w:jc w:val="center"/>
                    <w:rPr>
                      <w:rFonts w:eastAsia="Century Gothic" w:cs="Century Gothic"/>
                    </w:rPr>
                  </w:pPr>
                  <w:r>
                    <w:rPr>
                      <w:rFonts w:eastAsia="Century Gothic" w:cs="Century Gothic"/>
                      <w:b/>
                      <w:bCs/>
                    </w:rPr>
                    <w:t>Extreme Heat</w:t>
                  </w:r>
                </w:p>
              </w:tc>
              <w:tc>
                <w:tcPr>
                  <w:tcW w:w="1512" w:type="dxa"/>
                  <w:tcMar>
                    <w:left w:w="105" w:type="dxa"/>
                    <w:right w:w="105" w:type="dxa"/>
                  </w:tcMar>
                  <w:vAlign w:val="center"/>
                </w:tcPr>
                <w:p w14:paraId="45834BE9" w14:textId="77777777" w:rsidR="00517691" w:rsidRDefault="00517691" w:rsidP="00D34B8D">
                  <w:pPr>
                    <w:framePr w:hSpace="180" w:wrap="around" w:vAnchor="text" w:hAnchor="margin" w:y="-6"/>
                    <w:jc w:val="center"/>
                    <w:rPr>
                      <w:rFonts w:eastAsia="Century Gothic" w:cs="Century Gothic"/>
                    </w:rPr>
                  </w:pPr>
                  <w:r>
                    <w:rPr>
                      <w:rFonts w:eastAsia="Century Gothic" w:cs="Century Gothic"/>
                      <w:b/>
                      <w:bCs/>
                    </w:rPr>
                    <w:t>Flood</w:t>
                  </w:r>
                </w:p>
              </w:tc>
              <w:tc>
                <w:tcPr>
                  <w:tcW w:w="1512" w:type="dxa"/>
                  <w:tcMar>
                    <w:left w:w="105" w:type="dxa"/>
                    <w:right w:w="105" w:type="dxa"/>
                  </w:tcMar>
                  <w:vAlign w:val="center"/>
                </w:tcPr>
                <w:p w14:paraId="5904020F" w14:textId="77777777" w:rsidR="00517691" w:rsidRDefault="00517691" w:rsidP="00D34B8D">
                  <w:pPr>
                    <w:framePr w:hSpace="180" w:wrap="around" w:vAnchor="text" w:hAnchor="margin" w:y="-6"/>
                    <w:jc w:val="center"/>
                    <w:rPr>
                      <w:rFonts w:eastAsia="Century Gothic" w:cs="Century Gothic"/>
                    </w:rPr>
                  </w:pPr>
                  <w:r>
                    <w:rPr>
                      <w:rFonts w:eastAsia="Century Gothic" w:cs="Century Gothic"/>
                      <w:b/>
                      <w:bCs/>
                    </w:rPr>
                    <w:t>SLR</w:t>
                  </w:r>
                </w:p>
              </w:tc>
              <w:tc>
                <w:tcPr>
                  <w:tcW w:w="1512" w:type="dxa"/>
                  <w:tcMar>
                    <w:left w:w="105" w:type="dxa"/>
                    <w:right w:w="105" w:type="dxa"/>
                  </w:tcMar>
                  <w:vAlign w:val="center"/>
                </w:tcPr>
                <w:p w14:paraId="09CFE02E" w14:textId="77777777" w:rsidR="00517691" w:rsidRDefault="00517691" w:rsidP="00D34B8D">
                  <w:pPr>
                    <w:framePr w:hSpace="180" w:wrap="around" w:vAnchor="text" w:hAnchor="margin" w:y="-6"/>
                    <w:jc w:val="center"/>
                    <w:rPr>
                      <w:rFonts w:eastAsia="Century Gothic" w:cs="Century Gothic"/>
                    </w:rPr>
                  </w:pPr>
                  <w:r>
                    <w:rPr>
                      <w:rFonts w:eastAsia="Century Gothic" w:cs="Century Gothic"/>
                      <w:b/>
                      <w:bCs/>
                    </w:rPr>
                    <w:t>Drought</w:t>
                  </w:r>
                </w:p>
              </w:tc>
              <w:tc>
                <w:tcPr>
                  <w:tcW w:w="1512" w:type="dxa"/>
                  <w:tcMar>
                    <w:left w:w="105" w:type="dxa"/>
                    <w:right w:w="105" w:type="dxa"/>
                  </w:tcMar>
                  <w:vAlign w:val="center"/>
                </w:tcPr>
                <w:p w14:paraId="06D7F950" w14:textId="77777777" w:rsidR="00517691" w:rsidRDefault="00517691" w:rsidP="00D34B8D">
                  <w:pPr>
                    <w:framePr w:hSpace="180" w:wrap="around" w:vAnchor="text" w:hAnchor="margin" w:y="-6"/>
                    <w:jc w:val="center"/>
                    <w:rPr>
                      <w:rFonts w:eastAsia="Century Gothic" w:cs="Century Gothic"/>
                    </w:rPr>
                  </w:pPr>
                  <w:r>
                    <w:rPr>
                      <w:rFonts w:eastAsia="Century Gothic" w:cs="Century Gothic"/>
                      <w:b/>
                      <w:bCs/>
                    </w:rPr>
                    <w:t>Wildfire</w:t>
                  </w:r>
                </w:p>
              </w:tc>
            </w:tr>
            <w:tr w:rsidR="00517691" w14:paraId="7B67D193" w14:textId="77777777" w:rsidTr="00C36E1D">
              <w:trPr>
                <w:trHeight w:val="300"/>
              </w:trPr>
              <w:tc>
                <w:tcPr>
                  <w:tcW w:w="4945" w:type="dxa"/>
                  <w:tcMar>
                    <w:left w:w="105" w:type="dxa"/>
                    <w:right w:w="105" w:type="dxa"/>
                  </w:tcMar>
                </w:tcPr>
                <w:p w14:paraId="39920EEC" w14:textId="77777777" w:rsidR="00517691" w:rsidRDefault="00517691" w:rsidP="00D34B8D">
                  <w:pPr>
                    <w:framePr w:hSpace="180" w:wrap="around" w:vAnchor="text" w:hAnchor="margin" w:y="-6"/>
                    <w:rPr>
                      <w:rFonts w:eastAsia="Century Gothic" w:cs="Century Gothic"/>
                    </w:rPr>
                  </w:pPr>
                  <w:r>
                    <w:rPr>
                      <w:b/>
                      <w:bCs/>
                    </w:rPr>
                    <w:t>A</w:t>
                  </w:r>
                  <w:r>
                    <w:t xml:space="preserve">. Is this climate hazard present in the area of interest (Yes/No) now or in 2050? </w:t>
                  </w:r>
                  <w:r>
                    <w:rPr>
                      <w:b/>
                    </w:rPr>
                    <w:t>(#1)</w:t>
                  </w:r>
                </w:p>
              </w:tc>
              <w:tc>
                <w:tcPr>
                  <w:tcW w:w="1800" w:type="dxa"/>
                  <w:tcMar>
                    <w:left w:w="105" w:type="dxa"/>
                    <w:right w:w="105" w:type="dxa"/>
                  </w:tcMar>
                </w:tcPr>
                <w:p w14:paraId="33534795"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1CEDDC6C"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C2DE509"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37B88740"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3D297B31" w14:textId="77777777" w:rsidR="00517691" w:rsidRDefault="00517691" w:rsidP="00D34B8D">
                  <w:pPr>
                    <w:framePr w:hSpace="180" w:wrap="around" w:vAnchor="text" w:hAnchor="margin" w:y="-6"/>
                    <w:rPr>
                      <w:rFonts w:eastAsia="Century Gothic" w:cs="Century Gothic"/>
                    </w:rPr>
                  </w:pPr>
                </w:p>
              </w:tc>
            </w:tr>
            <w:tr w:rsidR="00517691" w14:paraId="76DFB438" w14:textId="77777777" w:rsidTr="00C36E1D">
              <w:trPr>
                <w:trHeight w:val="300"/>
              </w:trPr>
              <w:tc>
                <w:tcPr>
                  <w:tcW w:w="4945" w:type="dxa"/>
                  <w:tcMar>
                    <w:left w:w="105" w:type="dxa"/>
                    <w:right w:w="105" w:type="dxa"/>
                  </w:tcMar>
                </w:tcPr>
                <w:p w14:paraId="58DFFF3E" w14:textId="77777777" w:rsidR="00517691" w:rsidRDefault="00517691" w:rsidP="00D34B8D">
                  <w:pPr>
                    <w:framePr w:hSpace="180" w:wrap="around" w:vAnchor="text" w:hAnchor="margin" w:y="-6"/>
                    <w:rPr>
                      <w:rFonts w:eastAsia="Century Gothic" w:cs="Century Gothic"/>
                    </w:rPr>
                  </w:pPr>
                  <w:r>
                    <w:rPr>
                      <w:b/>
                      <w:bCs/>
                    </w:rPr>
                    <w:t>B</w:t>
                  </w:r>
                  <w:r>
                    <w:t xml:space="preserve">. What specific neighborhoods are affected in the current timeframe? </w:t>
                  </w:r>
                  <w:r>
                    <w:rPr>
                      <w:b/>
                    </w:rPr>
                    <w:t>(#1,#2)</w:t>
                  </w:r>
                </w:p>
              </w:tc>
              <w:tc>
                <w:tcPr>
                  <w:tcW w:w="1800" w:type="dxa"/>
                  <w:tcMar>
                    <w:left w:w="105" w:type="dxa"/>
                    <w:right w:w="105" w:type="dxa"/>
                  </w:tcMar>
                </w:tcPr>
                <w:p w14:paraId="244FDDB1"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26F8A5EB"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2C020150"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3F924D7"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8073095" w14:textId="77777777" w:rsidR="00517691" w:rsidRDefault="00517691" w:rsidP="00D34B8D">
                  <w:pPr>
                    <w:framePr w:hSpace="180" w:wrap="around" w:vAnchor="text" w:hAnchor="margin" w:y="-6"/>
                    <w:rPr>
                      <w:rFonts w:eastAsia="Century Gothic" w:cs="Century Gothic"/>
                    </w:rPr>
                  </w:pPr>
                </w:p>
              </w:tc>
            </w:tr>
            <w:tr w:rsidR="00517691" w14:paraId="37B0DB7C" w14:textId="77777777" w:rsidTr="00C36E1D">
              <w:trPr>
                <w:trHeight w:val="300"/>
              </w:trPr>
              <w:tc>
                <w:tcPr>
                  <w:tcW w:w="4945" w:type="dxa"/>
                  <w:tcMar>
                    <w:left w:w="105" w:type="dxa"/>
                    <w:right w:w="105" w:type="dxa"/>
                  </w:tcMar>
                </w:tcPr>
                <w:p w14:paraId="7F11BE5A" w14:textId="77777777" w:rsidR="00517691" w:rsidRDefault="00517691" w:rsidP="00D34B8D">
                  <w:pPr>
                    <w:framePr w:hSpace="180" w:wrap="around" w:vAnchor="text" w:hAnchor="margin" w:y="-6"/>
                    <w:rPr>
                      <w:rFonts w:eastAsia="Century Gothic" w:cs="Century Gothic"/>
                    </w:rPr>
                  </w:pPr>
                  <w:r>
                    <w:rPr>
                      <w:b/>
                      <w:bCs/>
                    </w:rPr>
                    <w:t>C.</w:t>
                  </w:r>
                  <w:r>
                    <w:t xml:space="preserve"> How are they affected? (HIGH Climate &amp; HIGH Social, MED Climate &amp; HIGH Social, etc.)? </w:t>
                  </w:r>
                  <w:r>
                    <w:rPr>
                      <w:b/>
                    </w:rPr>
                    <w:t>(#1,#2)</w:t>
                  </w:r>
                  <w:r>
                    <w:t xml:space="preserve"> </w:t>
                  </w:r>
                </w:p>
              </w:tc>
              <w:tc>
                <w:tcPr>
                  <w:tcW w:w="1800" w:type="dxa"/>
                  <w:tcMar>
                    <w:left w:w="105" w:type="dxa"/>
                    <w:right w:w="105" w:type="dxa"/>
                  </w:tcMar>
                </w:tcPr>
                <w:p w14:paraId="66C08631"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02E8FD9D"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3F563485"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929ACE8"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7EDB21E9" w14:textId="77777777" w:rsidR="00517691" w:rsidRDefault="00517691" w:rsidP="00D34B8D">
                  <w:pPr>
                    <w:framePr w:hSpace="180" w:wrap="around" w:vAnchor="text" w:hAnchor="margin" w:y="-6"/>
                    <w:rPr>
                      <w:rFonts w:eastAsia="Century Gothic" w:cs="Century Gothic"/>
                    </w:rPr>
                  </w:pPr>
                </w:p>
              </w:tc>
            </w:tr>
            <w:tr w:rsidR="00517691" w14:paraId="458E3534" w14:textId="77777777" w:rsidTr="00C36E1D">
              <w:trPr>
                <w:trHeight w:val="300"/>
              </w:trPr>
              <w:tc>
                <w:tcPr>
                  <w:tcW w:w="4945" w:type="dxa"/>
                  <w:tcMar>
                    <w:left w:w="105" w:type="dxa"/>
                    <w:right w:w="105" w:type="dxa"/>
                  </w:tcMar>
                </w:tcPr>
                <w:p w14:paraId="16E0F6FF" w14:textId="77777777" w:rsidR="00517691" w:rsidRDefault="00517691" w:rsidP="00D34B8D">
                  <w:pPr>
                    <w:framePr w:hSpace="180" w:wrap="around" w:vAnchor="text" w:hAnchor="margin" w:y="-6"/>
                    <w:rPr>
                      <w:rFonts w:eastAsia="Century Gothic" w:cs="Century Gothic"/>
                    </w:rPr>
                  </w:pPr>
                  <w:r>
                    <w:rPr>
                      <w:b/>
                      <w:bCs/>
                    </w:rPr>
                    <w:t>D</w:t>
                  </w:r>
                  <w:r>
                    <w:t xml:space="preserve">. How does vulnerability change between now and 2050? </w:t>
                  </w:r>
                  <w:r>
                    <w:rPr>
                      <w:b/>
                    </w:rPr>
                    <w:t>(#3)</w:t>
                  </w:r>
                </w:p>
              </w:tc>
              <w:tc>
                <w:tcPr>
                  <w:tcW w:w="1800" w:type="dxa"/>
                  <w:tcMar>
                    <w:left w:w="105" w:type="dxa"/>
                    <w:right w:w="105" w:type="dxa"/>
                  </w:tcMar>
                </w:tcPr>
                <w:p w14:paraId="4F704B09"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21FB6D2A"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4597B661"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83C8413"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74A3A8C3" w14:textId="77777777" w:rsidR="00517691" w:rsidRDefault="00517691" w:rsidP="00D34B8D">
                  <w:pPr>
                    <w:framePr w:hSpace="180" w:wrap="around" w:vAnchor="text" w:hAnchor="margin" w:y="-6"/>
                    <w:rPr>
                      <w:rFonts w:eastAsia="Century Gothic" w:cs="Century Gothic"/>
                    </w:rPr>
                  </w:pPr>
                </w:p>
              </w:tc>
            </w:tr>
            <w:tr w:rsidR="00517691" w14:paraId="6495EE9C" w14:textId="77777777" w:rsidTr="00C36E1D">
              <w:trPr>
                <w:trHeight w:val="300"/>
              </w:trPr>
              <w:tc>
                <w:tcPr>
                  <w:tcW w:w="4945" w:type="dxa"/>
                  <w:tcMar>
                    <w:left w:w="105" w:type="dxa"/>
                    <w:right w:w="105" w:type="dxa"/>
                  </w:tcMar>
                </w:tcPr>
                <w:p w14:paraId="7B9BE92C" w14:textId="77777777" w:rsidR="00517691" w:rsidRPr="00E2651C" w:rsidRDefault="00517691" w:rsidP="00D34B8D">
                  <w:pPr>
                    <w:framePr w:hSpace="180" w:wrap="around" w:vAnchor="text" w:hAnchor="margin" w:y="-6"/>
                  </w:pPr>
                  <w:r>
                    <w:rPr>
                      <w:b/>
                      <w:bCs/>
                    </w:rPr>
                    <w:t xml:space="preserve">E. </w:t>
                  </w:r>
                  <w:r>
                    <w:t xml:space="preserve">What specific social indicators are driving vulnerability in this area? </w:t>
                  </w:r>
                  <w:r>
                    <w:rPr>
                      <w:b/>
                    </w:rPr>
                    <w:t>(#2, #4)</w:t>
                  </w:r>
                </w:p>
              </w:tc>
              <w:tc>
                <w:tcPr>
                  <w:tcW w:w="1800" w:type="dxa"/>
                  <w:tcMar>
                    <w:left w:w="105" w:type="dxa"/>
                    <w:right w:w="105" w:type="dxa"/>
                  </w:tcMar>
                </w:tcPr>
                <w:p w14:paraId="274D42A9"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5A0302AB"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408A3994"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11CFCC58" w14:textId="77777777" w:rsidR="00517691" w:rsidRDefault="00517691" w:rsidP="00D34B8D">
                  <w:pPr>
                    <w:framePr w:hSpace="180" w:wrap="around" w:vAnchor="text" w:hAnchor="margin" w:y="-6"/>
                    <w:rPr>
                      <w:rFonts w:eastAsia="Century Gothic" w:cs="Century Gothic"/>
                    </w:rPr>
                  </w:pPr>
                </w:p>
              </w:tc>
              <w:tc>
                <w:tcPr>
                  <w:tcW w:w="1512" w:type="dxa"/>
                  <w:tcMar>
                    <w:left w:w="105" w:type="dxa"/>
                    <w:right w:w="105" w:type="dxa"/>
                  </w:tcMar>
                </w:tcPr>
                <w:p w14:paraId="6BDEFCD2" w14:textId="77777777" w:rsidR="00517691" w:rsidRDefault="00517691" w:rsidP="00D34B8D">
                  <w:pPr>
                    <w:framePr w:hSpace="180" w:wrap="around" w:vAnchor="text" w:hAnchor="margin" w:y="-6"/>
                    <w:rPr>
                      <w:rFonts w:eastAsia="Century Gothic" w:cs="Century Gothic"/>
                    </w:rPr>
                  </w:pPr>
                </w:p>
              </w:tc>
            </w:tr>
          </w:tbl>
          <w:p w14:paraId="66EFCD48" w14:textId="77777777" w:rsidR="00517691" w:rsidRDefault="00517691" w:rsidP="005F158A">
            <w:pPr>
              <w:spacing w:before="160"/>
              <w:rPr>
                <w:rFonts w:eastAsia="Century Gothic" w:cs="Century Gothic"/>
                <w:color w:val="000000" w:themeColor="text1"/>
              </w:rPr>
            </w:pPr>
            <w:r>
              <w:br w:type="page"/>
            </w:r>
          </w:p>
          <w:p w14:paraId="3B7F744B" w14:textId="47B2B0BE" w:rsidR="0033313B" w:rsidRPr="001B3C08" w:rsidRDefault="00517691" w:rsidP="0033313B">
            <w:pPr>
              <w:spacing w:before="120"/>
              <w:rPr>
                <w:color w:val="000000" w:themeColor="text1"/>
              </w:rPr>
            </w:pPr>
            <w:r>
              <w:t>Secondary and Cascading Hazards</w:t>
            </w:r>
            <w:r w:rsidR="0033313B">
              <w:rPr>
                <w:b/>
                <w:bCs/>
                <w:color w:val="000000" w:themeColor="text1"/>
              </w:rPr>
              <w:fldChar w:fldCharType="end"/>
            </w:r>
          </w:p>
          <w:p w14:paraId="239D44AE" w14:textId="028FA382" w:rsidR="0033313B" w:rsidRPr="001B3C08" w:rsidRDefault="0033313B" w:rsidP="0033313B">
            <w:pPr>
              <w:spacing w:before="120" w:after="160"/>
              <w:rPr>
                <w:color w:val="000000" w:themeColor="text1"/>
              </w:rPr>
            </w:pPr>
            <w:r>
              <w:rPr>
                <w:color w:val="000000" w:themeColor="text1"/>
              </w:rPr>
              <w:t xml:space="preserve">Record findings about secondary </w:t>
            </w:r>
            <w:r w:rsidR="00EE752A">
              <w:rPr>
                <w:color w:val="000000" w:themeColor="text1"/>
              </w:rPr>
              <w:t xml:space="preserve">and cascading </w:t>
            </w:r>
            <w:r>
              <w:rPr>
                <w:color w:val="000000" w:themeColor="text1"/>
              </w:rPr>
              <w:t>hazards in the table below.</w:t>
            </w:r>
          </w:p>
          <w:tbl>
            <w:tblPr>
              <w:tblStyle w:val="TableGrid"/>
              <w:tblW w:w="0" w:type="auto"/>
              <w:tblLook w:val="04A0" w:firstRow="1" w:lastRow="0" w:firstColumn="1" w:lastColumn="0" w:noHBand="0" w:noVBand="1"/>
              <w:tblCaption w:val="findings on secondary hazards"/>
              <w:tblDescription w:val="Fillable table for tracking secondary hazards, their cause(s), and impacts"/>
            </w:tblPr>
            <w:tblGrid>
              <w:gridCol w:w="2545"/>
              <w:gridCol w:w="2056"/>
              <w:gridCol w:w="4469"/>
            </w:tblGrid>
            <w:tr w:rsidR="0033313B" w:rsidRPr="005F45E2" w14:paraId="44A314E4" w14:textId="77777777">
              <w:trPr>
                <w:trHeight w:val="288"/>
              </w:trPr>
              <w:tc>
                <w:tcPr>
                  <w:tcW w:w="2545" w:type="dxa"/>
                  <w:vAlign w:val="center"/>
                </w:tcPr>
                <w:p w14:paraId="63607C1C" w14:textId="77777777" w:rsidR="0033313B" w:rsidRPr="005F45E2" w:rsidRDefault="0033313B" w:rsidP="00D34B8D">
                  <w:pPr>
                    <w:framePr w:hSpace="180" w:wrap="around" w:vAnchor="text" w:hAnchor="margin" w:y="-6"/>
                    <w:jc w:val="center"/>
                    <w:rPr>
                      <w:b/>
                      <w:bCs/>
                      <w:color w:val="000000" w:themeColor="text1"/>
                    </w:rPr>
                  </w:pPr>
                  <w:r>
                    <w:rPr>
                      <w:b/>
                      <w:bCs/>
                      <w:color w:val="000000" w:themeColor="text1"/>
                    </w:rPr>
                    <w:t>Secondary Hazard</w:t>
                  </w:r>
                </w:p>
              </w:tc>
              <w:tc>
                <w:tcPr>
                  <w:tcW w:w="2056" w:type="dxa"/>
                  <w:vAlign w:val="center"/>
                </w:tcPr>
                <w:p w14:paraId="07862128" w14:textId="77777777" w:rsidR="0033313B" w:rsidRPr="005F45E2" w:rsidRDefault="0033313B" w:rsidP="00D34B8D">
                  <w:pPr>
                    <w:framePr w:hSpace="180" w:wrap="around" w:vAnchor="text" w:hAnchor="margin" w:y="-6"/>
                    <w:jc w:val="center"/>
                    <w:rPr>
                      <w:b/>
                      <w:bCs/>
                      <w:color w:val="000000" w:themeColor="text1"/>
                    </w:rPr>
                  </w:pPr>
                  <w:r>
                    <w:rPr>
                      <w:b/>
                      <w:bCs/>
                      <w:color w:val="000000" w:themeColor="text1"/>
                    </w:rPr>
                    <w:t>Source</w:t>
                  </w:r>
                </w:p>
              </w:tc>
              <w:tc>
                <w:tcPr>
                  <w:tcW w:w="4469" w:type="dxa"/>
                  <w:vAlign w:val="center"/>
                </w:tcPr>
                <w:p w14:paraId="3FB2ACFC" w14:textId="77777777" w:rsidR="0033313B" w:rsidRPr="005F45E2" w:rsidRDefault="0033313B" w:rsidP="00D34B8D">
                  <w:pPr>
                    <w:framePr w:hSpace="180" w:wrap="around" w:vAnchor="text" w:hAnchor="margin" w:y="-6"/>
                    <w:jc w:val="center"/>
                    <w:rPr>
                      <w:b/>
                      <w:bCs/>
                      <w:color w:val="000000" w:themeColor="text1"/>
                    </w:rPr>
                  </w:pPr>
                  <w:r>
                    <w:rPr>
                      <w:b/>
                      <w:bCs/>
                      <w:color w:val="000000" w:themeColor="text1"/>
                    </w:rPr>
                    <w:t>Effect (Where and Who)</w:t>
                  </w:r>
                </w:p>
              </w:tc>
            </w:tr>
            <w:tr w:rsidR="0033313B" w:rsidRPr="005F45E2" w14:paraId="60E06361" w14:textId="77777777">
              <w:trPr>
                <w:trHeight w:val="296"/>
              </w:trPr>
              <w:tc>
                <w:tcPr>
                  <w:tcW w:w="2545" w:type="dxa"/>
                </w:tcPr>
                <w:p w14:paraId="3F654466" w14:textId="77777777" w:rsidR="0033313B" w:rsidRPr="005F45E2" w:rsidRDefault="0033313B" w:rsidP="00D34B8D">
                  <w:pPr>
                    <w:framePr w:hSpace="180" w:wrap="around" w:vAnchor="text" w:hAnchor="margin" w:y="-6"/>
                    <w:rPr>
                      <w:color w:val="000000" w:themeColor="text1"/>
                    </w:rPr>
                  </w:pPr>
                </w:p>
              </w:tc>
              <w:tc>
                <w:tcPr>
                  <w:tcW w:w="2056" w:type="dxa"/>
                </w:tcPr>
                <w:p w14:paraId="2AFDC12B" w14:textId="77777777" w:rsidR="0033313B" w:rsidRPr="005F45E2" w:rsidRDefault="0033313B" w:rsidP="00D34B8D">
                  <w:pPr>
                    <w:framePr w:hSpace="180" w:wrap="around" w:vAnchor="text" w:hAnchor="margin" w:y="-6"/>
                    <w:rPr>
                      <w:color w:val="000000" w:themeColor="text1"/>
                    </w:rPr>
                  </w:pPr>
                </w:p>
              </w:tc>
              <w:tc>
                <w:tcPr>
                  <w:tcW w:w="4469" w:type="dxa"/>
                </w:tcPr>
                <w:p w14:paraId="63E8465E" w14:textId="77777777" w:rsidR="0033313B" w:rsidRPr="005F45E2" w:rsidRDefault="0033313B" w:rsidP="00D34B8D">
                  <w:pPr>
                    <w:framePr w:hSpace="180" w:wrap="around" w:vAnchor="text" w:hAnchor="margin" w:y="-6"/>
                    <w:rPr>
                      <w:color w:val="000000" w:themeColor="text1"/>
                    </w:rPr>
                  </w:pPr>
                </w:p>
              </w:tc>
            </w:tr>
            <w:tr w:rsidR="0033313B" w:rsidRPr="005F45E2" w14:paraId="50AE67D1" w14:textId="77777777">
              <w:trPr>
                <w:trHeight w:val="304"/>
              </w:trPr>
              <w:tc>
                <w:tcPr>
                  <w:tcW w:w="2545" w:type="dxa"/>
                </w:tcPr>
                <w:p w14:paraId="1B517B46" w14:textId="77777777" w:rsidR="0033313B" w:rsidRPr="005F45E2" w:rsidRDefault="0033313B" w:rsidP="00D34B8D">
                  <w:pPr>
                    <w:framePr w:hSpace="180" w:wrap="around" w:vAnchor="text" w:hAnchor="margin" w:y="-6"/>
                    <w:rPr>
                      <w:color w:val="000000" w:themeColor="text1"/>
                    </w:rPr>
                  </w:pPr>
                </w:p>
              </w:tc>
              <w:tc>
                <w:tcPr>
                  <w:tcW w:w="2056" w:type="dxa"/>
                </w:tcPr>
                <w:p w14:paraId="1FF2E9A6" w14:textId="77777777" w:rsidR="0033313B" w:rsidRPr="005F45E2" w:rsidRDefault="0033313B" w:rsidP="00D34B8D">
                  <w:pPr>
                    <w:framePr w:hSpace="180" w:wrap="around" w:vAnchor="text" w:hAnchor="margin" w:y="-6"/>
                    <w:rPr>
                      <w:color w:val="000000" w:themeColor="text1"/>
                    </w:rPr>
                  </w:pPr>
                </w:p>
              </w:tc>
              <w:tc>
                <w:tcPr>
                  <w:tcW w:w="4469" w:type="dxa"/>
                </w:tcPr>
                <w:p w14:paraId="44FA4824" w14:textId="77777777" w:rsidR="0033313B" w:rsidRPr="005F45E2" w:rsidRDefault="0033313B" w:rsidP="00D34B8D">
                  <w:pPr>
                    <w:framePr w:hSpace="180" w:wrap="around" w:vAnchor="text" w:hAnchor="margin" w:y="-6"/>
                    <w:rPr>
                      <w:color w:val="000000" w:themeColor="text1"/>
                    </w:rPr>
                  </w:pPr>
                </w:p>
              </w:tc>
            </w:tr>
          </w:tbl>
          <w:p w14:paraId="4DD1957E" w14:textId="77777777" w:rsidR="0033313B" w:rsidRPr="00521144" w:rsidRDefault="0033313B" w:rsidP="0033313B">
            <w:pPr>
              <w:rPr>
                <w:sz w:val="12"/>
                <w:szCs w:val="12"/>
              </w:rPr>
            </w:pPr>
            <w:r>
              <w:rPr>
                <w:sz w:val="12"/>
                <w:szCs w:val="12"/>
              </w:rPr>
              <w:t xml:space="preserve">  </w:t>
            </w:r>
          </w:p>
        </w:tc>
      </w:tr>
    </w:tbl>
    <w:p w14:paraId="09369CA7" w14:textId="77777777" w:rsidR="0033313B" w:rsidRPr="00B17CBE" w:rsidRDefault="0033313B" w:rsidP="00BC0716">
      <w:pPr>
        <w:spacing w:before="160" w:line="240" w:lineRule="auto"/>
      </w:pPr>
    </w:p>
    <w:p w14:paraId="3EE0D6C2" w14:textId="76424A2C" w:rsidR="00CF71BD" w:rsidRPr="00984E57" w:rsidRDefault="00596628" w:rsidP="009B23DB">
      <w:pPr>
        <w:pStyle w:val="Heading3"/>
        <w:spacing w:after="160" w:line="240" w:lineRule="auto"/>
      </w:pPr>
      <w:bookmarkStart w:id="104" w:name="_Toc235802691"/>
      <w:r>
        <w:rPr>
          <w:rStyle w:val="Heading3Char"/>
          <w:b/>
        </w:rPr>
        <w:t>Step 2.1 Wrap-Up</w:t>
      </w:r>
      <w:bookmarkEnd w:id="104"/>
    </w:p>
    <w:p w14:paraId="529BA153" w14:textId="7D7A12DE" w:rsidR="00CF71BD" w:rsidRPr="00B17CBE" w:rsidRDefault="00CF71BD" w:rsidP="009B23DB">
      <w:pPr>
        <w:spacing w:before="160" w:line="240" w:lineRule="auto"/>
      </w:pPr>
      <w:r>
        <w:t>The final step in the exposure analysis is to synthesize all information gathered to identify the community’s primary hazards and highest areas of concern. Consider summarizing:</w:t>
      </w:r>
    </w:p>
    <w:p w14:paraId="3788C69E" w14:textId="3B0875A5" w:rsidR="00CF71BD" w:rsidRPr="00537F9E" w:rsidRDefault="00CF71BD">
      <w:pPr>
        <w:pStyle w:val="ListParagraph"/>
        <w:widowControl w:val="0"/>
        <w:numPr>
          <w:ilvl w:val="0"/>
          <w:numId w:val="33"/>
        </w:numPr>
        <w:tabs>
          <w:tab w:val="left" w:pos="1620"/>
        </w:tabs>
        <w:autoSpaceDE w:val="0"/>
        <w:autoSpaceDN w:val="0"/>
        <w:spacing w:before="160" w:line="240" w:lineRule="auto"/>
        <w:ind w:left="720"/>
      </w:pPr>
      <w:r>
        <w:t>What hazards are most pressing?</w:t>
      </w:r>
    </w:p>
    <w:p w14:paraId="15387098" w14:textId="77439315" w:rsidR="00CF71BD" w:rsidRPr="00537F9E" w:rsidRDefault="00CF71BD">
      <w:pPr>
        <w:pStyle w:val="ListParagraph"/>
        <w:widowControl w:val="0"/>
        <w:numPr>
          <w:ilvl w:val="0"/>
          <w:numId w:val="33"/>
        </w:numPr>
        <w:tabs>
          <w:tab w:val="left" w:pos="1620"/>
        </w:tabs>
        <w:autoSpaceDE w:val="0"/>
        <w:autoSpaceDN w:val="0"/>
        <w:spacing w:before="160" w:line="240" w:lineRule="auto"/>
        <w:ind w:left="720"/>
      </w:pPr>
      <w:r>
        <w:t>Where do secondary hazards create compounding risk?</w:t>
      </w:r>
    </w:p>
    <w:p w14:paraId="31443EDA" w14:textId="167C6F09" w:rsidR="00CF71BD" w:rsidRPr="00537F9E" w:rsidRDefault="00CF71BD">
      <w:pPr>
        <w:pStyle w:val="ListParagraph"/>
        <w:widowControl w:val="0"/>
        <w:numPr>
          <w:ilvl w:val="0"/>
          <w:numId w:val="33"/>
        </w:numPr>
        <w:tabs>
          <w:tab w:val="left" w:pos="1620"/>
        </w:tabs>
        <w:autoSpaceDE w:val="0"/>
        <w:autoSpaceDN w:val="0"/>
        <w:spacing w:before="160" w:line="240" w:lineRule="auto"/>
        <w:ind w:left="720"/>
      </w:pPr>
      <w:r>
        <w:t>Which neighborhoods face the highest exposure?</w:t>
      </w:r>
    </w:p>
    <w:p w14:paraId="222BFD8D" w14:textId="3F664014"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What patterns do historic hazards reveal?</w:t>
      </w:r>
    </w:p>
    <w:p w14:paraId="0CAAC139" w14:textId="357F8392"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Notable gaps or uncertainties</w:t>
      </w:r>
    </w:p>
    <w:p w14:paraId="0DC367A0" w14:textId="1A800182" w:rsidR="00CF71BD" w:rsidRDefault="00CE2500" w:rsidP="009B23DB">
      <w:pPr>
        <w:spacing w:before="160" w:line="240" w:lineRule="auto"/>
      </w:pPr>
      <w:r>
        <w:t>The next step evaluates sensitivity and potential impacts of identified hazards in the planning area.</w:t>
      </w:r>
    </w:p>
    <w:p w14:paraId="6E7DFD6F" w14:textId="77777777" w:rsidR="009B23DB" w:rsidRPr="00B17CBE" w:rsidRDefault="009B23DB" w:rsidP="009B23DB">
      <w:pPr>
        <w:spacing w:before="160" w:line="240" w:lineRule="auto"/>
      </w:pPr>
    </w:p>
    <w:p w14:paraId="1C6B1648" w14:textId="4A203129" w:rsidR="00CF71BD" w:rsidRPr="00B17CBE" w:rsidRDefault="00CF71BD" w:rsidP="009B23DB">
      <w:pPr>
        <w:pStyle w:val="Heading2"/>
        <w:spacing w:before="160" w:after="160" w:line="240" w:lineRule="auto"/>
      </w:pPr>
      <w:bookmarkStart w:id="105" w:name="_Toc224722680"/>
      <w:bookmarkStart w:id="106" w:name="_Toc235802692"/>
      <w:r>
        <w:t>Step 2.2: Vulnerability and Potential Impacts</w:t>
      </w:r>
      <w:bookmarkEnd w:id="105"/>
      <w:bookmarkEnd w:id="106"/>
    </w:p>
    <w:p w14:paraId="534281A0" w14:textId="2732CD2C" w:rsidR="00CF71BD" w:rsidRPr="00B17CBE" w:rsidRDefault="00CF71BD" w:rsidP="009B23DB">
      <w:pPr>
        <w:spacing w:before="160" w:line="240" w:lineRule="auto"/>
      </w:pPr>
      <w:r>
        <w:t>Goal: Identify populations and assets vulnerable to climate hazards and summarize potential impacts.</w:t>
      </w:r>
    </w:p>
    <w:p w14:paraId="3973BD2E" w14:textId="57867741" w:rsidR="00CF71BD" w:rsidRDefault="00CF71BD" w:rsidP="009B23DB">
      <w:pPr>
        <w:spacing w:before="160" w:line="240" w:lineRule="auto"/>
      </w:pPr>
      <w:r>
        <w:t xml:space="preserve">Communities across California vary greatly in the climate hazards they face and their socio-economic makeup. </w:t>
      </w:r>
      <w:r>
        <w:rPr>
          <w:b/>
        </w:rPr>
        <w:t>Social vulnerability</w:t>
      </w:r>
      <w:r>
        <w:t xml:space="preserve"> (also referred to as social sensitivity) refers to the conditions that people or communities experience that can make the impacts of climate change more severe or detrimental for them. Communities confronting institutionalized inequity, structural racism, and chronic underinvestment face not only greater immediate danger but also steeper barriers to long-term physical and economic recovery.</w:t>
      </w:r>
    </w:p>
    <w:p w14:paraId="209EA4BD" w14:textId="539F34F7" w:rsidR="00F562AB" w:rsidRPr="00F562AB" w:rsidRDefault="00F562AB" w:rsidP="00F562AB">
      <w:pPr>
        <w:spacing w:line="240" w:lineRule="auto"/>
        <w:rPr>
          <w:i/>
          <w:iCs/>
          <w:color w:val="000000" w:themeColor="text1"/>
          <w:szCs w:val="24"/>
        </w:rPr>
      </w:pPr>
      <w:r>
        <w:rPr>
          <w:b/>
          <w:bCs/>
          <w:color w:val="000000" w:themeColor="text1"/>
          <w:szCs w:val="24"/>
        </w:rPr>
        <w:t xml:space="preserve">Assets </w:t>
      </w:r>
      <w:r w:rsidR="006E2400" w:rsidRPr="006E2400">
        <w:rPr>
          <w:color w:val="000000" w:themeColor="text1"/>
          <w:szCs w:val="24"/>
        </w:rPr>
        <w:t>de</w:t>
      </w:r>
      <w:r w:rsidR="006E2400">
        <w:rPr>
          <w:color w:val="000000" w:themeColor="text1"/>
          <w:szCs w:val="24"/>
        </w:rPr>
        <w:t>s</w:t>
      </w:r>
      <w:r w:rsidR="006E2400" w:rsidRPr="006E2400">
        <w:rPr>
          <w:color w:val="000000" w:themeColor="text1"/>
          <w:szCs w:val="24"/>
        </w:rPr>
        <w:t>c</w:t>
      </w:r>
      <w:r w:rsidR="006E2400">
        <w:rPr>
          <w:color w:val="000000" w:themeColor="text1"/>
          <w:szCs w:val="24"/>
        </w:rPr>
        <w:t>r</w:t>
      </w:r>
      <w:r w:rsidR="006E2400" w:rsidRPr="006E2400">
        <w:rPr>
          <w:color w:val="000000" w:themeColor="text1"/>
          <w:szCs w:val="24"/>
        </w:rPr>
        <w:t>ibe a</w:t>
      </w:r>
      <w:r>
        <w:rPr>
          <w:color w:val="000000" w:themeColor="text1"/>
          <w:szCs w:val="24"/>
        </w:rPr>
        <w:t>ny human-caused or natural feature that has value, including people, buildings, infrastructure, such as bridges, roads, sewers, and water systems, lifelines, such as electricity and communication resources; and environmental, cultural, or recreational features, such as parks, wetlands, and landmarks</w:t>
      </w:r>
      <w:r w:rsidR="006D6550">
        <w:rPr>
          <w:color w:val="000000" w:themeColor="text1"/>
          <w:szCs w:val="24"/>
        </w:rPr>
        <w:t xml:space="preserve">. </w:t>
      </w:r>
      <w:r w:rsidR="009839B5">
        <w:rPr>
          <w:color w:val="000000" w:themeColor="text1"/>
          <w:szCs w:val="24"/>
        </w:rPr>
        <w:t xml:space="preserve">All assets may be affected by climate hazards, but some are more vulnerable. </w:t>
      </w:r>
    </w:p>
    <w:p w14:paraId="1F8C8CA0" w14:textId="6B2569ED" w:rsidR="00CF71BD" w:rsidRPr="00EA03BD" w:rsidRDefault="00184048" w:rsidP="009B23DB">
      <w:pPr>
        <w:spacing w:before="160" w:line="240" w:lineRule="auto"/>
      </w:pPr>
      <w:r>
        <w:t>This step will:</w:t>
      </w:r>
    </w:p>
    <w:p w14:paraId="6DFB89F9" w14:textId="42E81052" w:rsidR="00CF71BD" w:rsidRPr="00572688" w:rsidRDefault="00CF71BD">
      <w:pPr>
        <w:pStyle w:val="ListParagraph"/>
        <w:widowControl w:val="0"/>
        <w:numPr>
          <w:ilvl w:val="0"/>
          <w:numId w:val="33"/>
        </w:numPr>
        <w:autoSpaceDE w:val="0"/>
        <w:autoSpaceDN w:val="0"/>
        <w:spacing w:before="160" w:line="240" w:lineRule="auto"/>
        <w:ind w:left="720"/>
      </w:pPr>
      <w:r>
        <w:t>Identify concentrations of residents, employees, and businesses</w:t>
      </w:r>
    </w:p>
    <w:p w14:paraId="65E909F8" w14:textId="044E177F" w:rsidR="00CF71BD" w:rsidRPr="00572688" w:rsidRDefault="00CF71BD">
      <w:pPr>
        <w:pStyle w:val="ListParagraph"/>
        <w:widowControl w:val="0"/>
        <w:numPr>
          <w:ilvl w:val="0"/>
          <w:numId w:val="33"/>
        </w:numPr>
        <w:autoSpaceDE w:val="0"/>
        <w:autoSpaceDN w:val="0"/>
        <w:spacing w:before="160" w:line="240" w:lineRule="auto"/>
        <w:ind w:left="720"/>
      </w:pPr>
      <w:r>
        <w:t>Identify concentrations of underserved communities and socially vulnerable populations, including residents of designated disadvantaged communities where applicable</w:t>
      </w:r>
    </w:p>
    <w:p w14:paraId="38305A51" w14:textId="5188B329" w:rsidR="00CF71BD" w:rsidRPr="00572688" w:rsidRDefault="00CF71BD">
      <w:pPr>
        <w:pStyle w:val="ListParagraph"/>
        <w:widowControl w:val="0"/>
        <w:numPr>
          <w:ilvl w:val="0"/>
          <w:numId w:val="33"/>
        </w:numPr>
        <w:autoSpaceDE w:val="0"/>
        <w:autoSpaceDN w:val="0"/>
        <w:spacing w:before="160" w:line="240" w:lineRule="auto"/>
        <w:ind w:left="720"/>
      </w:pPr>
      <w:r>
        <w:t>Consider areas of planned growth and projected population increases identified in local General Plans or regional forecasts and assess future vulnerability in those areas</w:t>
      </w:r>
    </w:p>
    <w:p w14:paraId="3205AC7E" w14:textId="2CE46879" w:rsidR="00CF71BD" w:rsidRPr="00572688" w:rsidRDefault="00CF71BD">
      <w:pPr>
        <w:pStyle w:val="ListParagraph"/>
        <w:widowControl w:val="0"/>
        <w:numPr>
          <w:ilvl w:val="0"/>
          <w:numId w:val="33"/>
        </w:numPr>
        <w:autoSpaceDE w:val="0"/>
        <w:autoSpaceDN w:val="0"/>
        <w:spacing w:before="160" w:line="240" w:lineRule="auto"/>
        <w:ind w:left="720"/>
      </w:pPr>
      <w:r>
        <w:t>Identify facilities that provide critical health, social, and human services essential to disaster response and long-term recovery</w:t>
      </w:r>
    </w:p>
    <w:p w14:paraId="1EB73A2A" w14:textId="064C018E" w:rsidR="00CF71BD" w:rsidRPr="00EA03BD" w:rsidRDefault="00CF71BD">
      <w:pPr>
        <w:pStyle w:val="ListParagraph"/>
        <w:widowControl w:val="0"/>
        <w:numPr>
          <w:ilvl w:val="0"/>
          <w:numId w:val="33"/>
        </w:numPr>
        <w:autoSpaceDE w:val="0"/>
        <w:autoSpaceDN w:val="0"/>
        <w:spacing w:before="160" w:line="240" w:lineRule="auto"/>
        <w:ind w:left="720"/>
      </w:pPr>
      <w:r>
        <w:t>Identify visiting and transient populations and where they are likely to be located, such as students, seasonal agricultural workers, Tribal visitors, second homeowners, tourists, and attendees at major events</w:t>
      </w:r>
    </w:p>
    <w:p w14:paraId="0E69F1F5" w14:textId="4316649E" w:rsidR="00C426E8" w:rsidRDefault="005E124C" w:rsidP="009B23DB">
      <w:pPr>
        <w:spacing w:before="160" w:line="240" w:lineRule="auto"/>
      </w:pPr>
      <w:r>
        <w:t>This will help us identify where residents may face greater barriers to preparing for, responding to, or recovering from climate-related hazards and disasters.</w:t>
      </w:r>
    </w:p>
    <w:p w14:paraId="20D31EB0" w14:textId="77777777" w:rsidR="009B23DB" w:rsidRDefault="009B23DB" w:rsidP="009B23DB">
      <w:pPr>
        <w:spacing w:before="160" w:line="240" w:lineRule="auto"/>
      </w:pPr>
    </w:p>
    <w:p w14:paraId="6C3B306C" w14:textId="48DDDF96" w:rsidR="00CF71BD" w:rsidRPr="00B17CBE" w:rsidRDefault="00AC7874" w:rsidP="009B23DB">
      <w:pPr>
        <w:pStyle w:val="Heading3"/>
        <w:spacing w:after="160" w:line="240" w:lineRule="auto"/>
      </w:pPr>
      <w:bookmarkStart w:id="107" w:name="_Toc224722682"/>
      <w:bookmarkStart w:id="108" w:name="_Toc235802693"/>
      <w:r>
        <w:t>Step 2.2A: Evaluate Social Vulnerability</w:t>
      </w:r>
      <w:bookmarkEnd w:id="107"/>
      <w:bookmarkEnd w:id="108"/>
    </w:p>
    <w:p w14:paraId="6EE81C8A" w14:textId="7DB61B74" w:rsidR="00D95CD9" w:rsidRPr="003321DF" w:rsidRDefault="00CF71BD" w:rsidP="00D95CD9">
      <w:pPr>
        <w:spacing w:before="160" w:line="240" w:lineRule="auto"/>
      </w:pPr>
      <w:r>
        <w:t xml:space="preserve">There are </w:t>
      </w:r>
      <w:r w:rsidR="79A07A5C">
        <w:t xml:space="preserve">social </w:t>
      </w:r>
      <w:r>
        <w:t xml:space="preserve">conditions that can make dealing with any climate hazard more difficult. For example, having a physical disability can impact one’s ability to evacuate during a flood or fire, or move to a cooling center during a heatwave. </w:t>
      </w:r>
      <w:r>
        <w:rPr>
          <w:u w:val="single"/>
        </w:rPr>
        <w:fldChar w:fldCharType="begin"/>
      </w:r>
      <w:r>
        <w:rPr>
          <w:u w:val="single"/>
        </w:rPr>
        <w:instrText xml:space="preserve"> REF _Ref230075932 \h  \* MERGEFORMAT </w:instrText>
      </w:r>
      <w:r>
        <w:rPr>
          <w:u w:val="single"/>
        </w:rPr>
      </w:r>
      <w:r>
        <w:rPr>
          <w:u w:val="single"/>
        </w:rPr>
        <w:fldChar w:fldCharType="separate"/>
      </w:r>
      <w:r w:rsidR="00517691" w:rsidRPr="00517691">
        <w:rPr>
          <w:u w:val="single"/>
        </w:rPr>
        <w:t xml:space="preserve">Table </w:t>
      </w:r>
      <w:r w:rsidR="00517691" w:rsidRPr="00517691">
        <w:rPr>
          <w:noProof/>
          <w:u w:val="single"/>
        </w:rPr>
        <w:t>7</w:t>
      </w:r>
      <w:r>
        <w:rPr>
          <w:u w:val="single"/>
        </w:rPr>
        <w:fldChar w:fldCharType="end"/>
      </w:r>
      <w:r>
        <w:t xml:space="preserve"> includes examples of indicators that capture general conditions that increase social vulnerability.</w:t>
      </w:r>
    </w:p>
    <w:p w14:paraId="3128638A" w14:textId="34753917" w:rsidR="000374B4" w:rsidRPr="00B17CBE" w:rsidRDefault="000374B4" w:rsidP="003321DF">
      <w:pPr>
        <w:spacing w:before="160" w:after="0" w:line="240" w:lineRule="auto"/>
      </w:pPr>
      <w:bookmarkStart w:id="109" w:name="_Ref230075932"/>
      <w:bookmarkStart w:id="110" w:name="_Ref230075928"/>
      <w:r w:rsidRPr="55DEB025">
        <w:rPr>
          <w:b/>
          <w:bCs/>
        </w:rPr>
        <w:t xml:space="preserve">Table </w:t>
      </w:r>
      <w:r w:rsidRPr="55DEB025">
        <w:rPr>
          <w:b/>
          <w:bCs/>
        </w:rPr>
        <w:fldChar w:fldCharType="begin"/>
      </w:r>
      <w:r w:rsidRPr="55DEB025">
        <w:rPr>
          <w:b/>
          <w:bCs/>
        </w:rPr>
        <w:instrText xml:space="preserve"> SEQ Table \* ARABIC </w:instrText>
      </w:r>
      <w:r w:rsidRPr="55DEB025">
        <w:rPr>
          <w:b/>
          <w:bCs/>
        </w:rPr>
        <w:fldChar w:fldCharType="separate"/>
      </w:r>
      <w:r w:rsidR="00517691">
        <w:rPr>
          <w:b/>
          <w:bCs/>
          <w:noProof/>
        </w:rPr>
        <w:t>7</w:t>
      </w:r>
      <w:r w:rsidRPr="55DEB025">
        <w:rPr>
          <w:b/>
          <w:bCs/>
        </w:rPr>
        <w:fldChar w:fldCharType="end"/>
      </w:r>
      <w:bookmarkEnd w:id="109"/>
      <w:r w:rsidRPr="55DEB025">
        <w:rPr>
          <w:b/>
          <w:bCs/>
        </w:rPr>
        <w:t>. Examples of indicators associated with increased social vulnerability included in the Vulnerable Communities Platform</w:t>
      </w:r>
      <w:bookmarkEnd w:id="110"/>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Description w:val="Table showing Examples of Indicators associated with increased social vulnerability included in the Vulnerable Communities Platform"/>
      </w:tblPr>
      <w:tblGrid>
        <w:gridCol w:w="1944"/>
        <w:gridCol w:w="3232"/>
        <w:gridCol w:w="4274"/>
      </w:tblGrid>
      <w:tr w:rsidR="002A1A7B" w:rsidRPr="00B17CBE" w14:paraId="0BC4DF90" w14:textId="77777777" w:rsidTr="55DEB025">
        <w:trPr>
          <w:trHeight w:val="300"/>
          <w:tblHeader/>
        </w:trPr>
        <w:tc>
          <w:tcPr>
            <w:tcW w:w="1944" w:type="dxa"/>
            <w:shd w:val="clear" w:color="auto" w:fill="000000" w:themeFill="text1"/>
            <w:vAlign w:val="center"/>
          </w:tcPr>
          <w:p w14:paraId="53CC45EC" w14:textId="50E7B036" w:rsidR="00CF71BD" w:rsidRPr="00F246F6" w:rsidRDefault="00CF71BD" w:rsidP="003321DF">
            <w:pPr>
              <w:spacing w:after="0" w:line="240" w:lineRule="auto"/>
              <w:rPr>
                <w:b/>
              </w:rPr>
            </w:pPr>
            <w:r>
              <w:rPr>
                <w:b/>
              </w:rPr>
              <w:t>Indicator Name</w:t>
            </w:r>
          </w:p>
        </w:tc>
        <w:tc>
          <w:tcPr>
            <w:tcW w:w="3232" w:type="dxa"/>
            <w:shd w:val="clear" w:color="auto" w:fill="000000" w:themeFill="text1"/>
            <w:vAlign w:val="center"/>
          </w:tcPr>
          <w:p w14:paraId="5EA34F3E" w14:textId="71BAA744" w:rsidR="00CF71BD" w:rsidRPr="00F246F6" w:rsidRDefault="00946117" w:rsidP="003321DF">
            <w:pPr>
              <w:spacing w:after="0" w:line="240" w:lineRule="auto"/>
              <w:rPr>
                <w:b/>
              </w:rPr>
            </w:pPr>
            <w:r>
              <w:rPr>
                <w:b/>
              </w:rPr>
              <w:t>Indicator Description</w:t>
            </w:r>
          </w:p>
        </w:tc>
        <w:tc>
          <w:tcPr>
            <w:tcW w:w="4274" w:type="dxa"/>
            <w:shd w:val="clear" w:color="auto" w:fill="000000" w:themeFill="text1"/>
            <w:vAlign w:val="center"/>
          </w:tcPr>
          <w:p w14:paraId="3A23D591" w14:textId="77777777" w:rsidR="00CF71BD" w:rsidRPr="00F246F6" w:rsidRDefault="00CF71BD" w:rsidP="003321DF">
            <w:pPr>
              <w:spacing w:after="0" w:line="240" w:lineRule="auto"/>
              <w:rPr>
                <w:b/>
              </w:rPr>
            </w:pPr>
            <w:r>
              <w:rPr>
                <w:b/>
              </w:rPr>
              <w:t>Reason</w:t>
            </w:r>
          </w:p>
        </w:tc>
      </w:tr>
      <w:tr w:rsidR="002A1A7B" w:rsidRPr="00B17CBE" w14:paraId="37525C59" w14:textId="77777777" w:rsidTr="55DEB025">
        <w:trPr>
          <w:trHeight w:val="300"/>
        </w:trPr>
        <w:tc>
          <w:tcPr>
            <w:tcW w:w="1944" w:type="dxa"/>
            <w:shd w:val="clear" w:color="auto" w:fill="FFFFFF" w:themeFill="background1"/>
          </w:tcPr>
          <w:p w14:paraId="1AC16085" w14:textId="144993D4" w:rsidR="00CF71BD" w:rsidRPr="00B17CBE" w:rsidRDefault="00027ED1" w:rsidP="00BB5ACB">
            <w:pPr>
              <w:spacing w:after="0" w:line="240" w:lineRule="auto"/>
            </w:pPr>
            <w:r>
              <w:t>Tribal Lands</w:t>
            </w:r>
          </w:p>
        </w:tc>
        <w:tc>
          <w:tcPr>
            <w:tcW w:w="3232" w:type="dxa"/>
            <w:shd w:val="clear" w:color="auto" w:fill="FFFFFF" w:themeFill="background1"/>
          </w:tcPr>
          <w:p w14:paraId="07A0938E" w14:textId="412C8EBB" w:rsidR="00CF71BD" w:rsidRPr="00B17CBE" w:rsidRDefault="00CF71BD" w:rsidP="00BB5ACB">
            <w:pPr>
              <w:spacing w:after="0" w:line="240" w:lineRule="auto"/>
            </w:pPr>
            <w:r>
              <w:t>Land held in trust for federally recognized Tribes (includes both off and on reservation trust lands).</w:t>
            </w:r>
          </w:p>
        </w:tc>
        <w:tc>
          <w:tcPr>
            <w:tcW w:w="4274" w:type="dxa"/>
            <w:shd w:val="clear" w:color="auto" w:fill="FFFFFF" w:themeFill="background1"/>
          </w:tcPr>
          <w:p w14:paraId="36495BC5" w14:textId="177E0E66" w:rsidR="00CF71BD" w:rsidRPr="00B17CBE" w:rsidRDefault="00E058E7" w:rsidP="00BB5ACB">
            <w:pPr>
              <w:spacing w:after="0" w:line="240" w:lineRule="auto"/>
            </w:pPr>
            <w:r>
              <w:t>Tribal lands have often been constrained to at-risk, low-value lands, suffer from continued disinvestment, and, as a result, populations often lack access to basic services, while economies are more susceptible to disruption from climate hazards.</w:t>
            </w:r>
          </w:p>
        </w:tc>
      </w:tr>
      <w:tr w:rsidR="002A1A7B" w:rsidRPr="00B17CBE" w14:paraId="78A189AC" w14:textId="77777777" w:rsidTr="55DEB025">
        <w:trPr>
          <w:trHeight w:val="300"/>
        </w:trPr>
        <w:tc>
          <w:tcPr>
            <w:tcW w:w="1944" w:type="dxa"/>
            <w:shd w:val="clear" w:color="auto" w:fill="D9D9D9" w:themeFill="background1" w:themeFillShade="D9"/>
          </w:tcPr>
          <w:p w14:paraId="6DAD9C9E" w14:textId="41B3CB37" w:rsidR="00CF71BD" w:rsidRPr="00B17CBE" w:rsidRDefault="00CF71BD" w:rsidP="00BB5ACB">
            <w:pPr>
              <w:spacing w:after="0" w:line="240" w:lineRule="auto"/>
            </w:pPr>
            <w:r>
              <w:t>Food Insecurity</w:t>
            </w:r>
          </w:p>
        </w:tc>
        <w:tc>
          <w:tcPr>
            <w:tcW w:w="3232" w:type="dxa"/>
            <w:shd w:val="clear" w:color="auto" w:fill="D9D9D9" w:themeFill="background1" w:themeFillShade="D9"/>
          </w:tcPr>
          <w:p w14:paraId="385E54E2" w14:textId="1092769D" w:rsidR="00CF71BD" w:rsidRPr="00B17CBE" w:rsidRDefault="00C25E58" w:rsidP="00BB5ACB">
            <w:pPr>
              <w:spacing w:after="0" w:line="240" w:lineRule="auto"/>
            </w:pPr>
            <w:r>
              <w:t>Households lack consistent access to food.</w:t>
            </w:r>
          </w:p>
        </w:tc>
        <w:tc>
          <w:tcPr>
            <w:tcW w:w="4274" w:type="dxa"/>
            <w:shd w:val="clear" w:color="auto" w:fill="D9D9D9" w:themeFill="background1" w:themeFillShade="D9"/>
          </w:tcPr>
          <w:p w14:paraId="15EB22C4" w14:textId="1B2792FA" w:rsidR="00CF71BD" w:rsidRPr="00B17CBE" w:rsidRDefault="00CF71BD" w:rsidP="00BB5ACB">
            <w:pPr>
              <w:spacing w:after="0" w:line="240" w:lineRule="auto"/>
            </w:pPr>
            <w:r>
              <w:t>Food insecurity can worsen health impacts and increase vulnerability during emergencies.</w:t>
            </w:r>
          </w:p>
        </w:tc>
      </w:tr>
      <w:tr w:rsidR="002A1A7B" w:rsidRPr="00B17CBE" w14:paraId="3F040872" w14:textId="77777777" w:rsidTr="55DEB025">
        <w:trPr>
          <w:trHeight w:val="300"/>
        </w:trPr>
        <w:tc>
          <w:tcPr>
            <w:tcW w:w="1944" w:type="dxa"/>
            <w:shd w:val="clear" w:color="auto" w:fill="FFFFFF" w:themeFill="background1"/>
          </w:tcPr>
          <w:p w14:paraId="682B8ED5" w14:textId="39241E9C" w:rsidR="00CF71BD" w:rsidRPr="00B17CBE" w:rsidRDefault="00CF71BD" w:rsidP="00BB5ACB">
            <w:pPr>
              <w:spacing w:after="0" w:line="240" w:lineRule="auto"/>
            </w:pPr>
            <w:r>
              <w:t>Housing Insecurity</w:t>
            </w:r>
          </w:p>
        </w:tc>
        <w:tc>
          <w:tcPr>
            <w:tcW w:w="3232" w:type="dxa"/>
            <w:shd w:val="clear" w:color="auto" w:fill="FFFFFF" w:themeFill="background1"/>
          </w:tcPr>
          <w:p w14:paraId="6A136B40" w14:textId="6740A400" w:rsidR="00CF71BD" w:rsidRPr="00B17CBE" w:rsidRDefault="00B52EA3" w:rsidP="00BB5ACB">
            <w:pPr>
              <w:spacing w:after="0" w:line="240" w:lineRule="auto"/>
            </w:pPr>
            <w:r>
              <w:t xml:space="preserve">Difficulty paying rent, mortgage, rent, or utility bills. </w:t>
            </w:r>
          </w:p>
        </w:tc>
        <w:tc>
          <w:tcPr>
            <w:tcW w:w="4274" w:type="dxa"/>
            <w:shd w:val="clear" w:color="auto" w:fill="FFFFFF" w:themeFill="background1"/>
          </w:tcPr>
          <w:p w14:paraId="06066958" w14:textId="57A8DE84" w:rsidR="00CF71BD" w:rsidRPr="00B17CBE" w:rsidRDefault="00835349" w:rsidP="00BB5ACB">
            <w:pPr>
              <w:spacing w:after="0" w:line="240" w:lineRule="auto"/>
            </w:pPr>
            <w:r>
              <w:t>Housing instability can reduce access to safe shelter during emergencies and reduce the ability to implement adaptive measures (e.g., cooling or heating).</w:t>
            </w:r>
          </w:p>
        </w:tc>
      </w:tr>
      <w:tr w:rsidR="002A1A7B" w:rsidRPr="00B17CBE" w14:paraId="59C77E8B" w14:textId="77777777" w:rsidTr="55DEB025">
        <w:trPr>
          <w:trHeight w:val="300"/>
        </w:trPr>
        <w:tc>
          <w:tcPr>
            <w:tcW w:w="1944" w:type="dxa"/>
            <w:shd w:val="clear" w:color="auto" w:fill="D9D9D9" w:themeFill="background1" w:themeFillShade="D9"/>
          </w:tcPr>
          <w:p w14:paraId="18C4CF17" w14:textId="14BE1CAF" w:rsidR="00CF71BD" w:rsidRPr="00B17CBE" w:rsidRDefault="00CF71BD" w:rsidP="00BB5ACB">
            <w:pPr>
              <w:spacing w:after="0" w:line="240" w:lineRule="auto"/>
            </w:pPr>
            <w:r>
              <w:rPr>
                <w:bCs/>
              </w:rPr>
              <w:t xml:space="preserve">Lacks Reliable </w:t>
            </w:r>
            <w:r>
              <w:t>Transportation</w:t>
            </w:r>
          </w:p>
        </w:tc>
        <w:tc>
          <w:tcPr>
            <w:tcW w:w="3232" w:type="dxa"/>
            <w:shd w:val="clear" w:color="auto" w:fill="D9D9D9" w:themeFill="background1" w:themeFillShade="D9"/>
          </w:tcPr>
          <w:p w14:paraId="51495862" w14:textId="083FB902" w:rsidR="00CF71BD" w:rsidRPr="00B17CBE" w:rsidRDefault="00033DBC" w:rsidP="00BB5ACB">
            <w:pPr>
              <w:spacing w:after="0" w:line="240" w:lineRule="auto"/>
            </w:pPr>
            <w:r>
              <w:t xml:space="preserve">Limited access to dependable transportation. </w:t>
            </w:r>
          </w:p>
        </w:tc>
        <w:tc>
          <w:tcPr>
            <w:tcW w:w="4274" w:type="dxa"/>
            <w:shd w:val="clear" w:color="auto" w:fill="D9D9D9" w:themeFill="background1" w:themeFillShade="D9"/>
          </w:tcPr>
          <w:p w14:paraId="294511C5" w14:textId="25D080F2" w:rsidR="00CF71BD" w:rsidRPr="00B17CBE" w:rsidRDefault="00033DBC" w:rsidP="00BB5ACB">
            <w:pPr>
              <w:spacing w:after="0" w:line="240" w:lineRule="auto"/>
            </w:pPr>
            <w:r>
              <w:t xml:space="preserve">Transportation barriers can hinder evacuation, access to services, and recovery efforts.  </w:t>
            </w:r>
          </w:p>
        </w:tc>
      </w:tr>
      <w:tr w:rsidR="002A1A7B" w:rsidRPr="00B17CBE" w14:paraId="6C802456" w14:textId="77777777" w:rsidTr="55DEB025">
        <w:trPr>
          <w:trHeight w:val="300"/>
        </w:trPr>
        <w:tc>
          <w:tcPr>
            <w:tcW w:w="1944" w:type="dxa"/>
            <w:shd w:val="clear" w:color="auto" w:fill="FFFFFF" w:themeFill="background1"/>
          </w:tcPr>
          <w:p w14:paraId="554E7B61" w14:textId="49028FB2" w:rsidR="00CF71BD" w:rsidRPr="00B17CBE" w:rsidRDefault="007850EC" w:rsidP="00BB5ACB">
            <w:pPr>
              <w:spacing w:after="0" w:line="240" w:lineRule="auto"/>
            </w:pPr>
            <w:r>
              <w:t>Children</w:t>
            </w:r>
          </w:p>
        </w:tc>
        <w:tc>
          <w:tcPr>
            <w:tcW w:w="3232" w:type="dxa"/>
            <w:shd w:val="clear" w:color="auto" w:fill="FFFFFF" w:themeFill="background1"/>
          </w:tcPr>
          <w:p w14:paraId="3EE00CC2" w14:textId="12EF5093" w:rsidR="00CF71BD" w:rsidRPr="00B17CBE" w:rsidRDefault="00513DDA" w:rsidP="00BB5ACB">
            <w:pPr>
              <w:spacing w:after="0" w:line="240" w:lineRule="auto"/>
            </w:pPr>
            <w:r>
              <w:t>Population under age 5.</w:t>
            </w:r>
          </w:p>
        </w:tc>
        <w:tc>
          <w:tcPr>
            <w:tcW w:w="4274" w:type="dxa"/>
            <w:shd w:val="clear" w:color="auto" w:fill="FFFFFF" w:themeFill="background1"/>
          </w:tcPr>
          <w:p w14:paraId="3456441F" w14:textId="7EB81CB8" w:rsidR="00CF71BD" w:rsidRPr="00B17CBE" w:rsidRDefault="007850EC" w:rsidP="00BB5ACB">
            <w:pPr>
              <w:spacing w:after="0" w:line="240" w:lineRule="auto"/>
            </w:pPr>
            <w:r>
              <w:t xml:space="preserve">Young children are more vulnerable to climate hazards and depend on others for safety and care. </w:t>
            </w:r>
          </w:p>
        </w:tc>
      </w:tr>
    </w:tbl>
    <w:p w14:paraId="126D9D38" w14:textId="3F891219" w:rsidR="001A4FDC" w:rsidRDefault="00152796" w:rsidP="55DEB025">
      <w:pPr>
        <w:spacing w:before="160" w:line="240" w:lineRule="auto"/>
      </w:pPr>
      <w:r>
        <w:t>There are also conditions that only increase vulnerability to certain climate hazards.</w:t>
      </w:r>
      <w:r w:rsidR="1C2AF036">
        <w:t xml:space="preserve"> </w:t>
      </w:r>
      <w:r>
        <w:t xml:space="preserve">For example, having asthma may make a person more susceptible to wildfire smoke or extreme heat. </w:t>
      </w:r>
      <w:r w:rsidR="12DC3A9F">
        <w:t>Relying on domestic wells and state small water systems may also position a community to be more vulnerable to drought</w:t>
      </w:r>
      <w:r>
        <w:t>. Below</w:t>
      </w:r>
      <w:r w:rsidR="1B7DC665">
        <w:t>, in Table 8,</w:t>
      </w:r>
      <w:r>
        <w:t xml:space="preserve"> are examples of indicators associated with specific climate hazards.</w:t>
      </w:r>
      <w:r w:rsidRPr="20389150">
        <w:rPr>
          <w:b/>
          <w:bCs/>
        </w:rPr>
        <w:t xml:space="preserve"> </w:t>
      </w:r>
      <w:r>
        <w:t xml:space="preserve">For the full list of indicators included in the VCP, please reference the 2026 </w:t>
      </w:r>
      <w:hyperlink r:id="rId180" w:history="1">
        <w:r w:rsidRPr="20389150">
          <w:rPr>
            <w:rStyle w:val="Hyperlink"/>
          </w:rPr>
          <w:t>Methodology Report</w:t>
        </w:r>
      </w:hyperlink>
      <w:r>
        <w:t>.</w:t>
      </w:r>
    </w:p>
    <w:p w14:paraId="2A1F29A1" w14:textId="3D1B2832" w:rsidR="001A4FDC" w:rsidRDefault="001A4FDC" w:rsidP="001A4FDC">
      <w:pPr>
        <w:pStyle w:val="ListParagraph"/>
        <w:spacing w:line="278" w:lineRule="auto"/>
      </w:pPr>
    </w:p>
    <w:p w14:paraId="10BF4659" w14:textId="147298C2" w:rsidR="00364B8B" w:rsidRPr="0059226D" w:rsidRDefault="00B8200E" w:rsidP="00BB5ACB">
      <w:pPr>
        <w:spacing w:after="0" w:line="240" w:lineRule="auto"/>
        <w:ind w:left="-360"/>
      </w:pPr>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8</w:t>
      </w:r>
      <w:r>
        <w:rPr>
          <w:b/>
          <w:bCs/>
        </w:rPr>
        <w:fldChar w:fldCharType="end"/>
      </w:r>
      <w:r>
        <w:rPr>
          <w:b/>
          <w:bCs/>
        </w:rPr>
        <w:t>. Examples of hazard-specific indicators associated with increased social vulnerability included in the Vulnerable Communities Platform</w:t>
      </w:r>
    </w:p>
    <w:tbl>
      <w:tblPr>
        <w:tblW w:w="9905"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Description w:val="6 indicator examples, descriptions, applicable climate hazards, and reason that the indicator is associated with increased social vulnerability"/>
      </w:tblPr>
      <w:tblGrid>
        <w:gridCol w:w="1265"/>
        <w:gridCol w:w="3220"/>
        <w:gridCol w:w="2070"/>
        <w:gridCol w:w="3350"/>
      </w:tblGrid>
      <w:tr w:rsidR="002A1A7B" w:rsidRPr="00B17CBE" w14:paraId="4FBA7875" w14:textId="77777777" w:rsidTr="007107AC">
        <w:trPr>
          <w:cantSplit/>
          <w:trHeight w:val="300"/>
          <w:tblHeader/>
        </w:trPr>
        <w:tc>
          <w:tcPr>
            <w:tcW w:w="1265" w:type="dxa"/>
            <w:shd w:val="clear" w:color="auto" w:fill="000000" w:themeFill="text1"/>
            <w:vAlign w:val="center"/>
          </w:tcPr>
          <w:p w14:paraId="6E2D6B4D" w14:textId="7A15D9AA" w:rsidR="00CF71BD" w:rsidRPr="00F246F6" w:rsidRDefault="00CF71BD" w:rsidP="00BB5ACB">
            <w:pPr>
              <w:spacing w:after="0" w:line="240" w:lineRule="auto"/>
              <w:jc w:val="center"/>
              <w:rPr>
                <w:b/>
              </w:rPr>
            </w:pPr>
            <w:r>
              <w:rPr>
                <w:b/>
              </w:rPr>
              <w:t>Indicator Name</w:t>
            </w:r>
          </w:p>
        </w:tc>
        <w:tc>
          <w:tcPr>
            <w:tcW w:w="3220" w:type="dxa"/>
            <w:shd w:val="clear" w:color="auto" w:fill="000000" w:themeFill="text1"/>
            <w:vAlign w:val="center"/>
          </w:tcPr>
          <w:p w14:paraId="5F7A5072" w14:textId="0DB83092" w:rsidR="00CF71BD" w:rsidRPr="00F246F6" w:rsidRDefault="00946117" w:rsidP="00BB5ACB">
            <w:pPr>
              <w:spacing w:after="0" w:line="240" w:lineRule="auto"/>
              <w:jc w:val="center"/>
              <w:rPr>
                <w:b/>
              </w:rPr>
            </w:pPr>
            <w:r>
              <w:rPr>
                <w:b/>
              </w:rPr>
              <w:t>Indicator Description</w:t>
            </w:r>
          </w:p>
        </w:tc>
        <w:tc>
          <w:tcPr>
            <w:tcW w:w="2070" w:type="dxa"/>
            <w:shd w:val="clear" w:color="auto" w:fill="000000" w:themeFill="text1"/>
            <w:vAlign w:val="center"/>
          </w:tcPr>
          <w:p w14:paraId="726D1FC5" w14:textId="069D9D6D" w:rsidR="00CF71BD" w:rsidRPr="00F246F6" w:rsidRDefault="00CF71BD" w:rsidP="00BB5ACB">
            <w:pPr>
              <w:spacing w:after="0" w:line="240" w:lineRule="auto"/>
              <w:jc w:val="center"/>
              <w:rPr>
                <w:b/>
              </w:rPr>
            </w:pPr>
            <w:r>
              <w:rPr>
                <w:b/>
              </w:rPr>
              <w:t>Applicable Climate Hazard</w:t>
            </w:r>
          </w:p>
        </w:tc>
        <w:tc>
          <w:tcPr>
            <w:tcW w:w="3350" w:type="dxa"/>
            <w:shd w:val="clear" w:color="auto" w:fill="000000" w:themeFill="text1"/>
            <w:vAlign w:val="center"/>
          </w:tcPr>
          <w:p w14:paraId="5F68BA28" w14:textId="41324290" w:rsidR="00CF71BD" w:rsidRPr="00F246F6" w:rsidRDefault="00CF71BD" w:rsidP="00BB5ACB">
            <w:pPr>
              <w:spacing w:after="0" w:line="240" w:lineRule="auto"/>
              <w:jc w:val="center"/>
              <w:rPr>
                <w:b/>
              </w:rPr>
            </w:pPr>
            <w:r>
              <w:rPr>
                <w:b/>
              </w:rPr>
              <w:t>Reason</w:t>
            </w:r>
          </w:p>
        </w:tc>
      </w:tr>
      <w:tr w:rsidR="00677567" w:rsidRPr="00B17CBE" w14:paraId="29B9555E" w14:textId="77777777" w:rsidTr="007107AC">
        <w:trPr>
          <w:cantSplit/>
          <w:trHeight w:val="300"/>
        </w:trPr>
        <w:tc>
          <w:tcPr>
            <w:tcW w:w="1265" w:type="dxa"/>
            <w:shd w:val="clear" w:color="auto" w:fill="FFFFFF" w:themeFill="background1"/>
          </w:tcPr>
          <w:p w14:paraId="3FABF7DF" w14:textId="69F28CE1" w:rsidR="00CF71BD" w:rsidRPr="00B17CBE" w:rsidRDefault="00CF71BD" w:rsidP="00BB5ACB">
            <w:pPr>
              <w:spacing w:after="0" w:line="240" w:lineRule="auto"/>
            </w:pPr>
            <w:r>
              <w:t>Asthma</w:t>
            </w:r>
          </w:p>
        </w:tc>
        <w:tc>
          <w:tcPr>
            <w:tcW w:w="3220" w:type="dxa"/>
            <w:shd w:val="clear" w:color="auto" w:fill="FFFFFF" w:themeFill="background1"/>
          </w:tcPr>
          <w:p w14:paraId="4350F7E9" w14:textId="7195A2FC" w:rsidR="00CF71BD" w:rsidRPr="00B17CBE" w:rsidRDefault="00CF71BD" w:rsidP="00BB5ACB">
            <w:pPr>
              <w:spacing w:after="0" w:line="240" w:lineRule="auto"/>
            </w:pPr>
            <w:r>
              <w:t>Probability of having current asthma based on ever having it and/or still having it.</w:t>
            </w:r>
          </w:p>
        </w:tc>
        <w:tc>
          <w:tcPr>
            <w:tcW w:w="2070" w:type="dxa"/>
            <w:shd w:val="clear" w:color="auto" w:fill="FFFFFF" w:themeFill="background1"/>
          </w:tcPr>
          <w:p w14:paraId="14436D94" w14:textId="04CAA2B5" w:rsidR="00CF71BD" w:rsidRPr="00B17CBE" w:rsidRDefault="00CF71BD" w:rsidP="00BB5ACB">
            <w:pPr>
              <w:spacing w:after="0" w:line="240" w:lineRule="auto"/>
            </w:pPr>
            <w:r>
              <w:t>Extreme Heat &amp; Wildfire Smoke</w:t>
            </w:r>
          </w:p>
        </w:tc>
        <w:tc>
          <w:tcPr>
            <w:tcW w:w="3350" w:type="dxa"/>
            <w:shd w:val="clear" w:color="auto" w:fill="FFFFFF" w:themeFill="background1"/>
          </w:tcPr>
          <w:p w14:paraId="79CF88A0" w14:textId="7039DEF9" w:rsidR="00CF71BD" w:rsidRPr="00B17CBE" w:rsidRDefault="00CF71BD" w:rsidP="00BB5ACB">
            <w:pPr>
              <w:spacing w:after="0" w:line="240" w:lineRule="auto"/>
            </w:pPr>
            <w:r>
              <w:t>Leads to greater difficulty breathing and a higher risk of mortality.</w:t>
            </w:r>
          </w:p>
        </w:tc>
      </w:tr>
      <w:tr w:rsidR="00677567" w:rsidRPr="00B17CBE" w14:paraId="4B8850AE" w14:textId="77777777" w:rsidTr="007107AC">
        <w:trPr>
          <w:cantSplit/>
          <w:trHeight w:val="300"/>
        </w:trPr>
        <w:tc>
          <w:tcPr>
            <w:tcW w:w="1265" w:type="dxa"/>
            <w:shd w:val="clear" w:color="auto" w:fill="D9D9D9" w:themeFill="background1" w:themeFillShade="D9"/>
          </w:tcPr>
          <w:p w14:paraId="1914E9E5" w14:textId="28D39E44" w:rsidR="00CF71BD" w:rsidRPr="00B17CBE" w:rsidRDefault="00CF71BD" w:rsidP="00BB5ACB">
            <w:pPr>
              <w:spacing w:after="0" w:line="240" w:lineRule="auto"/>
            </w:pPr>
            <w:r>
              <w:t xml:space="preserve">Air </w:t>
            </w:r>
            <w:r>
              <w:rPr>
                <w:bCs/>
              </w:rPr>
              <w:t>Quality</w:t>
            </w:r>
            <w:r>
              <w:t xml:space="preserve"> PM2.5</w:t>
            </w:r>
          </w:p>
        </w:tc>
        <w:tc>
          <w:tcPr>
            <w:tcW w:w="3220" w:type="dxa"/>
            <w:shd w:val="clear" w:color="auto" w:fill="D9D9D9" w:themeFill="background1" w:themeFillShade="D9"/>
          </w:tcPr>
          <w:p w14:paraId="525DB43B" w14:textId="6D7A1984" w:rsidR="00CF71BD" w:rsidRPr="00B17CBE" w:rsidRDefault="00095EBE" w:rsidP="00BB5ACB">
            <w:pPr>
              <w:spacing w:after="0" w:line="240" w:lineRule="auto"/>
            </w:pPr>
            <w:r>
              <w:t>A populated area that has pollution particles above safe levels on average.</w:t>
            </w:r>
          </w:p>
        </w:tc>
        <w:tc>
          <w:tcPr>
            <w:tcW w:w="2070" w:type="dxa"/>
            <w:shd w:val="clear" w:color="auto" w:fill="D9D9D9" w:themeFill="background1" w:themeFillShade="D9"/>
          </w:tcPr>
          <w:p w14:paraId="6FD8248E" w14:textId="6D0B461B" w:rsidR="00CF71BD" w:rsidRPr="00B17CBE" w:rsidRDefault="00CF71BD" w:rsidP="00BB5ACB">
            <w:pPr>
              <w:spacing w:after="0" w:line="240" w:lineRule="auto"/>
            </w:pPr>
            <w:r>
              <w:t>Extreme Heat</w:t>
            </w:r>
          </w:p>
        </w:tc>
        <w:tc>
          <w:tcPr>
            <w:tcW w:w="3350" w:type="dxa"/>
            <w:shd w:val="clear" w:color="auto" w:fill="D9D9D9" w:themeFill="background1" w:themeFillShade="D9"/>
          </w:tcPr>
          <w:p w14:paraId="51FF55B8" w14:textId="6ECF5C66" w:rsidR="00CF71BD" w:rsidRPr="00B17CBE" w:rsidRDefault="00CF71BD" w:rsidP="00BB5ACB">
            <w:pPr>
              <w:spacing w:after="0" w:line="240" w:lineRule="auto"/>
            </w:pPr>
            <w:r>
              <w:t>Both heat and exposure to fine particulate matter (PM 2.5) cause adverse health impacts – often co-occurring and compounding the effects, including increased mortality risk.</w:t>
            </w:r>
          </w:p>
        </w:tc>
      </w:tr>
      <w:tr w:rsidR="00677567" w:rsidRPr="00B17CBE" w14:paraId="15827D24" w14:textId="77777777" w:rsidTr="007107AC">
        <w:trPr>
          <w:cantSplit/>
          <w:trHeight w:val="300"/>
        </w:trPr>
        <w:tc>
          <w:tcPr>
            <w:tcW w:w="1265" w:type="dxa"/>
            <w:shd w:val="clear" w:color="auto" w:fill="FFFFFF" w:themeFill="background1"/>
          </w:tcPr>
          <w:p w14:paraId="5669D483" w14:textId="34B19FF1" w:rsidR="00CF71BD" w:rsidRPr="00B17CBE" w:rsidRDefault="001F61FA" w:rsidP="00BB5ACB">
            <w:pPr>
              <w:spacing w:after="0" w:line="240" w:lineRule="auto"/>
            </w:pPr>
            <w:r>
              <w:t>Surface Urban Heat Island (SUHI)</w:t>
            </w:r>
          </w:p>
        </w:tc>
        <w:tc>
          <w:tcPr>
            <w:tcW w:w="3220" w:type="dxa"/>
            <w:shd w:val="clear" w:color="auto" w:fill="FFFFFF" w:themeFill="background1"/>
          </w:tcPr>
          <w:p w14:paraId="350A92C3" w14:textId="3DD79D6B" w:rsidR="00CF71BD" w:rsidRPr="00B17CBE" w:rsidRDefault="00CF71BD" w:rsidP="00BB5ACB">
            <w:pPr>
              <w:spacing w:after="0" w:line="240" w:lineRule="auto"/>
            </w:pPr>
            <w:r>
              <w:t>Summertime SUHI intensities for daytime and nighttime.</w:t>
            </w:r>
          </w:p>
        </w:tc>
        <w:tc>
          <w:tcPr>
            <w:tcW w:w="2070" w:type="dxa"/>
            <w:shd w:val="clear" w:color="auto" w:fill="FFFFFF" w:themeFill="background1"/>
          </w:tcPr>
          <w:p w14:paraId="71AD0F44" w14:textId="0E802D7B" w:rsidR="00CF71BD" w:rsidRPr="00B17CBE" w:rsidRDefault="00CF71BD" w:rsidP="00BB5ACB">
            <w:pPr>
              <w:spacing w:after="0" w:line="240" w:lineRule="auto"/>
            </w:pPr>
            <w:r>
              <w:t>Extreme Heat</w:t>
            </w:r>
          </w:p>
        </w:tc>
        <w:tc>
          <w:tcPr>
            <w:tcW w:w="3350" w:type="dxa"/>
            <w:shd w:val="clear" w:color="auto" w:fill="FFFFFF" w:themeFill="background1"/>
          </w:tcPr>
          <w:p w14:paraId="172F8809" w14:textId="4B8F5E47" w:rsidR="00CF71BD" w:rsidRPr="00B17CBE" w:rsidRDefault="00CF71BD" w:rsidP="00BB5ACB">
            <w:pPr>
              <w:spacing w:after="0" w:line="240" w:lineRule="auto"/>
            </w:pPr>
            <w:r>
              <w:t>Intensifies climate-driven heat risks, especially for marginalized communities lacking cooling infrastructure, shade, and green space.</w:t>
            </w:r>
          </w:p>
        </w:tc>
      </w:tr>
      <w:tr w:rsidR="00677567" w:rsidRPr="00B17CBE" w14:paraId="1A6D935A" w14:textId="77777777" w:rsidTr="007107AC">
        <w:trPr>
          <w:cantSplit/>
          <w:trHeight w:val="300"/>
        </w:trPr>
        <w:tc>
          <w:tcPr>
            <w:tcW w:w="1265" w:type="dxa"/>
            <w:shd w:val="clear" w:color="auto" w:fill="D9D9D9" w:themeFill="background1" w:themeFillShade="D9"/>
          </w:tcPr>
          <w:p w14:paraId="4A078693" w14:textId="3CA68557" w:rsidR="00CF71BD" w:rsidRPr="00B17CBE" w:rsidRDefault="00B867B3" w:rsidP="00BB5ACB">
            <w:pPr>
              <w:spacing w:after="0" w:line="240" w:lineRule="auto"/>
            </w:pPr>
            <w:r>
              <w:t>Tenancy</w:t>
            </w:r>
          </w:p>
        </w:tc>
        <w:tc>
          <w:tcPr>
            <w:tcW w:w="3220" w:type="dxa"/>
            <w:shd w:val="clear" w:color="auto" w:fill="D9D9D9" w:themeFill="background1" w:themeFillShade="D9"/>
          </w:tcPr>
          <w:p w14:paraId="1DC28D98" w14:textId="72CD949F" w:rsidR="00CF71BD" w:rsidRPr="00B17CBE" w:rsidRDefault="00CF71BD" w:rsidP="00BB5ACB">
            <w:pPr>
              <w:spacing w:after="0" w:line="240" w:lineRule="auto"/>
            </w:pPr>
            <w:r>
              <w:t>Percent of the population living in housing units that are rented.</w:t>
            </w:r>
          </w:p>
        </w:tc>
        <w:tc>
          <w:tcPr>
            <w:tcW w:w="2070" w:type="dxa"/>
            <w:shd w:val="clear" w:color="auto" w:fill="D9D9D9" w:themeFill="background1" w:themeFillShade="D9"/>
          </w:tcPr>
          <w:p w14:paraId="4BBED20A" w14:textId="45BCB05A" w:rsidR="00CF71BD" w:rsidRPr="00B17CBE" w:rsidRDefault="00CF71BD" w:rsidP="00BB5ACB">
            <w:pPr>
              <w:spacing w:after="0" w:line="240" w:lineRule="auto"/>
            </w:pPr>
            <w:r>
              <w:t>Flooding, SLR, &amp; Wildfire</w:t>
            </w:r>
          </w:p>
        </w:tc>
        <w:tc>
          <w:tcPr>
            <w:tcW w:w="3350" w:type="dxa"/>
            <w:shd w:val="clear" w:color="auto" w:fill="D9D9D9" w:themeFill="background1" w:themeFillShade="D9"/>
          </w:tcPr>
          <w:p w14:paraId="728CB0F5" w14:textId="6AC25AF1" w:rsidR="00CF71BD" w:rsidRPr="00B17CBE" w:rsidRDefault="00CF71BD" w:rsidP="00BB5ACB">
            <w:pPr>
              <w:spacing w:after="0" w:line="240" w:lineRule="auto"/>
            </w:pPr>
            <w:r>
              <w:t>Higher climate risks due to limited control over their housing, greater exposure to hazard-prone areas, and fewer resources for mitigation or recovery.</w:t>
            </w:r>
          </w:p>
        </w:tc>
      </w:tr>
      <w:tr w:rsidR="00677567" w:rsidRPr="00B17CBE" w14:paraId="21D6A9C9" w14:textId="77777777" w:rsidTr="007107AC">
        <w:trPr>
          <w:cantSplit/>
          <w:trHeight w:val="300"/>
        </w:trPr>
        <w:tc>
          <w:tcPr>
            <w:tcW w:w="1265" w:type="dxa"/>
            <w:shd w:val="clear" w:color="auto" w:fill="FFFFFF" w:themeFill="background1"/>
          </w:tcPr>
          <w:p w14:paraId="78BAB058" w14:textId="6F29E966" w:rsidR="00CF71BD" w:rsidRPr="00CF71BD" w:rsidRDefault="00CF71BD" w:rsidP="00BB5ACB">
            <w:pPr>
              <w:spacing w:after="0" w:line="240" w:lineRule="auto"/>
            </w:pPr>
            <w:r>
              <w:t>Near Water Pollution Source</w:t>
            </w:r>
          </w:p>
        </w:tc>
        <w:tc>
          <w:tcPr>
            <w:tcW w:w="3220" w:type="dxa"/>
            <w:shd w:val="clear" w:color="auto" w:fill="FFFFFF" w:themeFill="background1"/>
          </w:tcPr>
          <w:p w14:paraId="442FB5D5" w14:textId="404BD8DD" w:rsidR="00CF71BD" w:rsidRPr="00B17CBE" w:rsidRDefault="00CF71BD" w:rsidP="00BB5ACB">
            <w:pPr>
              <w:spacing w:after="0" w:line="240" w:lineRule="auto"/>
            </w:pPr>
            <w:r>
              <w:t>Areas within one mile of a facility of concern monitored by the State Water Resources Control Board.</w:t>
            </w:r>
          </w:p>
        </w:tc>
        <w:tc>
          <w:tcPr>
            <w:tcW w:w="2070" w:type="dxa"/>
            <w:shd w:val="clear" w:color="auto" w:fill="FFFFFF" w:themeFill="background1"/>
          </w:tcPr>
          <w:p w14:paraId="755F9354" w14:textId="3CE24B2D" w:rsidR="00CF71BD" w:rsidRPr="00B17CBE" w:rsidRDefault="00CF71BD" w:rsidP="00BB5ACB">
            <w:pPr>
              <w:spacing w:after="0" w:line="240" w:lineRule="auto"/>
            </w:pPr>
            <w:r>
              <w:t>Flooding &amp; SLR</w:t>
            </w:r>
          </w:p>
        </w:tc>
        <w:tc>
          <w:tcPr>
            <w:tcW w:w="3350" w:type="dxa"/>
            <w:shd w:val="clear" w:color="auto" w:fill="FFFFFF" w:themeFill="background1"/>
          </w:tcPr>
          <w:p w14:paraId="6EA3ED62" w14:textId="3EDB7CA5" w:rsidR="00CF71BD" w:rsidRPr="00B17CBE" w:rsidRDefault="00CF71BD" w:rsidP="00BB5ACB">
            <w:pPr>
              <w:spacing w:after="0" w:line="240" w:lineRule="auto"/>
            </w:pPr>
            <w:r>
              <w:t>Climate hazards can alter and transport residual contaminants from toxic facilities, making them more toxic and bringing them into contact with humans.</w:t>
            </w:r>
          </w:p>
        </w:tc>
      </w:tr>
      <w:tr w:rsidR="00677567" w:rsidRPr="00B17CBE" w14:paraId="548DCD6A" w14:textId="77777777" w:rsidTr="007107AC">
        <w:trPr>
          <w:cantSplit/>
          <w:trHeight w:val="300"/>
        </w:trPr>
        <w:tc>
          <w:tcPr>
            <w:tcW w:w="1265" w:type="dxa"/>
            <w:shd w:val="clear" w:color="auto" w:fill="D9D9D9" w:themeFill="background1" w:themeFillShade="D9"/>
          </w:tcPr>
          <w:p w14:paraId="2317F137" w14:textId="390FC01D" w:rsidR="00CF71BD" w:rsidRPr="00B17CBE" w:rsidRDefault="00CF71BD" w:rsidP="00BB5ACB">
            <w:pPr>
              <w:spacing w:after="0" w:line="240" w:lineRule="auto"/>
            </w:pPr>
            <w:r>
              <w:t>Water System Risk</w:t>
            </w:r>
          </w:p>
        </w:tc>
        <w:tc>
          <w:tcPr>
            <w:tcW w:w="3220" w:type="dxa"/>
            <w:shd w:val="clear" w:color="auto" w:fill="D9D9D9" w:themeFill="background1" w:themeFillShade="D9"/>
          </w:tcPr>
          <w:p w14:paraId="688DA27F" w14:textId="0FF347D7" w:rsidR="00CF71BD" w:rsidRPr="00B17CBE" w:rsidRDefault="00CF71BD" w:rsidP="00BB5ACB">
            <w:pPr>
              <w:spacing w:after="0" w:line="240" w:lineRule="auto"/>
            </w:pPr>
            <w:r>
              <w:t>If a water system service area is failing, at-risk of failing, a high-risk aquifer, or outside a CA water system service area.</w:t>
            </w:r>
          </w:p>
        </w:tc>
        <w:tc>
          <w:tcPr>
            <w:tcW w:w="2070" w:type="dxa"/>
            <w:shd w:val="clear" w:color="auto" w:fill="D9D9D9" w:themeFill="background1" w:themeFillShade="D9"/>
          </w:tcPr>
          <w:p w14:paraId="1C9FC1F9" w14:textId="3517F441" w:rsidR="00CF71BD" w:rsidRPr="00B17CBE" w:rsidRDefault="00CF71BD" w:rsidP="00BB5ACB">
            <w:pPr>
              <w:spacing w:after="0" w:line="240" w:lineRule="auto"/>
            </w:pPr>
            <w:r>
              <w:t>Drought</w:t>
            </w:r>
          </w:p>
        </w:tc>
        <w:tc>
          <w:tcPr>
            <w:tcW w:w="3350" w:type="dxa"/>
            <w:shd w:val="clear" w:color="auto" w:fill="D9D9D9" w:themeFill="background1" w:themeFillShade="D9"/>
          </w:tcPr>
          <w:p w14:paraId="37E12D26" w14:textId="2080B9D3" w:rsidR="00CF71BD" w:rsidRPr="00B17CBE" w:rsidRDefault="00CF71BD" w:rsidP="00BB5ACB">
            <w:pPr>
              <w:spacing w:after="0" w:line="240" w:lineRule="auto"/>
            </w:pPr>
            <w:r>
              <w:t>Drought reduces the availability and reliability of water sources, strains failing systems, and increases costs of safe water.</w:t>
            </w:r>
          </w:p>
        </w:tc>
      </w:tr>
    </w:tbl>
    <w:p w14:paraId="5113F3CA" w14:textId="77777777" w:rsidR="00C55517" w:rsidRDefault="00C55517" w:rsidP="00C55517">
      <w:pPr>
        <w:pStyle w:val="ListParagraph"/>
        <w:spacing w:line="278" w:lineRule="auto"/>
        <w:ind w:left="0"/>
      </w:pPr>
    </w:p>
    <w:p w14:paraId="12D42BE7" w14:textId="18CFA742" w:rsidR="00C55517" w:rsidRPr="00BE48FE" w:rsidRDefault="00C55517" w:rsidP="00C55517">
      <w:pPr>
        <w:pStyle w:val="ListParagraph"/>
        <w:spacing w:line="278" w:lineRule="auto"/>
        <w:ind w:left="0"/>
        <w:rPr>
          <w:rFonts w:eastAsiaTheme="minorEastAsia"/>
          <w:color w:val="000000" w:themeColor="text1"/>
          <w:szCs w:val="24"/>
        </w:rPr>
      </w:pPr>
      <w:r>
        <w:t>The indicators shown in Table 7 and Table 8 represent conditions that may increase vulnerability but</w:t>
      </w:r>
      <w:r w:rsidR="004B432B">
        <w:t xml:space="preserve"> </w:t>
      </w:r>
      <w:r>
        <w:rPr>
          <w:rFonts w:eastAsia="Century Gothic" w:cs="Century Gothic"/>
          <w:color w:val="000000" w:themeColor="text1"/>
          <w:szCs w:val="24"/>
        </w:rPr>
        <w:t>are not a comprehensive list. Some conditions are difficult to represent spatially or are not well represented in state and national datasets. For example, unhoused individuals</w:t>
      </w:r>
      <w:r>
        <w:rPr>
          <w:rFonts w:ascii="Bierstadt" w:eastAsia="Bierstadt" w:hAnsi="Bierstadt" w:cs="Bierstadt"/>
          <w:color w:val="000000" w:themeColor="text1"/>
          <w:szCs w:val="24"/>
        </w:rPr>
        <w:t xml:space="preserve"> </w:t>
      </w:r>
      <w:r>
        <w:rPr>
          <w:rFonts w:eastAsiaTheme="minorEastAsia"/>
          <w:color w:val="000000" w:themeColor="text1"/>
          <w:szCs w:val="24"/>
        </w:rPr>
        <w:t xml:space="preserve">are a critical issue for many cities across California, but mapping unhoused populations across the state remains a challenge and is not included in the VCP. The fact that unhoused individuals are disproportionately exposed to climate events makes it important for planning entities to consider this population in their climate adaptation work. </w:t>
      </w:r>
    </w:p>
    <w:p w14:paraId="70A4F842" w14:textId="77777777" w:rsidR="00C55517" w:rsidRPr="00BE48FE" w:rsidRDefault="00C55517" w:rsidP="00C55517">
      <w:pPr>
        <w:pStyle w:val="ListParagraph"/>
        <w:spacing w:line="278" w:lineRule="auto"/>
        <w:ind w:left="0"/>
        <w:rPr>
          <w:rFonts w:eastAsiaTheme="minorEastAsia"/>
          <w:color w:val="000000" w:themeColor="text1"/>
          <w:szCs w:val="24"/>
        </w:rPr>
      </w:pPr>
    </w:p>
    <w:p w14:paraId="03D4F6CA" w14:textId="77777777" w:rsidR="00C55517" w:rsidRPr="00BE48FE" w:rsidRDefault="00C55517" w:rsidP="00C55517">
      <w:pPr>
        <w:pStyle w:val="ListParagraph"/>
        <w:spacing w:line="278" w:lineRule="auto"/>
        <w:ind w:left="0"/>
        <w:rPr>
          <w:rFonts w:eastAsiaTheme="minorEastAsia"/>
          <w:color w:val="000000" w:themeColor="text1"/>
          <w:szCs w:val="24"/>
        </w:rPr>
      </w:pPr>
      <w:r>
        <w:rPr>
          <w:rFonts w:eastAsiaTheme="minorEastAsia"/>
          <w:color w:val="000000" w:themeColor="text1"/>
          <w:szCs w:val="24"/>
        </w:rPr>
        <w:t>Additionally, vulnerability assessment tools also often rely on census-based data, which may not fully capture local conditions depending on the size and characteristics of census geographies. These limitations can be especially relevant in rural areas, where populations are more dispersed and census areas may encompass diverse conditions. Planning entities can address these gaps by incorporating additional local data, community knowledge, and engagement to better understand place-specific vulnerabilities. Quantitative indicators from maps and tools should be used alongside qualitative information to develop a more complete understanding of social vulnerability.</w:t>
      </w:r>
    </w:p>
    <w:p w14:paraId="114A2E70" w14:textId="6A10A822" w:rsidR="00CD6C61" w:rsidRDefault="00B96EE4" w:rsidP="009B23DB">
      <w:pPr>
        <w:spacing w:before="160" w:line="240" w:lineRule="auto"/>
      </w:pPr>
      <w:hyperlink r:id="rId181" w:history="1">
        <w:r>
          <w:rPr>
            <w:rStyle w:val="Hyperlink"/>
          </w:rPr>
          <w:t>See VCP methods report descriptions</w:t>
        </w:r>
      </w:hyperlink>
      <w:r w:rsidR="00CF71BD">
        <w:t xml:space="preserve"> for the indicators that are relevant to each climate hazard in the area. Which of these indicators have particularly high value in the area according to the VCP? What does this say about the community living there? </w:t>
      </w:r>
    </w:p>
    <w:p w14:paraId="10E50C30" w14:textId="2EE76EAB" w:rsidR="00CD6C61" w:rsidRDefault="00CD6C61" w:rsidP="00CD6C61">
      <w:pPr>
        <w:spacing w:before="160" w:line="240" w:lineRule="auto"/>
      </w:pPr>
      <w:r>
        <w:t xml:space="preserve">Consider validating these findings with Tribes, community-based organizations, and other partners. Their perspectives can help explain why certain patterns exist. </w:t>
      </w:r>
    </w:p>
    <w:p w14:paraId="6E4349EB" w14:textId="2FF08D62" w:rsidR="00CF71BD" w:rsidRPr="00B17CBE" w:rsidRDefault="00BF7A75" w:rsidP="009B23DB">
      <w:pPr>
        <w:spacing w:before="160" w:line="240" w:lineRule="auto"/>
      </w:pPr>
      <w:r>
        <w:t xml:space="preserve">Visit </w:t>
      </w:r>
      <w:r>
        <w:rPr>
          <w:b/>
          <w:bCs/>
        </w:rPr>
        <w:t xml:space="preserve">Appendix B - </w:t>
      </w:r>
      <w:r>
        <w:rPr>
          <w:b/>
          <w:bCs/>
        </w:rPr>
        <w:fldChar w:fldCharType="begin"/>
      </w:r>
      <w:r>
        <w:rPr>
          <w:b/>
          <w:bCs/>
        </w:rPr>
        <w:instrText xml:space="preserve"> REF _Ref230256864 \h  \* MERGEFORMAT </w:instrText>
      </w:r>
      <w:r>
        <w:rPr>
          <w:b/>
          <w:bCs/>
        </w:rPr>
      </w:r>
      <w:r>
        <w:rPr>
          <w:b/>
          <w:bCs/>
        </w:rPr>
        <w:fldChar w:fldCharType="separate"/>
      </w:r>
      <w:r w:rsidR="00517691" w:rsidRPr="00517691">
        <w:rPr>
          <w:b/>
          <w:bCs/>
        </w:rPr>
        <w:t>Vulnerable Communities Platform (VCP)</w:t>
      </w:r>
      <w:r>
        <w:rPr>
          <w:b/>
          <w:bCs/>
        </w:rPr>
        <w:fldChar w:fldCharType="end"/>
      </w:r>
      <w:r>
        <w:t xml:space="preserve"> for a full walkthrough of how to use the Climate Vulnerability Map for this purpose.</w:t>
      </w:r>
    </w:p>
    <w:tbl>
      <w:tblPr>
        <w:tblStyle w:val="TableGrid"/>
        <w:tblW w:w="9720" w:type="dxa"/>
        <w:tblLook w:val="04A0" w:firstRow="1" w:lastRow="0" w:firstColumn="1" w:lastColumn="0" w:noHBand="0" w:noVBand="1"/>
      </w:tblPr>
      <w:tblGrid>
        <w:gridCol w:w="9720"/>
      </w:tblGrid>
      <w:tr w:rsidR="00301136" w:rsidRPr="00301136" w14:paraId="558CF836" w14:textId="77777777" w:rsidTr="009759C2">
        <w:trPr>
          <w:trHeight w:val="576"/>
        </w:trPr>
        <w:tc>
          <w:tcPr>
            <w:tcW w:w="9720" w:type="dxa"/>
            <w:tcBorders>
              <w:top w:val="nil"/>
              <w:left w:val="nil"/>
              <w:bottom w:val="nil"/>
              <w:right w:val="nil"/>
            </w:tcBorders>
            <w:shd w:val="clear" w:color="auto" w:fill="14581C"/>
            <w:vAlign w:val="center"/>
          </w:tcPr>
          <w:p w14:paraId="69935E13" w14:textId="7411AE7A" w:rsidR="00301136" w:rsidRPr="00301136" w:rsidRDefault="00474703" w:rsidP="00BB5ACB">
            <w:pPr>
              <w:rPr>
                <w:rStyle w:val="ExampleChar"/>
                <w:i w:val="0"/>
                <w:color w:val="FFFFFF" w:themeColor="background1"/>
              </w:rPr>
            </w:pPr>
            <w:r>
              <w:rPr>
                <w:b/>
                <w:color w:val="FFFFFF" w:themeColor="background1"/>
              </w:rPr>
              <w:t>Put It into Practice</w:t>
            </w:r>
          </w:p>
        </w:tc>
      </w:tr>
      <w:tr w:rsidR="004A5FD8" w14:paraId="32170FE2" w14:textId="77777777" w:rsidTr="001076CC">
        <w:trPr>
          <w:trHeight w:val="4176"/>
        </w:trPr>
        <w:tc>
          <w:tcPr>
            <w:tcW w:w="9720" w:type="dxa"/>
            <w:tcBorders>
              <w:top w:val="nil"/>
              <w:left w:val="nil"/>
              <w:bottom w:val="nil"/>
              <w:right w:val="nil"/>
            </w:tcBorders>
            <w:shd w:val="clear" w:color="auto" w:fill="C1F0C7" w:themeFill="accent3" w:themeFillTint="33"/>
          </w:tcPr>
          <w:p w14:paraId="6FD30D5E" w14:textId="77777777" w:rsidR="00517691" w:rsidRPr="00517691" w:rsidRDefault="001B3C08" w:rsidP="00517691">
            <w:pPr>
              <w:spacing w:before="120"/>
              <w:rPr>
                <w:b/>
                <w:bCs/>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_Ref230248224 \h  \* MERGEFORMAT </w:instrText>
            </w:r>
            <w:r>
              <w:rPr>
                <w:b/>
                <w:bCs/>
                <w:color w:val="000000" w:themeColor="text1"/>
              </w:rPr>
            </w:r>
            <w:r>
              <w:rPr>
                <w:b/>
                <w:bCs/>
                <w:color w:val="000000" w:themeColor="text1"/>
              </w:rPr>
              <w:fldChar w:fldCharType="separate"/>
            </w:r>
            <w:r w:rsidR="00517691" w:rsidRPr="00517691">
              <w:rPr>
                <w:b/>
                <w:bCs/>
              </w:rPr>
              <w:br w:type="page"/>
            </w:r>
          </w:p>
          <w:p w14:paraId="13659428" w14:textId="489D8BCA" w:rsidR="001B3C08" w:rsidRPr="00484EE5" w:rsidRDefault="001B3C08" w:rsidP="001B7B0E">
            <w:pPr>
              <w:spacing w:before="120"/>
              <w:rPr>
                <w:color w:val="000000" w:themeColor="text1"/>
              </w:rPr>
            </w:pPr>
            <w:r>
              <w:rPr>
                <w:b/>
                <w:bCs/>
                <w:color w:val="000000" w:themeColor="text1"/>
              </w:rPr>
              <w:fldChar w:fldCharType="end"/>
            </w:r>
          </w:p>
          <w:p w14:paraId="200502B7" w14:textId="088439E4" w:rsidR="00BC69B6" w:rsidRPr="007343AD" w:rsidRDefault="00BC69B6" w:rsidP="00457015">
            <w:pPr>
              <w:spacing w:before="120" w:after="160"/>
              <w:rPr>
                <w:color w:val="000000" w:themeColor="text1"/>
              </w:rPr>
            </w:pPr>
            <w:r>
              <w:rPr>
                <w:color w:val="000000" w:themeColor="text1"/>
              </w:rPr>
              <w:t xml:space="preserve">Referring to the table in Appendix C, add the relevant social vulnerability insights from the VCP to the </w:t>
            </w:r>
            <w:r>
              <w:rPr>
                <w:b/>
                <w:bCs/>
                <w:color w:val="000000" w:themeColor="text1"/>
              </w:rPr>
              <w:t>Location</w:t>
            </w:r>
            <w:r>
              <w:rPr>
                <w:color w:val="000000" w:themeColor="text1"/>
              </w:rPr>
              <w:t xml:space="preserve"> column for Rows B and D under Step 2.2A.</w:t>
            </w:r>
          </w:p>
          <w:tbl>
            <w:tblPr>
              <w:tblStyle w:val="TableGrid"/>
              <w:tblW w:w="9478" w:type="dxa"/>
              <w:tblLook w:val="04A0" w:firstRow="1" w:lastRow="0" w:firstColumn="1" w:lastColumn="0" w:noHBand="0" w:noVBand="1"/>
              <w:tblCaption w:val="Add to rows B and D to finish the worksheet where you identify and analyze primary climate hazards"/>
              <w:tblDescription w:val="Fillable table to say what specific social indicators are driving medium and high vulnerability for 5 climate-related hazards"/>
            </w:tblPr>
            <w:tblGrid>
              <w:gridCol w:w="2085"/>
              <w:gridCol w:w="1654"/>
              <w:gridCol w:w="1548"/>
              <w:gridCol w:w="1439"/>
              <w:gridCol w:w="1476"/>
              <w:gridCol w:w="1276"/>
            </w:tblGrid>
            <w:tr w:rsidR="004A5FD8" w:rsidRPr="00F246F6" w14:paraId="555C1434" w14:textId="77777777" w:rsidTr="00A25414">
              <w:tc>
                <w:tcPr>
                  <w:tcW w:w="2085" w:type="dxa"/>
                  <w:vAlign w:val="center"/>
                </w:tcPr>
                <w:p w14:paraId="00E49348" w14:textId="77777777" w:rsidR="004A5FD8" w:rsidRPr="00F246F6" w:rsidRDefault="004A5FD8" w:rsidP="00BB5ACB">
                  <w:pPr>
                    <w:rPr>
                      <w:color w:val="000000" w:themeColor="text1"/>
                    </w:rPr>
                  </w:pPr>
                </w:p>
              </w:tc>
              <w:tc>
                <w:tcPr>
                  <w:tcW w:w="1654" w:type="dxa"/>
                  <w:vAlign w:val="center"/>
                </w:tcPr>
                <w:p w14:paraId="5BF2F08B" w14:textId="0AECB4BA" w:rsidR="004A5FD8" w:rsidRPr="00F246F6" w:rsidRDefault="004A5FD8" w:rsidP="00BB5ACB">
                  <w:pPr>
                    <w:jc w:val="center"/>
                    <w:rPr>
                      <w:b/>
                      <w:bCs/>
                      <w:color w:val="000000" w:themeColor="text1"/>
                    </w:rPr>
                  </w:pPr>
                  <w:r>
                    <w:rPr>
                      <w:b/>
                      <w:bCs/>
                      <w:color w:val="000000" w:themeColor="text1"/>
                    </w:rPr>
                    <w:t>Extreme Heat</w:t>
                  </w:r>
                </w:p>
              </w:tc>
              <w:tc>
                <w:tcPr>
                  <w:tcW w:w="1548" w:type="dxa"/>
                  <w:vAlign w:val="center"/>
                </w:tcPr>
                <w:p w14:paraId="1202F7F7" w14:textId="77777777" w:rsidR="004A5FD8" w:rsidRPr="00F246F6" w:rsidRDefault="004A5FD8" w:rsidP="00BB5ACB">
                  <w:pPr>
                    <w:jc w:val="center"/>
                    <w:rPr>
                      <w:b/>
                      <w:bCs/>
                      <w:color w:val="000000" w:themeColor="text1"/>
                    </w:rPr>
                  </w:pPr>
                  <w:r>
                    <w:rPr>
                      <w:b/>
                      <w:bCs/>
                      <w:color w:val="000000" w:themeColor="text1"/>
                    </w:rPr>
                    <w:t>Flood</w:t>
                  </w:r>
                </w:p>
              </w:tc>
              <w:tc>
                <w:tcPr>
                  <w:tcW w:w="1439" w:type="dxa"/>
                  <w:vAlign w:val="center"/>
                </w:tcPr>
                <w:p w14:paraId="16EF7A27" w14:textId="77777777" w:rsidR="004A5FD8" w:rsidRPr="00F246F6" w:rsidRDefault="004A5FD8" w:rsidP="00BB5ACB">
                  <w:pPr>
                    <w:jc w:val="center"/>
                    <w:rPr>
                      <w:b/>
                      <w:bCs/>
                      <w:color w:val="000000" w:themeColor="text1"/>
                    </w:rPr>
                  </w:pPr>
                  <w:r>
                    <w:rPr>
                      <w:b/>
                      <w:bCs/>
                      <w:color w:val="000000" w:themeColor="text1"/>
                    </w:rPr>
                    <w:t>SLR</w:t>
                  </w:r>
                </w:p>
              </w:tc>
              <w:tc>
                <w:tcPr>
                  <w:tcW w:w="1476" w:type="dxa"/>
                  <w:vAlign w:val="center"/>
                </w:tcPr>
                <w:p w14:paraId="7C2DDF37" w14:textId="77777777" w:rsidR="004A5FD8" w:rsidRPr="00F246F6" w:rsidRDefault="004A5FD8" w:rsidP="00BB5ACB">
                  <w:pPr>
                    <w:jc w:val="center"/>
                    <w:rPr>
                      <w:b/>
                      <w:bCs/>
                      <w:color w:val="000000" w:themeColor="text1"/>
                    </w:rPr>
                  </w:pPr>
                  <w:r>
                    <w:rPr>
                      <w:b/>
                      <w:bCs/>
                      <w:color w:val="000000" w:themeColor="text1"/>
                    </w:rPr>
                    <w:t>Drought</w:t>
                  </w:r>
                </w:p>
              </w:tc>
              <w:tc>
                <w:tcPr>
                  <w:tcW w:w="1276" w:type="dxa"/>
                  <w:vAlign w:val="center"/>
                </w:tcPr>
                <w:p w14:paraId="06D931E7" w14:textId="77777777" w:rsidR="004A5FD8" w:rsidRPr="00F246F6" w:rsidRDefault="004A5FD8" w:rsidP="00BB5ACB">
                  <w:pPr>
                    <w:jc w:val="center"/>
                    <w:rPr>
                      <w:b/>
                      <w:bCs/>
                      <w:color w:val="000000" w:themeColor="text1"/>
                    </w:rPr>
                  </w:pPr>
                  <w:r>
                    <w:rPr>
                      <w:b/>
                      <w:bCs/>
                      <w:color w:val="000000" w:themeColor="text1"/>
                    </w:rPr>
                    <w:t>Wildfire</w:t>
                  </w:r>
                </w:p>
              </w:tc>
            </w:tr>
            <w:tr w:rsidR="004A5FD8" w:rsidRPr="00F246F6" w14:paraId="48C3C55D" w14:textId="77777777" w:rsidTr="00A25414">
              <w:tc>
                <w:tcPr>
                  <w:tcW w:w="2085" w:type="dxa"/>
                </w:tcPr>
                <w:p w14:paraId="487FEBF4" w14:textId="52B31C45" w:rsidR="004A5FD8" w:rsidRPr="00F246F6" w:rsidRDefault="004A5FD8" w:rsidP="00BB5ACB">
                  <w:pPr>
                    <w:rPr>
                      <w:color w:val="000000" w:themeColor="text1"/>
                      <w:sz w:val="22"/>
                      <w:szCs w:val="22"/>
                    </w:rPr>
                  </w:pPr>
                  <w:r>
                    <w:rPr>
                      <w:b/>
                      <w:color w:val="000000" w:themeColor="text1"/>
                    </w:rPr>
                    <w:t xml:space="preserve">B &amp; D. </w:t>
                  </w:r>
                  <w:r>
                    <w:rPr>
                      <w:color w:val="000000" w:themeColor="text1"/>
                    </w:rPr>
                    <w:t>What specific social indicators are driving Medium and High vulnerability in this area?</w:t>
                  </w:r>
                </w:p>
              </w:tc>
              <w:tc>
                <w:tcPr>
                  <w:tcW w:w="1654" w:type="dxa"/>
                </w:tcPr>
                <w:p w14:paraId="6E8BBA0B" w14:textId="77777777" w:rsidR="004A5FD8" w:rsidRPr="00F246F6" w:rsidRDefault="004A5FD8" w:rsidP="00BB5ACB">
                  <w:pPr>
                    <w:rPr>
                      <w:color w:val="000000" w:themeColor="text1"/>
                    </w:rPr>
                  </w:pPr>
                </w:p>
              </w:tc>
              <w:tc>
                <w:tcPr>
                  <w:tcW w:w="1548" w:type="dxa"/>
                </w:tcPr>
                <w:p w14:paraId="016D2000" w14:textId="77777777" w:rsidR="004A5FD8" w:rsidRPr="00F246F6" w:rsidRDefault="004A5FD8" w:rsidP="00BB5ACB">
                  <w:pPr>
                    <w:rPr>
                      <w:color w:val="000000" w:themeColor="text1"/>
                    </w:rPr>
                  </w:pPr>
                </w:p>
              </w:tc>
              <w:tc>
                <w:tcPr>
                  <w:tcW w:w="1439" w:type="dxa"/>
                </w:tcPr>
                <w:p w14:paraId="527157F8" w14:textId="77777777" w:rsidR="004A5FD8" w:rsidRPr="00F246F6" w:rsidRDefault="004A5FD8" w:rsidP="00BB5ACB">
                  <w:pPr>
                    <w:rPr>
                      <w:color w:val="000000" w:themeColor="text1"/>
                    </w:rPr>
                  </w:pPr>
                </w:p>
              </w:tc>
              <w:tc>
                <w:tcPr>
                  <w:tcW w:w="1476" w:type="dxa"/>
                </w:tcPr>
                <w:p w14:paraId="6148B93B" w14:textId="77777777" w:rsidR="004A5FD8" w:rsidRPr="00F246F6" w:rsidRDefault="004A5FD8" w:rsidP="00BB5ACB">
                  <w:pPr>
                    <w:rPr>
                      <w:color w:val="000000" w:themeColor="text1"/>
                    </w:rPr>
                  </w:pPr>
                </w:p>
              </w:tc>
              <w:tc>
                <w:tcPr>
                  <w:tcW w:w="1276" w:type="dxa"/>
                </w:tcPr>
                <w:p w14:paraId="3DF70691" w14:textId="77777777" w:rsidR="004A5FD8" w:rsidRPr="00F246F6" w:rsidRDefault="004A5FD8" w:rsidP="00BB5ACB">
                  <w:pPr>
                    <w:rPr>
                      <w:color w:val="000000" w:themeColor="text1"/>
                    </w:rPr>
                  </w:pPr>
                </w:p>
              </w:tc>
            </w:tr>
          </w:tbl>
          <w:p w14:paraId="1113725D" w14:textId="57605A83" w:rsidR="004A5FD8" w:rsidRPr="006327E7" w:rsidRDefault="001076CC" w:rsidP="00BB5ACB">
            <w:pPr>
              <w:rPr>
                <w:sz w:val="12"/>
                <w:szCs w:val="12"/>
              </w:rPr>
            </w:pPr>
            <w:r>
              <w:rPr>
                <w:sz w:val="12"/>
                <w:szCs w:val="12"/>
              </w:rPr>
              <w:t xml:space="preserve">  </w:t>
            </w:r>
          </w:p>
        </w:tc>
      </w:tr>
    </w:tbl>
    <w:p w14:paraId="6F5197D3" w14:textId="04973311" w:rsidR="003704AC" w:rsidRPr="003704AC" w:rsidRDefault="003704AC" w:rsidP="001B7B0E">
      <w:pPr>
        <w:spacing w:before="160" w:after="0" w:line="240" w:lineRule="auto"/>
        <w:rPr>
          <w:b/>
        </w:rPr>
      </w:pPr>
      <w:r>
        <w:rPr>
          <w:b/>
        </w:rPr>
        <w:t>Tools to Evaluate Social Vulnerability</w:t>
      </w:r>
    </w:p>
    <w:p w14:paraId="5AAF8364" w14:textId="2F920C1E" w:rsidR="00CF71BD" w:rsidRPr="00B17CBE" w:rsidRDefault="00EA2802" w:rsidP="001B7B0E">
      <w:pPr>
        <w:spacing w:line="240" w:lineRule="auto"/>
      </w:pPr>
      <w:r>
        <w:t>It may be necessary for the assessment to conduct a more detailed analysis of particular social indicators. This may be especially needed when the data seen on the platform doesn’t appear to reflect the full picture of vulnerabilities that the planning team knows of that exist in the community.</w:t>
      </w:r>
    </w:p>
    <w:p w14:paraId="167713A3" w14:textId="674EF206" w:rsidR="00030A03" w:rsidRPr="00B17CBE" w:rsidRDefault="00CF71BD" w:rsidP="009B23DB">
      <w:pPr>
        <w:spacing w:before="160" w:line="240" w:lineRule="auto"/>
      </w:pPr>
      <w:r>
        <w:t xml:space="preserve">Below are other tools and resources to help identify social vulnerability in communities. The VCP’s </w:t>
      </w:r>
      <w:hyperlink r:id="rId182">
        <w:r>
          <w:rPr>
            <w:rStyle w:val="Hyperlink"/>
            <w:rFonts w:eastAsia="Century Gothic" w:cs="Century Gothic"/>
          </w:rPr>
          <w:t>Other Vulnerability Tools</w:t>
        </w:r>
      </w:hyperlink>
      <w:r>
        <w:t xml:space="preserve"> page allows you to compare key data layers from many of these tools side by side to see which ones best represent vulnerability in the community. The page also includes guidance on what each tool can do, what data and features it offers, etc.</w:t>
      </w:r>
    </w:p>
    <w:p w14:paraId="2EFF5782" w14:textId="72DDF22D"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hyperlink r:id="rId183" w:history="1">
        <w:r>
          <w:rPr>
            <w:rStyle w:val="Hyperlink"/>
            <w:rFonts w:eastAsia="Century Gothic" w:cs="Century Gothic"/>
            <w:bCs/>
          </w:rPr>
          <w:t>CalEnviroScreen</w:t>
        </w:r>
        <w:r>
          <w:rPr>
            <w:rStyle w:val="Hyperlink"/>
          </w:rPr>
          <w:t>5.0</w:t>
        </w:r>
      </w:hyperlink>
      <w:r>
        <w:t xml:space="preserve"> can be used to identify California communities that are most affected by environmental pollution, and where people are often especially vulnerable to pollution’s effects.</w:t>
      </w:r>
    </w:p>
    <w:p w14:paraId="14CCE2E2" w14:textId="77F0AC3E" w:rsidR="00CF71BD" w:rsidRPr="00B17CBE" w:rsidRDefault="00822A48">
      <w:pPr>
        <w:pStyle w:val="ListParagraph"/>
        <w:widowControl w:val="0"/>
        <w:numPr>
          <w:ilvl w:val="0"/>
          <w:numId w:val="33"/>
        </w:numPr>
        <w:tabs>
          <w:tab w:val="left" w:pos="1620"/>
        </w:tabs>
        <w:autoSpaceDE w:val="0"/>
        <w:autoSpaceDN w:val="0"/>
        <w:spacing w:before="160" w:line="240" w:lineRule="auto"/>
        <w:ind w:left="720"/>
      </w:pPr>
      <w:hyperlink r:id="rId184" w:history="1">
        <w:r>
          <w:rPr>
            <w:rStyle w:val="Hyperlink"/>
          </w:rPr>
          <w:t xml:space="preserve">CA </w:t>
        </w:r>
        <w:r>
          <w:rPr>
            <w:rStyle w:val="Hyperlink"/>
            <w:rFonts w:eastAsia="Century Gothic" w:cs="Century Gothic"/>
            <w:bCs/>
          </w:rPr>
          <w:t xml:space="preserve">Statewide Parks Program Community </w:t>
        </w:r>
        <w:proofErr w:type="spellStart"/>
        <w:r>
          <w:rPr>
            <w:rStyle w:val="Hyperlink"/>
            <w:rFonts w:eastAsia="Century Gothic" w:cs="Century Gothic"/>
            <w:bCs/>
          </w:rPr>
          <w:t>FactFinder</w:t>
        </w:r>
        <w:proofErr w:type="spellEnd"/>
      </w:hyperlink>
      <w:r>
        <w:t xml:space="preserve"> can be used to understand park and outdoor access. </w:t>
      </w:r>
    </w:p>
    <w:p w14:paraId="1328A49D" w14:textId="6E1CD75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hyperlink r:id="rId185">
        <w:r>
          <w:rPr>
            <w:rStyle w:val="Hyperlink"/>
            <w:rFonts w:eastAsia="Century Gothic" w:cs="Century Gothic"/>
          </w:rPr>
          <w:t>Cal OES’ Access and Functional Needs Viewer</w:t>
        </w:r>
      </w:hyperlink>
      <w:r>
        <w:t xml:space="preserve"> is designed to assist emergency managers in identifying, locating, and deploying access and functional needs (AFN) related assets and resources during all phases of emergencies. This tool can be used to understand and evaluate a project that has an emergency management component.</w:t>
      </w:r>
    </w:p>
    <w:p w14:paraId="193FCA78" w14:textId="52634BA7" w:rsidR="00CF71BD" w:rsidRPr="00B17CBE" w:rsidRDefault="0092021E">
      <w:pPr>
        <w:pStyle w:val="ListParagraph"/>
        <w:widowControl w:val="0"/>
        <w:numPr>
          <w:ilvl w:val="0"/>
          <w:numId w:val="33"/>
        </w:numPr>
        <w:tabs>
          <w:tab w:val="left" w:pos="1620"/>
        </w:tabs>
        <w:autoSpaceDE w:val="0"/>
        <w:autoSpaceDN w:val="0"/>
        <w:spacing w:before="160" w:line="240" w:lineRule="auto"/>
        <w:ind w:left="720"/>
      </w:pPr>
      <w:hyperlink r:id="rId186" w:history="1">
        <w:r>
          <w:rPr>
            <w:rStyle w:val="Hyperlink"/>
          </w:rPr>
          <w:t xml:space="preserve">California </w:t>
        </w:r>
        <w:r>
          <w:rPr>
            <w:rStyle w:val="Hyperlink"/>
            <w:rFonts w:eastAsia="Century Gothic" w:cs="Century Gothic"/>
          </w:rPr>
          <w:t>Healthy Places Index</w:t>
        </w:r>
      </w:hyperlink>
      <w:r>
        <w:t xml:space="preserve"> can be used to help understand community conditions that impact life expectancy.</w:t>
      </w:r>
    </w:p>
    <w:p w14:paraId="091A69B8" w14:textId="0A74B008" w:rsidR="007C61F9" w:rsidRDefault="00CF71BD">
      <w:pPr>
        <w:pStyle w:val="ListParagraph"/>
        <w:widowControl w:val="0"/>
        <w:numPr>
          <w:ilvl w:val="0"/>
          <w:numId w:val="33"/>
        </w:numPr>
        <w:tabs>
          <w:tab w:val="left" w:pos="1620"/>
        </w:tabs>
        <w:autoSpaceDE w:val="0"/>
        <w:autoSpaceDN w:val="0"/>
        <w:spacing w:before="160" w:line="240" w:lineRule="auto"/>
        <w:ind w:left="720"/>
      </w:pPr>
      <w:hyperlink r:id="rId187">
        <w:r>
          <w:rPr>
            <w:rStyle w:val="Hyperlink"/>
            <w:rFonts w:eastAsia="Century Gothic" w:cs="Century Gothic"/>
            <w:bCs/>
          </w:rPr>
          <w:t>Caltrans’ Transportation Equity Index (EQI)</w:t>
        </w:r>
      </w:hyperlink>
      <w:r>
        <w:t xml:space="preserve"> can be used to identify transportation-based priority populations by integrating transportation and socioeconomic indicators.</w:t>
      </w:r>
    </w:p>
    <w:p w14:paraId="58049B0C" w14:textId="51E45573" w:rsidR="007C61F9" w:rsidRPr="007C61F9" w:rsidRDefault="005801C5">
      <w:pPr>
        <w:pStyle w:val="ListParagraph"/>
        <w:widowControl w:val="0"/>
        <w:numPr>
          <w:ilvl w:val="0"/>
          <w:numId w:val="33"/>
        </w:numPr>
        <w:tabs>
          <w:tab w:val="left" w:pos="1620"/>
        </w:tabs>
        <w:autoSpaceDE w:val="0"/>
        <w:autoSpaceDN w:val="0"/>
        <w:spacing w:before="160" w:line="240" w:lineRule="auto"/>
        <w:ind w:left="720"/>
      </w:pPr>
      <w:hyperlink r:id="rId188" w:history="1">
        <w:r w:rsidRPr="007C61F9">
          <w:rPr>
            <w:rStyle w:val="Hyperlink"/>
            <w:rFonts w:eastAsia="Times New Roman" w:cs="Arial"/>
            <w:kern w:val="0"/>
            <w:szCs w:val="24"/>
            <w14:ligatures w14:val="none"/>
          </w:rPr>
          <w:t>Climate &amp; Health Vulnerability Indicators for California</w:t>
        </w:r>
      </w:hyperlink>
      <w:r w:rsidRPr="007C61F9">
        <w:rPr>
          <w:rFonts w:eastAsia="Times New Roman" w:cs="Arial"/>
          <w:color w:val="000000"/>
          <w:kern w:val="0"/>
          <w:szCs w:val="24"/>
          <w14:ligatures w14:val="none"/>
        </w:rPr>
        <w:t xml:space="preserve"> </w:t>
      </w:r>
      <w:r w:rsidR="009E28B9" w:rsidRPr="007C61F9">
        <w:rPr>
          <w:rFonts w:eastAsia="Times New Roman" w:cs="Arial"/>
          <w:color w:val="000000"/>
          <w:kern w:val="0"/>
          <w:szCs w:val="24"/>
          <w14:ligatures w14:val="none"/>
        </w:rPr>
        <w:t>and the</w:t>
      </w:r>
      <w:r w:rsidR="00E969FB" w:rsidRPr="007C61F9">
        <w:rPr>
          <w:rFonts w:eastAsia="Times New Roman" w:cs="Arial"/>
          <w:color w:val="000000"/>
          <w:kern w:val="0"/>
          <w:szCs w:val="24"/>
          <w14:ligatures w14:val="none"/>
        </w:rPr>
        <w:t xml:space="preserve"> </w:t>
      </w:r>
      <w:hyperlink r:id="rId189" w:history="1">
        <w:proofErr w:type="spellStart"/>
        <w:r w:rsidR="00E969FB" w:rsidRPr="007C61F9">
          <w:rPr>
            <w:rStyle w:val="Hyperlink"/>
            <w:rFonts w:eastAsia="Times New Roman" w:cs="Arial"/>
            <w:kern w:val="0"/>
            <w:szCs w:val="24"/>
            <w14:ligatures w14:val="none"/>
          </w:rPr>
          <w:t>CCHVIz</w:t>
        </w:r>
        <w:proofErr w:type="spellEnd"/>
      </w:hyperlink>
      <w:r w:rsidR="009E28B9" w:rsidRPr="007C61F9">
        <w:rPr>
          <w:rFonts w:eastAsia="Times New Roman" w:cs="Arial"/>
          <w:color w:val="000000"/>
          <w:kern w:val="0"/>
          <w:szCs w:val="24"/>
          <w14:ligatures w14:val="none"/>
        </w:rPr>
        <w:t xml:space="preserve"> visualization platform</w:t>
      </w:r>
      <w:r w:rsidR="00E969FB" w:rsidRPr="007C61F9">
        <w:rPr>
          <w:rFonts w:eastAsia="Times New Roman" w:cs="Arial"/>
          <w:color w:val="000000"/>
          <w:kern w:val="0"/>
          <w:szCs w:val="24"/>
          <w14:ligatures w14:val="none"/>
        </w:rPr>
        <w:t xml:space="preserve"> includes</w:t>
      </w:r>
      <w:r w:rsidR="009E28B9" w:rsidRPr="007C61F9">
        <w:rPr>
          <w:rFonts w:eastAsia="Times New Roman" w:cs="Arial"/>
          <w:color w:val="000000"/>
          <w:kern w:val="0"/>
          <w:szCs w:val="24"/>
          <w14:ligatures w14:val="none"/>
        </w:rPr>
        <w:t xml:space="preserve"> 18 indicators o</w:t>
      </w:r>
      <w:r w:rsidR="00023DAA" w:rsidRPr="007C61F9">
        <w:rPr>
          <w:rFonts w:eastAsia="Times New Roman" w:cs="Arial"/>
          <w:color w:val="000000"/>
          <w:kern w:val="0"/>
          <w:szCs w:val="24"/>
          <w14:ligatures w14:val="none"/>
        </w:rPr>
        <w:t>n</w:t>
      </w:r>
      <w:r w:rsidR="009E28B9" w:rsidRPr="007C61F9">
        <w:rPr>
          <w:rFonts w:eastAsia="Times New Roman" w:cs="Arial"/>
          <w:color w:val="000000"/>
          <w:kern w:val="0"/>
          <w:szCs w:val="24"/>
          <w14:ligatures w14:val="none"/>
        </w:rPr>
        <w:t xml:space="preserve"> climate exposure, population sensitivity, and adaptive capacity for health impacts.</w:t>
      </w:r>
    </w:p>
    <w:p w14:paraId="3B8D17B2" w14:textId="550F1AAD" w:rsidR="007C61F9" w:rsidRPr="007C61F9" w:rsidRDefault="00EA34B2">
      <w:pPr>
        <w:pStyle w:val="ListParagraph"/>
        <w:widowControl w:val="0"/>
        <w:numPr>
          <w:ilvl w:val="0"/>
          <w:numId w:val="33"/>
        </w:numPr>
        <w:tabs>
          <w:tab w:val="left" w:pos="1620"/>
        </w:tabs>
        <w:autoSpaceDE w:val="0"/>
        <w:autoSpaceDN w:val="0"/>
        <w:spacing w:before="160" w:line="240" w:lineRule="auto"/>
        <w:ind w:left="720"/>
      </w:pPr>
      <w:hyperlink r:id="rId190" w:history="1">
        <w:r w:rsidRPr="007C61F9">
          <w:rPr>
            <w:rStyle w:val="Hyperlink"/>
            <w:rFonts w:eastAsia="Times New Roman" w:cs="Arial"/>
            <w:kern w:val="0"/>
            <w:szCs w:val="24"/>
            <w14:ligatures w14:val="none"/>
          </w:rPr>
          <w:t xml:space="preserve">California Building Resilience Against Climate Effects </w:t>
        </w:r>
      </w:hyperlink>
      <w:r w:rsidR="009E28B9" w:rsidRPr="007C61F9">
        <w:rPr>
          <w:rFonts w:eastAsia="Times New Roman" w:cs="Arial"/>
          <w:color w:val="000000"/>
          <w:kern w:val="0"/>
          <w:szCs w:val="24"/>
          <w14:ligatures w14:val="none"/>
        </w:rPr>
        <w:t xml:space="preserve">(Cal BRACE) </w:t>
      </w:r>
      <w:r w:rsidRPr="007C61F9">
        <w:rPr>
          <w:rFonts w:eastAsia="Times New Roman" w:cs="Arial"/>
          <w:color w:val="000000"/>
          <w:kern w:val="0"/>
          <w:szCs w:val="24"/>
          <w14:ligatures w14:val="none"/>
        </w:rPr>
        <w:t>project includes</w:t>
      </w:r>
      <w:r w:rsidR="009E28B9" w:rsidRPr="007C61F9">
        <w:rPr>
          <w:rFonts w:eastAsia="Times New Roman" w:cs="Arial"/>
          <w:color w:val="000000"/>
          <w:kern w:val="0"/>
          <w:szCs w:val="24"/>
          <w14:ligatures w14:val="none"/>
        </w:rPr>
        <w:t xml:space="preserve"> data, tools, and templates for assessing the health equity impacts of climate change (see the</w:t>
      </w:r>
      <w:r w:rsidR="002123C7" w:rsidRPr="007C61F9">
        <w:rPr>
          <w:rFonts w:eastAsia="Times New Roman" w:cs="Arial"/>
          <w:color w:val="000000"/>
          <w:kern w:val="0"/>
          <w:szCs w:val="24"/>
          <w14:ligatures w14:val="none"/>
        </w:rPr>
        <w:t xml:space="preserve"> </w:t>
      </w:r>
      <w:hyperlink r:id="rId191" w:history="1">
        <w:proofErr w:type="spellStart"/>
        <w:r w:rsidR="002123C7" w:rsidRPr="007C61F9">
          <w:rPr>
            <w:rStyle w:val="Hyperlink"/>
            <w:rFonts w:eastAsia="Times New Roman" w:cs="Arial"/>
            <w:kern w:val="0"/>
            <w:szCs w:val="24"/>
            <w14:ligatures w14:val="none"/>
          </w:rPr>
          <w:t>CalBRACE</w:t>
        </w:r>
        <w:proofErr w:type="spellEnd"/>
        <w:r w:rsidR="002123C7" w:rsidRPr="007C61F9">
          <w:rPr>
            <w:rStyle w:val="Hyperlink"/>
            <w:rFonts w:eastAsia="Times New Roman" w:cs="Arial"/>
            <w:kern w:val="0"/>
            <w:szCs w:val="24"/>
            <w14:ligatures w14:val="none"/>
          </w:rPr>
          <w:t xml:space="preserve"> Toolkit </w:t>
        </w:r>
      </w:hyperlink>
      <w:r w:rsidR="009E28B9" w:rsidRPr="007C61F9">
        <w:rPr>
          <w:rFonts w:eastAsia="Times New Roman" w:cs="Arial"/>
          <w:color w:val="000000"/>
          <w:kern w:val="0"/>
          <w:szCs w:val="24"/>
          <w14:ligatures w14:val="none"/>
        </w:rPr>
        <w:t>).</w:t>
      </w:r>
    </w:p>
    <w:p w14:paraId="3B29C819" w14:textId="106655D3" w:rsidR="007C61F9" w:rsidRPr="007C61F9" w:rsidRDefault="006453F5">
      <w:pPr>
        <w:pStyle w:val="ListParagraph"/>
        <w:widowControl w:val="0"/>
        <w:numPr>
          <w:ilvl w:val="0"/>
          <w:numId w:val="33"/>
        </w:numPr>
        <w:tabs>
          <w:tab w:val="left" w:pos="1620"/>
        </w:tabs>
        <w:autoSpaceDE w:val="0"/>
        <w:autoSpaceDN w:val="0"/>
        <w:spacing w:before="160" w:line="240" w:lineRule="auto"/>
        <w:ind w:left="720"/>
      </w:pPr>
      <w:r w:rsidRPr="007C61F9">
        <w:rPr>
          <w:rFonts w:eastAsia="Times New Roman" w:cs="Arial"/>
          <w:color w:val="000000"/>
          <w:kern w:val="0"/>
          <w:szCs w:val="24"/>
          <w14:ligatures w14:val="none"/>
        </w:rPr>
        <w:t xml:space="preserve">For small water systems, see the tutorial </w:t>
      </w:r>
      <w:hyperlink r:id="rId192" w:history="1">
        <w:r w:rsidR="00F916EF" w:rsidRPr="007C61F9">
          <w:rPr>
            <w:rStyle w:val="Hyperlink"/>
            <w:rFonts w:eastAsia="Times New Roman" w:cs="Arial"/>
            <w:kern w:val="0"/>
            <w:szCs w:val="24"/>
            <w14:ligatures w14:val="none"/>
          </w:rPr>
          <w:t>Small Water Systems Vulnerability Explorer Tool</w:t>
        </w:r>
        <w:r w:rsidR="008646FE" w:rsidRPr="007C61F9">
          <w:rPr>
            <w:rStyle w:val="Hyperlink"/>
            <w:rFonts w:eastAsia="Times New Roman" w:cs="Arial"/>
            <w:kern w:val="0"/>
            <w:szCs w:val="24"/>
            <w14:ligatures w14:val="none"/>
          </w:rPr>
          <w:t>.</w:t>
        </w:r>
        <w:r w:rsidR="00F916EF" w:rsidRPr="007C61F9">
          <w:rPr>
            <w:rStyle w:val="Hyperlink"/>
            <w:rFonts w:eastAsia="Times New Roman" w:cs="Arial"/>
            <w:kern w:val="0"/>
            <w:szCs w:val="24"/>
            <w14:ligatures w14:val="none"/>
          </w:rPr>
          <w:t xml:space="preserve"> </w:t>
        </w:r>
      </w:hyperlink>
    </w:p>
    <w:p w14:paraId="04831001" w14:textId="1082ACA1" w:rsidR="009E28B9" w:rsidRPr="00B17CBE" w:rsidRDefault="000549D9">
      <w:pPr>
        <w:pStyle w:val="ListParagraph"/>
        <w:widowControl w:val="0"/>
        <w:numPr>
          <w:ilvl w:val="0"/>
          <w:numId w:val="33"/>
        </w:numPr>
        <w:tabs>
          <w:tab w:val="left" w:pos="1620"/>
        </w:tabs>
        <w:autoSpaceDE w:val="0"/>
        <w:autoSpaceDN w:val="0"/>
        <w:spacing w:before="160" w:line="240" w:lineRule="auto"/>
        <w:ind w:left="720"/>
      </w:pPr>
      <w:r w:rsidRPr="007C61F9">
        <w:rPr>
          <w:rFonts w:eastAsia="Times New Roman" w:cs="Arial"/>
          <w:color w:val="000000"/>
          <w:kern w:val="0"/>
          <w:szCs w:val="24"/>
          <w14:ligatures w14:val="none"/>
        </w:rPr>
        <w:t>San Francisco Bay Conservation and Development Com</w:t>
      </w:r>
      <w:r w:rsidR="00EA7DB8" w:rsidRPr="007C61F9">
        <w:rPr>
          <w:rFonts w:eastAsia="Times New Roman" w:cs="Arial"/>
          <w:color w:val="000000"/>
          <w:kern w:val="0"/>
          <w:szCs w:val="24"/>
          <w14:ligatures w14:val="none"/>
        </w:rPr>
        <w:t>mission’s (</w:t>
      </w:r>
      <w:r w:rsidR="006453F5" w:rsidRPr="007C61F9">
        <w:rPr>
          <w:rFonts w:eastAsia="Times New Roman" w:cs="Arial"/>
          <w:color w:val="000000"/>
          <w:kern w:val="0"/>
          <w:szCs w:val="24"/>
          <w14:ligatures w14:val="none"/>
        </w:rPr>
        <w:t>BCDC's</w:t>
      </w:r>
      <w:r w:rsidR="00EA7DB8" w:rsidRPr="007C61F9">
        <w:rPr>
          <w:rFonts w:eastAsia="Times New Roman" w:cs="Arial"/>
          <w:color w:val="000000"/>
          <w:kern w:val="0"/>
          <w:szCs w:val="24"/>
          <w14:ligatures w14:val="none"/>
        </w:rPr>
        <w:t>)</w:t>
      </w:r>
      <w:r w:rsidR="006453F5" w:rsidRPr="007C61F9">
        <w:rPr>
          <w:rFonts w:eastAsia="Times New Roman" w:cs="Arial"/>
          <w:color w:val="000000"/>
          <w:kern w:val="0"/>
          <w:szCs w:val="24"/>
          <w14:ligatures w14:val="none"/>
        </w:rPr>
        <w:t xml:space="preserve"> </w:t>
      </w:r>
      <w:hyperlink r:id="rId193" w:history="1">
        <w:r w:rsidR="00EA7DB8" w:rsidRPr="007C61F9">
          <w:rPr>
            <w:rStyle w:val="Hyperlink"/>
            <w:rFonts w:eastAsia="Times New Roman" w:cs="Arial"/>
            <w:kern w:val="0"/>
            <w:szCs w:val="24"/>
            <w14:ligatures w14:val="none"/>
          </w:rPr>
          <w:t>Community Vulnerability Mapping Tool</w:t>
        </w:r>
      </w:hyperlink>
      <w:r w:rsidR="00EA7DB8" w:rsidRPr="007C61F9">
        <w:rPr>
          <w:rFonts w:eastAsia="Times New Roman" w:cs="Arial"/>
          <w:color w:val="000000"/>
          <w:kern w:val="0"/>
          <w:szCs w:val="24"/>
          <w14:ligatures w14:val="none"/>
        </w:rPr>
        <w:t xml:space="preserve">. </w:t>
      </w:r>
      <w:r w:rsidR="004F3803" w:rsidRPr="007C61F9">
        <w:rPr>
          <w:rFonts w:eastAsia="Times New Roman" w:cs="Arial"/>
          <w:color w:val="000000"/>
          <w:kern w:val="0"/>
          <w:szCs w:val="24"/>
          <w14:ligatures w14:val="none"/>
        </w:rPr>
        <w:t>The tool also includes</w:t>
      </w:r>
      <w:r w:rsidR="00EA7DB8" w:rsidRPr="007C61F9">
        <w:rPr>
          <w:rFonts w:eastAsia="Times New Roman" w:cs="Arial"/>
          <w:color w:val="000000"/>
          <w:kern w:val="0"/>
          <w:szCs w:val="24"/>
          <w14:ligatures w14:val="none"/>
        </w:rPr>
        <w:t xml:space="preserve"> </w:t>
      </w:r>
      <w:r w:rsidR="006453F5" w:rsidRPr="007C61F9">
        <w:rPr>
          <w:rFonts w:eastAsia="Times New Roman" w:cs="Arial"/>
          <w:color w:val="000000"/>
          <w:kern w:val="0"/>
          <w:szCs w:val="24"/>
          <w14:ligatures w14:val="none"/>
        </w:rPr>
        <w:t xml:space="preserve">also includes a </w:t>
      </w:r>
      <w:hyperlink r:id="rId194" w:history="1">
        <w:r w:rsidR="007A762E" w:rsidRPr="007C61F9">
          <w:rPr>
            <w:rStyle w:val="Hyperlink"/>
            <w:rFonts w:eastAsia="Times New Roman" w:cs="Arial"/>
            <w:kern w:val="0"/>
            <w:szCs w:val="24"/>
            <w14:ligatures w14:val="none"/>
          </w:rPr>
          <w:t>Community Based Organization (CBO) Directory Map</w:t>
        </w:r>
      </w:hyperlink>
      <w:r w:rsidR="007C61F9" w:rsidRPr="007C61F9">
        <w:rPr>
          <w:rFonts w:eastAsia="Times New Roman" w:cs="Arial"/>
          <w:color w:val="000000"/>
          <w:kern w:val="0"/>
          <w:szCs w:val="24"/>
          <w14:ligatures w14:val="none"/>
        </w:rPr>
        <w:t xml:space="preserve"> and information</w:t>
      </w:r>
      <w:r w:rsidR="006453F5" w:rsidRPr="007C61F9">
        <w:rPr>
          <w:rFonts w:eastAsia="Times New Roman" w:cs="Arial"/>
          <w:color w:val="000000"/>
          <w:kern w:val="0"/>
          <w:szCs w:val="24"/>
          <w14:ligatures w14:val="none"/>
        </w:rPr>
        <w:t xml:space="preserve"> on engaging local community groups in the San Francisco Bay Area region</w:t>
      </w:r>
      <w:r w:rsidR="007C61F9" w:rsidRPr="007C61F9">
        <w:rPr>
          <w:rFonts w:eastAsia="Times New Roman" w:cs="Arial"/>
          <w:color w:val="000000"/>
          <w:kern w:val="0"/>
          <w:szCs w:val="24"/>
          <w14:ligatures w14:val="none"/>
        </w:rPr>
        <w:t>.</w:t>
      </w:r>
    </w:p>
    <w:p w14:paraId="04C5D641" w14:textId="363C7D14" w:rsidR="00844B12" w:rsidRDefault="00894B6C" w:rsidP="009B23DB">
      <w:pPr>
        <w:spacing w:before="160" w:line="240" w:lineRule="auto"/>
      </w:pPr>
      <w:r>
        <w:t xml:space="preserve">In addition, some regions and counties in California have developed their own tools to visualize social vulnerability to climate change within their region. These might be useful to consider because vulnerability is usually measured relative to an area. This means that at different scales, the areas of greatest vulnerability may change. A given community may not be designated as disadvantaged when compared to the entire State (e.g., through a Statewide comparison like </w:t>
      </w:r>
      <w:hyperlink r:id="rId195" w:history="1">
        <w:proofErr w:type="spellStart"/>
        <w:r w:rsidR="003C1404">
          <w:rPr>
            <w:rStyle w:val="Hyperlink"/>
          </w:rPr>
          <w:t>CalEnviroScreen</w:t>
        </w:r>
        <w:proofErr w:type="spellEnd"/>
      </w:hyperlink>
      <w:r>
        <w:t>), but when compared to other communities within the same county, it may be considered disadvantaged. Such communities still have populations and individuals who are disproportionately affected by climate change and face greater barriers to preparing for, responding to, and recovering from events. When selecting a tool for use in the assessment, consider:</w:t>
      </w:r>
    </w:p>
    <w:p w14:paraId="733FC714" w14:textId="05ADB5DB" w:rsidR="00B63027" w:rsidRDefault="00844B12">
      <w:pPr>
        <w:pStyle w:val="ListParagraph"/>
        <w:numPr>
          <w:ilvl w:val="0"/>
          <w:numId w:val="58"/>
        </w:numPr>
        <w:spacing w:line="240" w:lineRule="auto"/>
      </w:pPr>
      <w:r>
        <w:t>What is the intended use of the tool? Is it designed for siting a specific type of project? For a specific policy or grant?</w:t>
      </w:r>
    </w:p>
    <w:p w14:paraId="780712BB" w14:textId="1B315A88" w:rsidR="009A1C21" w:rsidRDefault="00440C9E">
      <w:pPr>
        <w:pStyle w:val="ListParagraph"/>
        <w:numPr>
          <w:ilvl w:val="0"/>
          <w:numId w:val="58"/>
        </w:numPr>
        <w:spacing w:line="240" w:lineRule="auto"/>
      </w:pPr>
      <w:r>
        <w:t>For what climate hazards does it provide data? Does it cover all the hazards present in the community (wildfire, extreme heat, flooding, etc.)?</w:t>
      </w:r>
    </w:p>
    <w:p w14:paraId="06054355" w14:textId="4C1D9C83" w:rsidR="000A60F4" w:rsidRDefault="009A1C21">
      <w:pPr>
        <w:pStyle w:val="ListParagraph"/>
        <w:numPr>
          <w:ilvl w:val="0"/>
          <w:numId w:val="58"/>
        </w:numPr>
        <w:spacing w:line="240" w:lineRule="auto"/>
      </w:pPr>
      <w:r>
        <w:t>What data or features does it display? Does it produce an index that gives a percentile value? A Yes/No binary?</w:t>
      </w:r>
    </w:p>
    <w:p w14:paraId="0A7C3998" w14:textId="586B4E1B" w:rsidR="18D104DC" w:rsidRDefault="00440C9E">
      <w:pPr>
        <w:pStyle w:val="ListParagraph"/>
        <w:numPr>
          <w:ilvl w:val="0"/>
          <w:numId w:val="58"/>
        </w:numPr>
        <w:spacing w:line="240" w:lineRule="auto"/>
      </w:pPr>
      <w:r>
        <w:t>At which geographic scale is the data organized? Is it by block group, census tract, city, zip code, or county?</w:t>
      </w:r>
    </w:p>
    <w:p w14:paraId="6F64B2D3" w14:textId="195769BD" w:rsidR="00AD015C" w:rsidRDefault="00AC7874" w:rsidP="009B23DB">
      <w:pPr>
        <w:pStyle w:val="Heading3"/>
        <w:spacing w:after="160" w:line="240" w:lineRule="auto"/>
      </w:pPr>
      <w:bookmarkStart w:id="111" w:name="_Toc224722683"/>
      <w:bookmarkStart w:id="112" w:name="_Toc235802694"/>
      <w:r>
        <w:t xml:space="preserve">Step 2.2B: Evaluate Built </w:t>
      </w:r>
      <w:bookmarkEnd w:id="111"/>
      <w:r>
        <w:t>Assets</w:t>
      </w:r>
      <w:bookmarkEnd w:id="112"/>
    </w:p>
    <w:p w14:paraId="46DC0834" w14:textId="11E44A95" w:rsidR="006D4E4C" w:rsidRPr="00B17CBE" w:rsidRDefault="00CF71BD" w:rsidP="009B23DB">
      <w:pPr>
        <w:spacing w:before="160" w:line="240" w:lineRule="auto"/>
      </w:pPr>
      <w:r>
        <w:t>After considering climate hazards that may affect a community, it is important to understand how those hazards could impact the built environment and the assets that communities depend on. Identifying built assets and other essential services that support community functions is an important step in understanding vulnerability. Knowing where these assets are located and the risks they may face can help communities prioritize resilience strategies. Examples of built assets include:</w:t>
      </w:r>
    </w:p>
    <w:p w14:paraId="73274D51" w14:textId="5C4C1BFF"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Hospitals and healthcare facilities</w:t>
      </w:r>
    </w:p>
    <w:p w14:paraId="45CE0074" w14:textId="30978DE9"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Schools (K-12, universities, community colleges)</w:t>
      </w:r>
    </w:p>
    <w:p w14:paraId="0AF44EDD" w14:textId="74024A60"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Major roads, bridges, rail and bus lines</w:t>
      </w:r>
    </w:p>
    <w:p w14:paraId="59823D44" w14:textId="032607AD"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Water and wastewater infrastructure</w:t>
      </w:r>
    </w:p>
    <w:p w14:paraId="74753064" w14:textId="795DBB85"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Energy systems</w:t>
      </w:r>
    </w:p>
    <w:p w14:paraId="4ECE7299" w14:textId="52AD1DB5"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Levees and stormwater systems</w:t>
      </w:r>
    </w:p>
    <w:p w14:paraId="610F449A" w14:textId="444FA33E"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Community centers</w:t>
      </w:r>
    </w:p>
    <w:p w14:paraId="21C7ACCD" w14:textId="77777777"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Shelters</w:t>
      </w:r>
    </w:p>
    <w:p w14:paraId="043CFAAF" w14:textId="18C8A62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Emergency services (fire departments, police stations)</w:t>
      </w:r>
    </w:p>
    <w:p w14:paraId="3269C69E" w14:textId="14125A84"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Cultural assets (museums, libraries, churches, parks or recreational spaces)</w:t>
      </w:r>
    </w:p>
    <w:p w14:paraId="673D51F6" w14:textId="77777777" w:rsidR="00C03958" w:rsidRPr="00C03958" w:rsidRDefault="00C03958" w:rsidP="00C03958">
      <w:pPr>
        <w:spacing w:line="278" w:lineRule="auto"/>
      </w:pPr>
      <w:r>
        <w:t xml:space="preserve">Many built assets support one or more </w:t>
      </w:r>
      <w:r w:rsidRPr="00DF781D">
        <w:rPr>
          <w:b/>
          <w:bCs/>
        </w:rPr>
        <w:t>FEMA Community Lifelines</w:t>
      </w:r>
      <w:r>
        <w:t>, which include the essential services, infrastructure, and capabilities communities depend on to maintain daily operations, public health and safety, and economic security. Because these systems are connected, disruptions to one lifeline can affect other community functions. Evaluating Community Lifelines helps communities identify critical infrastructure, understand connections between assets and services, and prioritize actions to reduce risk and improve resilience.</w:t>
      </w:r>
    </w:p>
    <w:p w14:paraId="735550B1" w14:textId="77777777" w:rsidR="006E4735" w:rsidRDefault="00A1015B" w:rsidP="00A1015B">
      <w:pPr>
        <w:spacing w:line="278" w:lineRule="auto"/>
      </w:pPr>
      <w:r>
        <w:t xml:space="preserve">In addition to infrastructure and essential services, other community assets may be priorities for protection or investment, including historic buildings, social or religious institutions, and unique community features such as monuments and parks.  </w:t>
      </w:r>
    </w:p>
    <w:p w14:paraId="6B1FF56E" w14:textId="6A235956" w:rsidR="00A1015B" w:rsidRPr="000A13A8" w:rsidRDefault="00CF71BD" w:rsidP="00A1015B">
      <w:pPr>
        <w:spacing w:line="278" w:lineRule="auto"/>
      </w:pPr>
      <w:r>
        <w:t xml:space="preserve">The first step in identifying these assets is to review the reports identified in </w:t>
      </w:r>
      <w:hyperlink w:anchor="_Step_2.1A:_Review" w:history="1">
        <w:r w:rsidR="008C27F0" w:rsidRPr="008C27F0">
          <w:rPr>
            <w:rStyle w:val="Hyperlink"/>
          </w:rPr>
          <w:t>Step 2.1A: Review Existing Documents</w:t>
        </w:r>
      </w:hyperlink>
      <w:r w:rsidR="001D480E">
        <w:t xml:space="preserve"> </w:t>
      </w:r>
      <w:r>
        <w:t>to determine whether any analyses have been conducted regarding potential risks to infrastructure. The second step should be to look through the past hazard events identified in</w:t>
      </w:r>
      <w:r w:rsidR="00745C46">
        <w:t xml:space="preserve"> </w:t>
      </w:r>
      <w:hyperlink w:anchor="_Step_2.1B:_Determine" w:history="1">
        <w:r w:rsidR="00745C46" w:rsidRPr="00745C46">
          <w:rPr>
            <w:rStyle w:val="Hyperlink"/>
          </w:rPr>
          <w:t>Step 2.1B: Determine Historical Hazards</w:t>
        </w:r>
      </w:hyperlink>
      <w:r>
        <w:t>. Infer what infrastructure may be most vulnerable based on impacts from previous heatwaves, floods, and fires. Consider: Do the stormwater systems get backed up after heavy rain? Are there recurring power outages in certain areas? Assets to include in the assessment are applicable to one or more of the following:</w:t>
      </w:r>
    </w:p>
    <w:p w14:paraId="3052101E" w14:textId="715BE97C"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They serve large portions of the population daily, and disruption would significantly affect community functioning</w:t>
      </w:r>
    </w:p>
    <w:p w14:paraId="574115B4" w14:textId="7B78DBE7"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They provide essential services such as water, electricity, transportation, and public safety</w:t>
      </w:r>
    </w:p>
    <w:p w14:paraId="76EA8D2E" w14:textId="32B9C270"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They support employment and economic activity</w:t>
      </w:r>
    </w:p>
    <w:p w14:paraId="1F37020B" w14:textId="70814980"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They hold cultural, historic, or symbolic value</w:t>
      </w:r>
    </w:p>
    <w:p w14:paraId="1C561BDE" w14:textId="4989339E"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They play critical roles during emergencies, even if not typically viewed as essential (e.g., community centers serving as shelter)</w:t>
      </w:r>
    </w:p>
    <w:p w14:paraId="2E77CC25" w14:textId="2888BEAF" w:rsidR="00CF71BD" w:rsidRDefault="00CF71BD" w:rsidP="009B23DB">
      <w:pPr>
        <w:spacing w:before="160" w:line="240" w:lineRule="auto"/>
      </w:pPr>
      <w:r>
        <w:t>When</w:t>
      </w:r>
      <w:r>
        <w:rPr>
          <w:spacing w:val="-1"/>
        </w:rPr>
        <w:t xml:space="preserve"> </w:t>
      </w:r>
      <w:r>
        <w:t>defining built asset categories,</w:t>
      </w:r>
      <w:r>
        <w:rPr>
          <w:spacing w:val="-1"/>
        </w:rPr>
        <w:t xml:space="preserve"> </w:t>
      </w:r>
      <w:r>
        <w:t>consider</w:t>
      </w:r>
      <w:r>
        <w:rPr>
          <w:spacing w:val="-1"/>
        </w:rPr>
        <w:t xml:space="preserve"> </w:t>
      </w:r>
      <w:r>
        <w:t>whether</w:t>
      </w:r>
      <w:r>
        <w:rPr>
          <w:spacing w:val="-1"/>
        </w:rPr>
        <w:t xml:space="preserve"> </w:t>
      </w:r>
      <w:r>
        <w:t>similar assets should be grouped together or evaluated separately. Particularly critical or highly disruptive assets may warrant individual evaluation. For example, communities can generally group roadways into one category, but it may make sense to evaluate each major roadway or highway individually. If a handful of similarly built assets face different potential impacts (for example, multiple hospitals or wastewater treatment plants in different parts of the community that are exposed to different climate hazards), it might also be helpful to evaluate them separately.</w:t>
      </w:r>
    </w:p>
    <w:tbl>
      <w:tblPr>
        <w:tblStyle w:val="TableGrid"/>
        <w:tblW w:w="0" w:type="auto"/>
        <w:tblLook w:val="04A0" w:firstRow="1" w:lastRow="0" w:firstColumn="1" w:lastColumn="0" w:noHBand="0" w:noVBand="1"/>
      </w:tblPr>
      <w:tblGrid>
        <w:gridCol w:w="9350"/>
      </w:tblGrid>
      <w:tr w:rsidR="00F75F68" w:rsidRPr="00F75F68" w14:paraId="15F189B8" w14:textId="77777777" w:rsidTr="00E6260E">
        <w:trPr>
          <w:trHeight w:val="576"/>
        </w:trPr>
        <w:tc>
          <w:tcPr>
            <w:tcW w:w="9350" w:type="dxa"/>
            <w:tcBorders>
              <w:top w:val="nil"/>
              <w:left w:val="nil"/>
              <w:bottom w:val="nil"/>
              <w:right w:val="nil"/>
            </w:tcBorders>
            <w:shd w:val="clear" w:color="auto" w:fill="58257F"/>
            <w:vAlign w:val="center"/>
          </w:tcPr>
          <w:p w14:paraId="48F263F5" w14:textId="28224397" w:rsidR="00831B3A" w:rsidRPr="00F75F68" w:rsidRDefault="00831B3A" w:rsidP="00BB5ACB">
            <w:pPr>
              <w:rPr>
                <w:b/>
                <w:bCs/>
                <w:color w:val="FFFFFF" w:themeColor="background1"/>
              </w:rPr>
            </w:pPr>
            <w:r>
              <w:rPr>
                <w:b/>
                <w:bCs/>
                <w:color w:val="FFFFFF" w:themeColor="background1"/>
              </w:rPr>
              <w:t xml:space="preserve">Policy Connection: Tribal Hazard Mitigation Plans </w:t>
            </w:r>
          </w:p>
        </w:tc>
      </w:tr>
      <w:tr w:rsidR="005C473F" w14:paraId="4B0A582F" w14:textId="77777777" w:rsidTr="00F243B4">
        <w:tc>
          <w:tcPr>
            <w:tcW w:w="9350" w:type="dxa"/>
            <w:tcBorders>
              <w:top w:val="nil"/>
              <w:left w:val="nil"/>
              <w:bottom w:val="nil"/>
              <w:right w:val="nil"/>
            </w:tcBorders>
            <w:shd w:val="clear" w:color="auto" w:fill="D6BBEB"/>
          </w:tcPr>
          <w:p w14:paraId="1604A3BD" w14:textId="467168B3" w:rsidR="00770B24" w:rsidRDefault="00FC1DE7" w:rsidP="00314B7D">
            <w:pPr>
              <w:spacing w:before="120" w:after="160"/>
            </w:pPr>
            <w:r>
              <w:t>Tribal mitigation plans should provide an overall summary of vulnerability to identified hazards, including vulnerable populations, structures, systems, cultural resources, and other Tribal assets. Plans should also identify what the Tribe wants to protect and describe the planning area, including Tribal lands, jurisdictional boundaries, and culturally significant places. Cultural and sacred sites are often located in vulnerable areas and can be protected through appropriate mitigation measures. In these cases, the locations of these sites and information regarding their cultural significance can remain confidential while still supporting protection and planning efforts.</w:t>
            </w:r>
          </w:p>
        </w:tc>
      </w:tr>
    </w:tbl>
    <w:p w14:paraId="131B1D08" w14:textId="188A9DAE" w:rsidR="00552B33" w:rsidRDefault="00E35097" w:rsidP="00FB79E3">
      <w:pPr>
        <w:spacing w:before="160" w:after="0" w:line="240" w:lineRule="auto"/>
        <w:rPr>
          <w:b/>
          <w:bCs/>
        </w:rPr>
      </w:pPr>
      <w:r>
        <w:rPr>
          <w:b/>
        </w:rPr>
        <w:t xml:space="preserve">Using the VCP to Evaluate </w:t>
      </w:r>
      <w:r>
        <w:rPr>
          <w:b/>
          <w:bCs/>
        </w:rPr>
        <w:t>Assets</w:t>
      </w:r>
    </w:p>
    <w:p w14:paraId="6A3E8F69" w14:textId="52297A5D" w:rsidR="006D046B" w:rsidRDefault="006D046B" w:rsidP="00FB79E3">
      <w:pPr>
        <w:spacing w:line="240" w:lineRule="auto"/>
      </w:pPr>
      <w:r>
        <w:t xml:space="preserve">To evaluate risk to </w:t>
      </w:r>
      <w:proofErr w:type="spellStart"/>
      <w:r>
        <w:t>built</w:t>
      </w:r>
      <w:proofErr w:type="spellEnd"/>
      <w:r>
        <w:t xml:space="preserve"> assets, communities should conduct local-level analyses whenever possible using GIS data, asset inventories, and local knowledge to identify infrastructure and facilities exposed to climate hazards.  For high-consequence infrastructure, technical experts and additional assessment methods should be used to better evaluate risks and identify appropriate adaptation strategies.</w:t>
      </w:r>
    </w:p>
    <w:p w14:paraId="7B66338E" w14:textId="1D51C5C2" w:rsidR="00640889" w:rsidRPr="00B17CBE" w:rsidRDefault="00675311" w:rsidP="00FB79E3">
      <w:pPr>
        <w:spacing w:line="240" w:lineRule="auto"/>
      </w:pPr>
      <w:r>
        <w:t xml:space="preserve">The VCP’s </w:t>
      </w:r>
      <w:hyperlink r:id="rId196">
        <w:r>
          <w:rPr>
            <w:rStyle w:val="Hyperlink"/>
            <w:rFonts w:eastAsia="Poppins" w:cs="Poppins"/>
          </w:rPr>
          <w:t>Infrastructure Map</w:t>
        </w:r>
      </w:hyperlink>
      <w:r>
        <w:t xml:space="preserve"> can support local analysis by examining built assets within the planning area. This map combines public data layers on common infrastructure such as schools, libraries, healthcare facilities, and roads with the VCP’s Climate Vulnerability Map layers for each hazard. To use the tool, zoom into the area of interest, turn on the desired VCP Vulnerability layer, and review each infrastructure layer to see what infrastructure is exposed. However, it is important to note that this map is not a comprehensive or authoritative source; many community assets are not covered. Local data sources (or even Google Maps) can be used to find locations of other assets important to the community.</w:t>
      </w:r>
    </w:p>
    <w:p w14:paraId="44DF7FA2" w14:textId="750BD644" w:rsidR="00CF71BD" w:rsidRDefault="00640889" w:rsidP="009B23DB">
      <w:pPr>
        <w:spacing w:before="160" w:line="240" w:lineRule="auto"/>
      </w:pPr>
      <w:r>
        <w:t>Be aware that this is a very high-level diagnosis—hazards outside the community can also have an impact (e.g., damage to transmission lines miles away from the community can cause a power outage). It may also be useful to distinguish between the physical asset and the service it provides. The two may experience different vulnerabilities and require different adaptation strategies. For example, a drought can significantly affect water deliveries in the community, even if it causes no physical damage to the water infrastructure. A hospital might survive a severe storm event with no damage or loss</w:t>
      </w:r>
      <w:r>
        <w:rPr>
          <w:spacing w:val="-4"/>
        </w:rPr>
        <w:t xml:space="preserve"> </w:t>
      </w:r>
      <w:r>
        <w:t>of</w:t>
      </w:r>
      <w:r>
        <w:rPr>
          <w:spacing w:val="-4"/>
        </w:rPr>
        <w:t xml:space="preserve"> </w:t>
      </w:r>
      <w:r>
        <w:t>capacity,</w:t>
      </w:r>
      <w:r>
        <w:rPr>
          <w:spacing w:val="-4"/>
        </w:rPr>
        <w:t xml:space="preserve"> </w:t>
      </w:r>
      <w:r>
        <w:t>but</w:t>
      </w:r>
      <w:r>
        <w:rPr>
          <w:spacing w:val="-4"/>
        </w:rPr>
        <w:t xml:space="preserve"> an </w:t>
      </w:r>
      <w:r>
        <w:t>emergency</w:t>
      </w:r>
      <w:r>
        <w:rPr>
          <w:spacing w:val="-4"/>
        </w:rPr>
        <w:t xml:space="preserve"> </w:t>
      </w:r>
      <w:r>
        <w:t>medical</w:t>
      </w:r>
      <w:r>
        <w:rPr>
          <w:spacing w:val="-5"/>
        </w:rPr>
        <w:t xml:space="preserve"> </w:t>
      </w:r>
      <w:r>
        <w:t>response</w:t>
      </w:r>
      <w:r>
        <w:rPr>
          <w:spacing w:val="-4"/>
        </w:rPr>
        <w:t xml:space="preserve"> </w:t>
      </w:r>
      <w:r>
        <w:t>service</w:t>
      </w:r>
      <w:r>
        <w:rPr>
          <w:spacing w:val="-4"/>
        </w:rPr>
        <w:t xml:space="preserve"> </w:t>
      </w:r>
      <w:r>
        <w:t>can</w:t>
      </w:r>
      <w:r>
        <w:rPr>
          <w:spacing w:val="-4"/>
        </w:rPr>
        <w:t xml:space="preserve"> </w:t>
      </w:r>
      <w:r>
        <w:t>be</w:t>
      </w:r>
      <w:r>
        <w:rPr>
          <w:spacing w:val="-4"/>
        </w:rPr>
        <w:t xml:space="preserve"> </w:t>
      </w:r>
      <w:r>
        <w:t>harmed</w:t>
      </w:r>
      <w:r>
        <w:rPr>
          <w:spacing w:val="-4"/>
        </w:rPr>
        <w:t xml:space="preserve"> </w:t>
      </w:r>
      <w:r>
        <w:t>by</w:t>
      </w:r>
      <w:r>
        <w:rPr>
          <w:spacing w:val="-4"/>
        </w:rPr>
        <w:t xml:space="preserve"> </w:t>
      </w:r>
      <w:r>
        <w:t>blocked or damaged roadways.</w:t>
      </w:r>
    </w:p>
    <w:p w14:paraId="7BB80239" w14:textId="77777777" w:rsidR="00342BEC" w:rsidRDefault="00342BEC" w:rsidP="00342BEC">
      <w:pPr>
        <w:spacing w:before="160" w:after="0" w:line="240" w:lineRule="auto"/>
        <w:rPr>
          <w:b/>
          <w:bCs/>
        </w:rPr>
      </w:pPr>
      <w:r>
        <w:rPr>
          <w:b/>
          <w:bCs/>
        </w:rPr>
        <w:t>Evaluation</w:t>
      </w:r>
    </w:p>
    <w:p w14:paraId="71541D8B" w14:textId="448A2DFB" w:rsidR="00CF71BD" w:rsidRPr="00B17CBE" w:rsidRDefault="00F817E7" w:rsidP="00FB79E3">
      <w:pPr>
        <w:spacing w:line="240" w:lineRule="auto"/>
      </w:pPr>
      <w:r>
        <w:t xml:space="preserve">When evaluating built assets, consider not only their exposure to climate hazards, but also their vulnerability. Vulnerability can vary based on age, condition, construction type, materials, and use. </w:t>
      </w:r>
      <w:r>
        <w:rPr>
          <w:rFonts w:eastAsia="Times New Roman"/>
        </w:rPr>
        <w:t xml:space="preserve">Built assets include not just buildings but also the full range of infrastructure that communities depend on such as roads and highways, bridges and culverts, water and wastewater systems, electric utilities and telecommunications infrastructure, stormwater systems, and other public facilities. </w:t>
      </w:r>
      <w:r>
        <w:t>When evaluating existing built assets, consider:</w:t>
      </w:r>
    </w:p>
    <w:p w14:paraId="649CE754" w14:textId="3FB0BFE2" w:rsidR="00E2120F" w:rsidRPr="00B17CBE" w:rsidRDefault="00B44452">
      <w:pPr>
        <w:pStyle w:val="ListParagraph"/>
        <w:widowControl w:val="0"/>
        <w:numPr>
          <w:ilvl w:val="0"/>
          <w:numId w:val="33"/>
        </w:numPr>
        <w:tabs>
          <w:tab w:val="left" w:pos="1620"/>
        </w:tabs>
        <w:autoSpaceDE w:val="0"/>
        <w:autoSpaceDN w:val="0"/>
        <w:spacing w:before="160" w:line="240" w:lineRule="auto"/>
        <w:ind w:left="720"/>
      </w:pPr>
      <w:r>
        <w:rPr>
          <w:rFonts w:eastAsia="Times New Roman"/>
          <w:b/>
          <w:bCs/>
        </w:rPr>
        <w:t>Buildings:</w:t>
      </w:r>
      <w:r>
        <w:rPr>
          <w:rFonts w:eastAsia="Times New Roman"/>
        </w:rPr>
        <w:t xml:space="preserve"> Types</w:t>
      </w:r>
      <w:r>
        <w:t xml:space="preserve"> (residential, commercial, industrial, etc.), age, construction type, whether any are critical facilities, and compliance with disaster-resistant building codes</w:t>
      </w:r>
    </w:p>
    <w:p w14:paraId="4EE4FF07" w14:textId="5A6DDD56" w:rsidR="002B7613" w:rsidRPr="00B17CBE" w:rsidRDefault="007116A9">
      <w:pPr>
        <w:pStyle w:val="ListParagraph"/>
        <w:widowControl w:val="0"/>
        <w:numPr>
          <w:ilvl w:val="0"/>
          <w:numId w:val="33"/>
        </w:numPr>
        <w:tabs>
          <w:tab w:val="left" w:pos="1620"/>
        </w:tabs>
        <w:autoSpaceDE w:val="0"/>
        <w:autoSpaceDN w:val="0"/>
        <w:spacing w:before="160" w:line="240" w:lineRule="auto"/>
        <w:ind w:left="720"/>
      </w:pPr>
      <w:r>
        <w:rPr>
          <w:b/>
          <w:bCs/>
        </w:rPr>
        <w:t>Transportation infrastructure:</w:t>
      </w:r>
      <w:r>
        <w:t xml:space="preserve"> Road and highway classifications and materials, bridge age, structural type, culvert capacity, and condition in areas subject to flooding or debris flows</w:t>
      </w:r>
    </w:p>
    <w:p w14:paraId="750F60A2" w14:textId="65957786" w:rsidR="00B44452" w:rsidRPr="00B17CBE" w:rsidRDefault="007116A9">
      <w:pPr>
        <w:pStyle w:val="ListParagraph"/>
        <w:widowControl w:val="0"/>
        <w:numPr>
          <w:ilvl w:val="0"/>
          <w:numId w:val="33"/>
        </w:numPr>
        <w:tabs>
          <w:tab w:val="left" w:pos="1620"/>
        </w:tabs>
        <w:autoSpaceDE w:val="0"/>
        <w:autoSpaceDN w:val="0"/>
        <w:spacing w:before="160" w:line="240" w:lineRule="auto"/>
        <w:ind w:left="720"/>
      </w:pPr>
      <w:r>
        <w:rPr>
          <w:b/>
          <w:bCs/>
        </w:rPr>
        <w:t>Utilities:</w:t>
      </w:r>
      <w:r>
        <w:t xml:space="preserve"> Age and material of water and wastewater pipelines; location of above-ground versus buried electric infrastructure; vulnerability of substations, transmission lines, and telecommunications facilities to high winds, wildfire or flooding</w:t>
      </w:r>
    </w:p>
    <w:p w14:paraId="6E618D15" w14:textId="77777777" w:rsidR="00B44452" w:rsidRDefault="007116A9">
      <w:pPr>
        <w:pStyle w:val="ListParagraph"/>
        <w:widowControl w:val="0"/>
        <w:numPr>
          <w:ilvl w:val="0"/>
          <w:numId w:val="33"/>
        </w:numPr>
        <w:tabs>
          <w:tab w:val="left" w:pos="1620"/>
        </w:tabs>
        <w:autoSpaceDE w:val="0"/>
        <w:autoSpaceDN w:val="0"/>
        <w:spacing w:before="160" w:line="240" w:lineRule="auto"/>
        <w:ind w:left="720"/>
      </w:pPr>
      <w:r>
        <w:rPr>
          <w:b/>
          <w:bCs/>
        </w:rPr>
        <w:t>Stormwater and flood control infrastructure:</w:t>
      </w:r>
      <w:r>
        <w:t xml:space="preserve"> Capacity of storm drains and detention basins relative to projected precipitation intensity, condition of levees and flood control channels</w:t>
      </w:r>
    </w:p>
    <w:p w14:paraId="4F160EFD" w14:textId="4B6CE8B4" w:rsidR="003E571D" w:rsidRPr="000758A7" w:rsidRDefault="003E571D" w:rsidP="00586228">
      <w:pPr>
        <w:pStyle w:val="ListParagraph"/>
        <w:widowControl w:val="0"/>
        <w:tabs>
          <w:tab w:val="left" w:pos="1620"/>
        </w:tabs>
        <w:autoSpaceDE w:val="0"/>
        <w:autoSpaceDN w:val="0"/>
        <w:spacing w:before="160" w:line="240" w:lineRule="auto"/>
        <w:ind w:left="0"/>
      </w:pPr>
      <w:r>
        <w:t xml:space="preserve">When evaluating assets, consider the broader consequences of potential disruptions, including impacts </w:t>
      </w:r>
      <w:r w:rsidR="00652EF8">
        <w:t>on</w:t>
      </w:r>
      <w:r>
        <w:t xml:space="preserve"> essential services, public health and safety, economic activity, and community well-being. Where possible, quantify vulnerabilities (for example, the number of affected buildings, miles of infrastructure, or estimated asset value) to make risk statements more concrete and urgent. However, recognize that economic valuation alone may not fully capture community priorities, particularly for critical infrastructure and assets that support vulnerable populations.</w:t>
      </w:r>
    </w:p>
    <w:p w14:paraId="7C97CA90" w14:textId="77777777" w:rsidR="009B0694" w:rsidRPr="00B17CBE" w:rsidRDefault="009B0694" w:rsidP="009B0694">
      <w:pPr>
        <w:pStyle w:val="ListParagraph"/>
        <w:widowControl w:val="0"/>
        <w:tabs>
          <w:tab w:val="left" w:pos="1620"/>
        </w:tabs>
        <w:autoSpaceDE w:val="0"/>
        <w:autoSpaceDN w:val="0"/>
        <w:spacing w:before="160" w:line="240" w:lineRule="auto"/>
        <w:ind w:left="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5F68" w:rsidRPr="00F75F68" w14:paraId="2B0A5B04" w14:textId="77777777" w:rsidTr="00C35B36">
        <w:trPr>
          <w:trHeight w:val="576"/>
        </w:trPr>
        <w:tc>
          <w:tcPr>
            <w:tcW w:w="9350" w:type="dxa"/>
            <w:shd w:val="clear" w:color="auto" w:fill="14581C"/>
            <w:vAlign w:val="center"/>
          </w:tcPr>
          <w:p w14:paraId="243BF3F2" w14:textId="05B60F07" w:rsidR="00F75F68" w:rsidRPr="00F75F68" w:rsidRDefault="00457015" w:rsidP="00BB5ACB">
            <w:pPr>
              <w:rPr>
                <w:b/>
                <w:bCs/>
                <w:color w:val="FFFFFF" w:themeColor="background1"/>
              </w:rPr>
            </w:pPr>
            <w:r>
              <w:rPr>
                <w:b/>
                <w:color w:val="FFFFFF" w:themeColor="background1"/>
              </w:rPr>
              <w:t>Put It into Practice</w:t>
            </w:r>
          </w:p>
        </w:tc>
      </w:tr>
      <w:tr w:rsidR="002A5766" w14:paraId="22CF6594" w14:textId="77777777" w:rsidTr="00762EBE">
        <w:trPr>
          <w:trHeight w:val="2016"/>
        </w:trPr>
        <w:tc>
          <w:tcPr>
            <w:tcW w:w="9350" w:type="dxa"/>
            <w:shd w:val="clear" w:color="auto" w:fill="C2F1C8"/>
          </w:tcPr>
          <w:p w14:paraId="2E7B4E42" w14:textId="7A73B66F" w:rsidR="00F00A81" w:rsidRPr="00C23C98" w:rsidRDefault="00F00A81" w:rsidP="00457015">
            <w:pPr>
              <w:spacing w:before="120" w:after="160"/>
              <w:rPr>
                <w:color w:val="000000" w:themeColor="text1"/>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_Ref230247604 \h  \* MERGEFORMAT </w:instrText>
            </w:r>
            <w:r>
              <w:rPr>
                <w:b/>
                <w:bCs/>
                <w:color w:val="000000" w:themeColor="text1"/>
              </w:rPr>
            </w:r>
            <w:r>
              <w:rPr>
                <w:b/>
                <w:bCs/>
                <w:color w:val="000000" w:themeColor="text1"/>
              </w:rPr>
              <w:fldChar w:fldCharType="separate"/>
            </w:r>
            <w:r w:rsidR="00517691" w:rsidRPr="00517691">
              <w:rPr>
                <w:b/>
                <w:bCs/>
              </w:rPr>
              <w:t>Evaluate Community Assets Exposed to Hazards</w:t>
            </w:r>
            <w:r>
              <w:rPr>
                <w:b/>
                <w:bCs/>
                <w:color w:val="000000" w:themeColor="text1"/>
              </w:rPr>
              <w:fldChar w:fldCharType="end"/>
            </w:r>
          </w:p>
          <w:p w14:paraId="642D3341" w14:textId="25597172" w:rsidR="002A5766" w:rsidRPr="00C23C98" w:rsidRDefault="002A5766" w:rsidP="00457015">
            <w:pPr>
              <w:spacing w:before="120" w:after="160"/>
              <w:rPr>
                <w:color w:val="000000" w:themeColor="text1"/>
              </w:rPr>
            </w:pPr>
            <w:r>
              <w:rPr>
                <w:color w:val="000000" w:themeColor="text1"/>
              </w:rPr>
              <w:t>Use this table to document community assets. List each specific asset (each school, senior center, library, etc.) by name.</w:t>
            </w:r>
          </w:p>
          <w:tbl>
            <w:tblPr>
              <w:tblStyle w:val="TableGrid"/>
              <w:tblW w:w="0" w:type="auto"/>
              <w:tblLook w:val="04A0" w:firstRow="1" w:lastRow="0" w:firstColumn="1" w:lastColumn="0" w:noHBand="0" w:noVBand="1"/>
              <w:tblCaption w:val="Community assets affected by potential hazards"/>
              <w:tblDescription w:val="Fillable table to track exposed assets, potential climate-related hazards that can impact them, and the related impacts"/>
            </w:tblPr>
            <w:tblGrid>
              <w:gridCol w:w="3042"/>
              <w:gridCol w:w="2518"/>
              <w:gridCol w:w="3510"/>
            </w:tblGrid>
            <w:tr w:rsidR="002A5766" w:rsidRPr="006A4CCB" w14:paraId="1E4C5B93" w14:textId="77777777" w:rsidTr="00953F1A">
              <w:tc>
                <w:tcPr>
                  <w:tcW w:w="3042" w:type="dxa"/>
                  <w:vAlign w:val="center"/>
                </w:tcPr>
                <w:p w14:paraId="3514214D" w14:textId="7616B435" w:rsidR="002A5766" w:rsidRPr="006A4CCB" w:rsidRDefault="002A5766" w:rsidP="00BB5ACB">
                  <w:pPr>
                    <w:rPr>
                      <w:b/>
                      <w:bCs/>
                      <w:color w:val="000000" w:themeColor="text1"/>
                    </w:rPr>
                  </w:pPr>
                  <w:r>
                    <w:rPr>
                      <w:b/>
                      <w:bCs/>
                      <w:color w:val="000000" w:themeColor="text1"/>
                    </w:rPr>
                    <w:t>Exposed Asset</w:t>
                  </w:r>
                </w:p>
              </w:tc>
              <w:tc>
                <w:tcPr>
                  <w:tcW w:w="2518" w:type="dxa"/>
                  <w:vAlign w:val="center"/>
                </w:tcPr>
                <w:p w14:paraId="604E54E5" w14:textId="54B8955B" w:rsidR="002A5766" w:rsidRPr="006A4CCB" w:rsidRDefault="002A5766" w:rsidP="00BB5ACB">
                  <w:pPr>
                    <w:rPr>
                      <w:b/>
                      <w:bCs/>
                      <w:color w:val="000000" w:themeColor="text1"/>
                    </w:rPr>
                  </w:pPr>
                  <w:r>
                    <w:rPr>
                      <w:b/>
                      <w:bCs/>
                      <w:color w:val="000000" w:themeColor="text1"/>
                    </w:rPr>
                    <w:t>Potential Hazard</w:t>
                  </w:r>
                </w:p>
              </w:tc>
              <w:tc>
                <w:tcPr>
                  <w:tcW w:w="3510" w:type="dxa"/>
                  <w:vAlign w:val="center"/>
                </w:tcPr>
                <w:p w14:paraId="381BD1CC" w14:textId="3293B08B" w:rsidR="002A5766" w:rsidRPr="006A4CCB" w:rsidRDefault="002A5766" w:rsidP="00BB5ACB">
                  <w:pPr>
                    <w:rPr>
                      <w:b/>
                      <w:bCs/>
                      <w:color w:val="000000" w:themeColor="text1"/>
                    </w:rPr>
                  </w:pPr>
                  <w:r>
                    <w:rPr>
                      <w:b/>
                      <w:bCs/>
                      <w:color w:val="000000" w:themeColor="text1"/>
                    </w:rPr>
                    <w:t>Impact (Where and Who)</w:t>
                  </w:r>
                </w:p>
              </w:tc>
            </w:tr>
            <w:tr w:rsidR="002A5766" w:rsidRPr="006A4CCB" w14:paraId="154A282D" w14:textId="77777777" w:rsidTr="00953F1A">
              <w:tc>
                <w:tcPr>
                  <w:tcW w:w="3042" w:type="dxa"/>
                </w:tcPr>
                <w:p w14:paraId="0981E7B3" w14:textId="77777777" w:rsidR="002A5766" w:rsidRPr="006A4CCB" w:rsidRDefault="002A5766" w:rsidP="00BB5ACB">
                  <w:pPr>
                    <w:rPr>
                      <w:color w:val="000000" w:themeColor="text1"/>
                    </w:rPr>
                  </w:pPr>
                </w:p>
              </w:tc>
              <w:tc>
                <w:tcPr>
                  <w:tcW w:w="2518" w:type="dxa"/>
                </w:tcPr>
                <w:p w14:paraId="57A26D62" w14:textId="77777777" w:rsidR="002A5766" w:rsidRPr="006A4CCB" w:rsidRDefault="002A5766" w:rsidP="00BB5ACB">
                  <w:pPr>
                    <w:rPr>
                      <w:color w:val="000000" w:themeColor="text1"/>
                    </w:rPr>
                  </w:pPr>
                </w:p>
              </w:tc>
              <w:tc>
                <w:tcPr>
                  <w:tcW w:w="3510" w:type="dxa"/>
                </w:tcPr>
                <w:p w14:paraId="0D4B1AA7" w14:textId="77777777" w:rsidR="002A5766" w:rsidRPr="006A4CCB" w:rsidRDefault="002A5766" w:rsidP="00BB5ACB">
                  <w:pPr>
                    <w:rPr>
                      <w:color w:val="000000" w:themeColor="text1"/>
                    </w:rPr>
                  </w:pPr>
                </w:p>
              </w:tc>
            </w:tr>
          </w:tbl>
          <w:p w14:paraId="23AF9AB9" w14:textId="081C27CD" w:rsidR="002A5766" w:rsidRPr="00A6038F" w:rsidRDefault="00A6038F" w:rsidP="00BB5ACB">
            <w:pPr>
              <w:rPr>
                <w:sz w:val="12"/>
                <w:szCs w:val="12"/>
              </w:rPr>
            </w:pPr>
            <w:r>
              <w:rPr>
                <w:sz w:val="12"/>
                <w:szCs w:val="12"/>
              </w:rPr>
              <w:t xml:space="preserve">   </w:t>
            </w:r>
          </w:p>
        </w:tc>
      </w:tr>
    </w:tbl>
    <w:p w14:paraId="44411071" w14:textId="77777777" w:rsidR="002E5D68" w:rsidRDefault="002E5D68" w:rsidP="00C35B36">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D68" w:rsidRPr="00C47AD9" w14:paraId="7051379A" w14:textId="77777777" w:rsidTr="00E6260E">
        <w:trPr>
          <w:trHeight w:val="576"/>
        </w:trPr>
        <w:tc>
          <w:tcPr>
            <w:tcW w:w="9350" w:type="dxa"/>
            <w:shd w:val="clear" w:color="auto" w:fill="1F5383"/>
            <w:vAlign w:val="center"/>
          </w:tcPr>
          <w:p w14:paraId="0F209718" w14:textId="5C633CAB" w:rsidR="002E5D68" w:rsidRPr="00913C5D" w:rsidRDefault="002E5D68" w:rsidP="00BB5ACB">
            <w:pPr>
              <w:rPr>
                <w:b/>
                <w:color w:val="FFFFFF" w:themeColor="background1"/>
              </w:rPr>
            </w:pPr>
            <w:r>
              <w:rPr>
                <w:b/>
                <w:color w:val="FFFFFF" w:themeColor="background1"/>
              </w:rPr>
              <w:t>Case</w:t>
            </w:r>
            <w:r>
              <w:rPr>
                <w:b/>
                <w:bCs/>
                <w:color w:val="FFFFFF" w:themeColor="background1"/>
              </w:rPr>
              <w:t xml:space="preserve"> </w:t>
            </w:r>
            <w:r>
              <w:rPr>
                <w:b/>
                <w:color w:val="FFFFFF" w:themeColor="background1"/>
              </w:rPr>
              <w:t>Study:</w:t>
            </w:r>
            <w:r>
              <w:rPr>
                <w:b/>
                <w:bCs/>
                <w:color w:val="FFFFFF" w:themeColor="background1"/>
              </w:rPr>
              <w:t xml:space="preserve"> Morro Bay Annex of San Luis Obispo County Multi-Jurisdictional Hazard Mitigation Plan</w:t>
            </w:r>
          </w:p>
        </w:tc>
      </w:tr>
      <w:tr w:rsidR="002E5D68" w14:paraId="613F4B90" w14:textId="77777777" w:rsidTr="00913C5D">
        <w:tc>
          <w:tcPr>
            <w:tcW w:w="9350" w:type="dxa"/>
            <w:shd w:val="clear" w:color="auto" w:fill="DCEAF7"/>
          </w:tcPr>
          <w:p w14:paraId="76CEFE83" w14:textId="3881BD45" w:rsidR="002E5D68" w:rsidRDefault="003A0565" w:rsidP="001076CC">
            <w:pPr>
              <w:spacing w:before="120"/>
            </w:pPr>
            <w:r>
              <w:t xml:space="preserve">The City of Morro Bay was a planning participant in the </w:t>
            </w:r>
            <w:hyperlink r:id="rId197" w:history="1">
              <w:r>
                <w:rPr>
                  <w:rStyle w:val="Hyperlink"/>
                  <w:i/>
                  <w:iCs/>
                </w:rPr>
                <w:t>San Luis Obispo County MJHMP 2025-2030</w:t>
              </w:r>
            </w:hyperlink>
            <w:r>
              <w:t>. The City describes its future development and how that may affect its vulnerability to natural hazards in Annex D.</w:t>
            </w:r>
          </w:p>
          <w:p w14:paraId="66E38BED" w14:textId="7B61414A" w:rsidR="002E5D68" w:rsidRDefault="002E5D68" w:rsidP="0094174D">
            <w:pPr>
              <w:spacing w:before="160" w:after="120"/>
            </w:pPr>
            <w:r>
              <w:t>“Morro Bay is mostly built-out and geographically constrained by the Pacific Ocean to the west, steep topography to the east, and protected agricultural land and open space to the north and south. The city approves approximately 20 to 30 new residential units each year. This includes new single-family homes, accessory dwelling units, and multi-family units. These are mostly infill units located on existing lots throughout the city, some of which (particularly in North Morro Bay and Morro Bay Heights) are located on moderate to steep (10 - 30 percent) slopes.</w:t>
            </w:r>
          </w:p>
          <w:p w14:paraId="273CC431" w14:textId="40849F52" w:rsidR="002E5D68" w:rsidRDefault="002E5D68" w:rsidP="001076CC">
            <w:pPr>
              <w:spacing w:after="120"/>
            </w:pPr>
            <w:r>
              <w:t>“The city permits approximately 1 to 5 new commercial development/redevelopment projects each year. These most commonly consist of hotel and retail projects. Some of these projects are located on the Embarcadero on City tidelands lease sites. These areas are potentially vulnerable to coastal hazards, flooding, and tsunami inundation. The city is in the process of updating its Waterfront Master Plan to include a sea level rise vulnerability assessment and adaptation plan. The Local Planning Team noted that in the Waterfront Master Plan, they have identified a safety risk of traffic congestion and one-way access to certain areas that can limit or impede evacuation access and egress. Specifically, the traffic congestion on Embarcadero is being caused by larger vehicles having difficulty turning around in central Embarcadero and excessive length of dead-end roads creating congestion and safety hazards.”</w:t>
            </w:r>
          </w:p>
        </w:tc>
      </w:tr>
    </w:tbl>
    <w:p w14:paraId="134707A5" w14:textId="29C8B26D" w:rsidR="002E5D68" w:rsidRPr="00913C5D" w:rsidRDefault="002E5D68" w:rsidP="0086263B">
      <w:pPr>
        <w:spacing w:before="160" w:line="240" w:lineRule="auto"/>
      </w:pPr>
    </w:p>
    <w:p w14:paraId="48AC1473" w14:textId="24DBAC75" w:rsidR="00AF6DE3" w:rsidRPr="00B17CBE" w:rsidRDefault="00AC7874" w:rsidP="0086263B">
      <w:pPr>
        <w:pStyle w:val="Heading3"/>
        <w:spacing w:after="160" w:line="240" w:lineRule="auto"/>
        <w:rPr>
          <w:color w:val="595959" w:themeColor="text1" w:themeTint="A6"/>
        </w:rPr>
      </w:pPr>
      <w:bookmarkStart w:id="113" w:name="_Toc235802695"/>
      <w:r>
        <w:t>Step 2.2C: Natural, Historic, and Cultural Resource Assets</w:t>
      </w:r>
      <w:bookmarkEnd w:id="113"/>
    </w:p>
    <w:p w14:paraId="695DC6F8" w14:textId="21DE64F9" w:rsidR="0078626A" w:rsidRPr="00E43E3E" w:rsidRDefault="005B719E" w:rsidP="00BA410F">
      <w:pPr>
        <w:spacing w:before="160" w:line="240" w:lineRule="auto"/>
      </w:pPr>
      <w:r>
        <w:t>California’s natural landscapes, including its forests, wetlands, rivers, farmlands, coastline, urban forests, and open spaces, are community assets that deserve the same attention in a vulnerability assessment as roads, buildings, and utilities. These resources support local economies, protect public health, and in many cases directly reduce hazard risk for nearby residents. When they are damaged or degraded by wildfire, drought, flooding, or other hazards, the impacts can ripple across the whole community.</w:t>
      </w:r>
    </w:p>
    <w:p w14:paraId="79C5A564" w14:textId="2D23F89A" w:rsidR="005B719E" w:rsidRPr="00E43E3E" w:rsidRDefault="00EA184B" w:rsidP="00BA410F">
      <w:pPr>
        <w:spacing w:before="160" w:line="240" w:lineRule="auto"/>
      </w:pPr>
      <w:r>
        <w:t>What these resources entail and mean locally varies widely across California’s diverse regions. These resources support local economies through agriculture, tourism, outdoor recreation, and ecosystems services, and thus, conserving restoring, stewarding them can help communities reduce hazard risk, protect  habitats and biodiversity, and build long-term resilience. The natural environment can also directly shield residents from hazard impacts. Wetlands and riparian areas absorb floodwaters. Healthy soils and vegetation manage stormwater, control erosion, and reduce runoff. Vegetation and urban tree canopy provide shade that protects people from extreme heat. Dunes and coastal wetlands buffer shoreline communities from storm surge and high tides.</w:t>
      </w:r>
    </w:p>
    <w:p w14:paraId="6C73B165" w14:textId="77777777" w:rsidR="0086263B" w:rsidRPr="00E43E3E" w:rsidRDefault="005B719E" w:rsidP="00C35B36">
      <w:pPr>
        <w:spacing w:after="0" w:line="240" w:lineRule="auto"/>
        <w:rPr>
          <w:b/>
          <w:bCs/>
        </w:rPr>
      </w:pPr>
      <w:r>
        <w:rPr>
          <w:b/>
          <w:bCs/>
        </w:rPr>
        <w:t>Natural Resources</w:t>
      </w:r>
    </w:p>
    <w:p w14:paraId="2E66EA3C" w14:textId="06810433" w:rsidR="005B719E" w:rsidRPr="00E43E3E" w:rsidRDefault="005B719E" w:rsidP="00C35B36">
      <w:pPr>
        <w:spacing w:line="240" w:lineRule="auto"/>
      </w:pPr>
      <w:r>
        <w:t>Natural resources include, but are not limited to, forests, wetlands, rivers, and lakes, beaches, farmlands, rangelands, groundwater basins, wildlife habitat, and the plant and animal species that depend on them. Natural resources support  working lands, including farms, ranches, orchards, vineyards, cannabis, and timber lands. In the Central Valley, irrigated farmland and water delivery infrastructure encompass one of the most productive agricultural economies in the world and support entire rural communities.</w:t>
      </w:r>
    </w:p>
    <w:p w14:paraId="558B6C8E" w14:textId="74620CA5" w:rsidR="0086263B" w:rsidRPr="00E43E3E" w:rsidRDefault="005B719E" w:rsidP="00BA410F">
      <w:pPr>
        <w:spacing w:line="240" w:lineRule="auto"/>
      </w:pPr>
      <w:r>
        <w:t xml:space="preserve">In California, these assets are managed across a complex patchwork of jurisdictions, including federal agencies, (such as </w:t>
      </w:r>
      <w:r w:rsidR="00584DCA">
        <w:t xml:space="preserve">the </w:t>
      </w:r>
      <w:r>
        <w:t>USFS and Bureau of Land Management), state agencies, special districts (such as resource conservation districts and water districts), county agricultural commissions, private landowners, and California Native American Tribes. Each of these entities brings different knowledge, authority, and capacity to a vulnerability assessment, which is why partnerships and coordination matter.</w:t>
      </w:r>
    </w:p>
    <w:p w14:paraId="3F8DB14F" w14:textId="47760DF8" w:rsidR="0086263B" w:rsidRPr="00E43E3E" w:rsidRDefault="005B719E" w:rsidP="00BA410F">
      <w:pPr>
        <w:spacing w:line="240" w:lineRule="auto"/>
      </w:pPr>
      <w:r>
        <w:t xml:space="preserve">Communities should identify natural resource assets within and around their planning area, evaluate the hazards they face, and consider how the loss or degradation of these assets would affect residents. Resources that provide direct hazard protection, such as wetlands that reduce flood risk or urban forests that reduce extreme heat, are especially important to identify because their degradation can increase community vulnerability in ways that are not always immediately visible. </w:t>
      </w:r>
      <w:bookmarkStart w:id="114" w:name="_Hlk233014555"/>
      <w:r>
        <w:t>Communities should also evaluate the health of these resources, if they are degraded or in an unhealthy state, they may need to be restored or enhanced to convey hazard mitigation benefits. For example, this may include restoring hydrological functioning of wetlands and rivers, reducing the density of unhealthy forest stands, or building the soil health of a landscape where soils are highly degraded.</w:t>
      </w:r>
      <w:bookmarkEnd w:id="114"/>
    </w:p>
    <w:p w14:paraId="7B81BDCC" w14:textId="6240CD18" w:rsidR="0028654A" w:rsidRPr="00E43E3E" w:rsidRDefault="005B719E" w:rsidP="00BA410F">
      <w:pPr>
        <w:spacing w:line="240" w:lineRule="auto"/>
      </w:pPr>
      <w:r>
        <w:t>Climate change creates both challenges and opportunities for natural resource management. Drought and heat can expand invasive species and stress ecosystems already under pressure, while drier late-season conditions may open new windows for prescribed burning, and longer shoulder seasons may support more trail work and habitat restoration.</w:t>
      </w:r>
    </w:p>
    <w:p w14:paraId="58E87588" w14:textId="77777777" w:rsidR="0086263B" w:rsidRPr="00E43E3E" w:rsidRDefault="005B719E" w:rsidP="00985AED">
      <w:pPr>
        <w:spacing w:after="0" w:line="240" w:lineRule="auto"/>
        <w:rPr>
          <w:b/>
          <w:bCs/>
        </w:rPr>
      </w:pPr>
      <w:r>
        <w:rPr>
          <w:b/>
          <w:bCs/>
        </w:rPr>
        <w:t>Historic Resources</w:t>
      </w:r>
    </w:p>
    <w:p w14:paraId="72644387" w14:textId="2C9963E3" w:rsidR="0086263B" w:rsidRPr="00E43E3E" w:rsidRDefault="005B719E" w:rsidP="00BA410F">
      <w:pPr>
        <w:spacing w:line="240" w:lineRule="auto"/>
      </w:pPr>
      <w:r>
        <w:t>Historic resources offer meaningful social and economic benefits, including heritage tourism, neighborhood character, and community identity. In California, these include adobes, Gold Rush-era buildings, and agricultural landscapes tied to farmworker history. Communities should identify these resources in their asset inventory and evaluate their exposure to hazards.</w:t>
      </w:r>
    </w:p>
    <w:p w14:paraId="089A5C37" w14:textId="77777777" w:rsidR="0036390A" w:rsidRPr="00E43E3E" w:rsidRDefault="005B719E" w:rsidP="00985AED">
      <w:pPr>
        <w:spacing w:after="0" w:line="240" w:lineRule="auto"/>
        <w:rPr>
          <w:b/>
          <w:bCs/>
        </w:rPr>
      </w:pPr>
      <w:r>
        <w:rPr>
          <w:b/>
          <w:bCs/>
        </w:rPr>
        <w:t>Cultural Resources</w:t>
      </w:r>
    </w:p>
    <w:p w14:paraId="1FEB3EFB" w14:textId="0D081C5A" w:rsidR="00A14A07" w:rsidRDefault="005B719E" w:rsidP="00BA410F">
      <w:pPr>
        <w:spacing w:line="240" w:lineRule="auto"/>
      </w:pPr>
      <w:r>
        <w:t xml:space="preserve">Cultural resources reflect what a community values, practices, and holds in common. They include museums, libraries, cultural centers, parks, stadiums, and geological or natural sites of special significance, as well as the living traditions, seasonal events, and community practices that </w:t>
      </w:r>
      <w:r w:rsidR="006B14CD">
        <w:t>are significant</w:t>
      </w:r>
      <w:r w:rsidR="00A14A07">
        <w:t xml:space="preserve"> to the community and </w:t>
      </w:r>
      <w:r w:rsidR="00173984">
        <w:t xml:space="preserve">cannot be replaced. </w:t>
      </w:r>
      <w:r w:rsidR="00A14A07">
        <w:t xml:space="preserve"> </w:t>
      </w:r>
    </w:p>
    <w:p w14:paraId="416138B8" w14:textId="7ED9BBDF" w:rsidR="00DB7370" w:rsidRPr="00BE48FE" w:rsidRDefault="00DB7370" w:rsidP="00BA410F">
      <w:pPr>
        <w:spacing w:line="240" w:lineRule="auto"/>
        <w:rPr>
          <w:b/>
          <w:bCs/>
        </w:rPr>
      </w:pPr>
      <w:r>
        <w:rPr>
          <w:b/>
          <w:bCs/>
        </w:rPr>
        <w:t>Tribal Cultural Resources</w:t>
      </w:r>
    </w:p>
    <w:p w14:paraId="5778E255" w14:textId="0EBD7876" w:rsidR="00E918FC" w:rsidRDefault="005B719E" w:rsidP="00762EBE">
      <w:pPr>
        <w:spacing w:line="240" w:lineRule="auto"/>
      </w:pPr>
      <w:r>
        <w:t xml:space="preserve">In California, Tribal cultural resources deserve particular attention. For California Tribes, cultural resources can encompass landscapes, waterways, plant communities, and places of spiritual and traditional significance. The Karuk Tribe’s 2019 </w:t>
      </w:r>
      <w:hyperlink r:id="rId198">
        <w:r>
          <w:rPr>
            <w:rStyle w:val="Hyperlink"/>
            <w:i/>
            <w:iCs/>
          </w:rPr>
          <w:t>Karuk Climate Adaptation Plan</w:t>
        </w:r>
      </w:hyperlink>
      <w:r>
        <w:t>, for example, identifies species of cultural importance that serve as indicators of ecosystem health and are central to Tribal ceremonies and relationships with the land.</w:t>
      </w:r>
    </w:p>
    <w:p w14:paraId="329092BF" w14:textId="77777777" w:rsidR="00E918FC" w:rsidRDefault="00E918FC">
      <w:r>
        <w:br w:type="page"/>
      </w:r>
    </w:p>
    <w:tbl>
      <w:tblPr>
        <w:tblStyle w:val="TableGrid"/>
        <w:tblW w:w="0" w:type="auto"/>
        <w:tblLook w:val="04A0" w:firstRow="1" w:lastRow="0" w:firstColumn="1" w:lastColumn="0" w:noHBand="0" w:noVBand="1"/>
      </w:tblPr>
      <w:tblGrid>
        <w:gridCol w:w="9350"/>
      </w:tblGrid>
      <w:tr w:rsidR="00317277" w:rsidRPr="00317277" w14:paraId="65A713D7" w14:textId="77777777" w:rsidTr="00A44D10">
        <w:trPr>
          <w:trHeight w:val="432"/>
        </w:trPr>
        <w:tc>
          <w:tcPr>
            <w:tcW w:w="9350" w:type="dxa"/>
            <w:shd w:val="clear" w:color="auto" w:fill="000000" w:themeFill="text1"/>
            <w:vAlign w:val="center"/>
          </w:tcPr>
          <w:p w14:paraId="578D5FF5" w14:textId="2FC9708F" w:rsidR="00317277" w:rsidRPr="00317277" w:rsidRDefault="00317277" w:rsidP="00A44D10">
            <w:pPr>
              <w:rPr>
                <w:b/>
                <w:bCs/>
              </w:rPr>
            </w:pPr>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17</w:t>
            </w:r>
            <w:r>
              <w:rPr>
                <w:b/>
                <w:bCs/>
              </w:rPr>
              <w:fldChar w:fldCharType="end"/>
            </w:r>
            <w:r>
              <w:rPr>
                <w:b/>
                <w:bCs/>
              </w:rPr>
              <w:t xml:space="preserve">. Excerpt from the 2019 </w:t>
            </w:r>
            <w:r>
              <w:rPr>
                <w:b/>
                <w:bCs/>
                <w:i/>
                <w:iCs/>
              </w:rPr>
              <w:t>Karuk Climate Adaptation Plan</w:t>
            </w:r>
          </w:p>
        </w:tc>
      </w:tr>
      <w:tr w:rsidR="00317277" w14:paraId="05D19979" w14:textId="77777777" w:rsidTr="00E918FC">
        <w:trPr>
          <w:trHeight w:val="4608"/>
        </w:trPr>
        <w:tc>
          <w:tcPr>
            <w:tcW w:w="9350" w:type="dxa"/>
            <w:vAlign w:val="center"/>
          </w:tcPr>
          <w:p w14:paraId="1F01F749" w14:textId="4638CFF9" w:rsidR="00EB5B6F" w:rsidRPr="00E43E3E" w:rsidRDefault="00D24F6D" w:rsidP="00BF6A25">
            <w:pPr>
              <w:spacing w:before="100" w:after="120"/>
              <w:jc w:val="center"/>
              <w:rPr>
                <w:b/>
                <w:bCs/>
                <w:i/>
                <w:iCs/>
                <w:noProof/>
              </w:rPr>
            </w:pPr>
            <w:r>
              <w:rPr>
                <w:noProof/>
              </w:rPr>
              <w:drawing>
                <wp:anchor distT="0" distB="0" distL="114300" distR="114300" simplePos="0" relativeHeight="251658262" behindDoc="1" locked="0" layoutInCell="1" allowOverlap="1" wp14:anchorId="040642C6" wp14:editId="53FFC5EF">
                  <wp:simplePos x="0" y="0"/>
                  <wp:positionH relativeFrom="column">
                    <wp:posOffset>60960</wp:posOffset>
                  </wp:positionH>
                  <wp:positionV relativeFrom="paragraph">
                    <wp:posOffset>275590</wp:posOffset>
                  </wp:positionV>
                  <wp:extent cx="2011680" cy="1557020"/>
                  <wp:effectExtent l="0" t="0" r="7620" b="5080"/>
                  <wp:wrapTight wrapText="bothSides">
                    <wp:wrapPolygon edited="0">
                      <wp:start x="0" y="0"/>
                      <wp:lineTo x="0" y="21406"/>
                      <wp:lineTo x="21477" y="21406"/>
                      <wp:lineTo x="21477" y="0"/>
                      <wp:lineTo x="0" y="0"/>
                    </wp:wrapPolygon>
                  </wp:wrapTight>
                  <wp:docPr id="997118062" name="Picture 1" descr="Pacific Giant Salamander on a log. Credit to Californiaherp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18062" name="Picture 1" descr="Pacific Giant Salamander on a log. Credit to Californiaherps.com"/>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011680" cy="1557020"/>
                          </a:xfrm>
                          <a:prstGeom prst="rect">
                            <a:avLst/>
                          </a:prstGeom>
                        </pic:spPr>
                      </pic:pic>
                    </a:graphicData>
                  </a:graphic>
                  <wp14:sizeRelH relativeFrom="margin">
                    <wp14:pctWidth>0</wp14:pctWidth>
                  </wp14:sizeRelH>
                  <wp14:sizeRelV relativeFrom="margin">
                    <wp14:pctHeight>0</wp14:pctHeight>
                  </wp14:sizeRelV>
                </wp:anchor>
              </w:drawing>
            </w:r>
            <w:r>
              <w:rPr>
                <w:b/>
                <w:bCs/>
                <w:i/>
                <w:iCs/>
                <w:noProof/>
              </w:rPr>
              <w:t>Pacific Giant Salamander / Púfpuuf / Dicamptodon tenebrosus</w:t>
            </w:r>
          </w:p>
          <w:p w14:paraId="04911EA8" w14:textId="047838A9" w:rsidR="00EB5B6F" w:rsidRPr="00E43E3E" w:rsidRDefault="00EB5B6F" w:rsidP="004F5EE2">
            <w:pPr>
              <w:spacing w:before="120"/>
              <w:rPr>
                <w:noProof/>
                <w:u w:val="single"/>
              </w:rPr>
            </w:pPr>
            <w:r>
              <w:rPr>
                <w:noProof/>
                <w:u w:val="single"/>
              </w:rPr>
              <w:t>Importance as Cultural Indicator</w:t>
            </w:r>
          </w:p>
          <w:p w14:paraId="55B11724" w14:textId="589DF246" w:rsidR="00A44D10" w:rsidRDefault="00EB5B6F" w:rsidP="00BF6A25">
            <w:pPr>
              <w:spacing w:after="100"/>
              <w:rPr>
                <w:noProof/>
              </w:rPr>
            </w:pPr>
            <w:r>
              <w:rPr>
                <w:noProof/>
              </w:rPr>
              <w:t>In Karuk beliefs, púfpuuf is a spiritual being who transformed into a salamander to monitor spring and creek water quality and quantity. The healthy presence of púfpuuf is indicative of a healthy riparian and aquatic fresh water ecosystem. Púfpuuf is central in Karuk culture - they’re not a Karuk food source, but they are a keeper of water that is critical to our life. Púfpuuf  has its own prayer in ceremonies related to how humans - as the only species capable of lighting a fire and making sure it doesn’t get out of hand - can maintain balance in riparian systems. As a cultural indicator pacific giant salamander is connected to the transitional riparian habitat between the in-stream and the up-slope environments.</w:t>
            </w:r>
          </w:p>
        </w:tc>
      </w:tr>
    </w:tbl>
    <w:p w14:paraId="7CBD24DC" w14:textId="38B82C3D" w:rsidR="00317277" w:rsidRPr="00E43E3E" w:rsidRDefault="005B719E" w:rsidP="00985AED">
      <w:pPr>
        <w:spacing w:before="160" w:after="0" w:line="240" w:lineRule="auto"/>
        <w:rPr>
          <w:b/>
          <w:bCs/>
        </w:rPr>
      </w:pPr>
      <w:r>
        <w:rPr>
          <w:b/>
          <w:bCs/>
        </w:rPr>
        <w:t>Activities that are Meaningful to the Community</w:t>
      </w:r>
    </w:p>
    <w:p w14:paraId="00953EB3" w14:textId="7F3C029B" w:rsidR="005B719E" w:rsidRPr="00E43E3E" w:rsidRDefault="005B719E" w:rsidP="00985AED">
      <w:pPr>
        <w:spacing w:line="240" w:lineRule="auto"/>
      </w:pPr>
      <w:r>
        <w:t>Beyond physical sites, communities should consider the activities and traditions that define them. Many California communities depend on seasonal industries such as agriculture, fishing, ski tourism, coastal recreation, and harvest festivals that operate within narrow windows where weather, water availability, and environmental conditions must align. A late frost in the Central Valley, a wildfire smoke event during peak summer tourism in the Sierra Nevada, or a harmful algal bloom closing shellfish harvesting on the North Coast can devastate a local economy in ways that go well beyond a single season. Identifying these dependencies as part of a vulnerability assessment helps communities understand the full stakes of natural resource protection.</w:t>
      </w:r>
    </w:p>
    <w:p w14:paraId="78931365" w14:textId="574D1139" w:rsidR="005B719E" w:rsidRPr="00E43E3E" w:rsidRDefault="005B719E" w:rsidP="00BA410F">
      <w:pPr>
        <w:spacing w:before="160" w:line="240" w:lineRule="auto"/>
      </w:pPr>
      <w:r>
        <w:t xml:space="preserve">Climate change can also intensify pressure on recreational amenities that communities value. The 2024 Nevada County </w:t>
      </w:r>
      <w:hyperlink r:id="rId200" w:history="1">
        <w:r>
          <w:rPr>
            <w:rStyle w:val="Hyperlink"/>
            <w:i/>
            <w:iCs/>
          </w:rPr>
          <w:t>Recreation and Resiliency Master Plan</w:t>
        </w:r>
        <w:r>
          <w:rPr>
            <w:rStyle w:val="Hyperlink"/>
            <w:i/>
            <w:iCs/>
            <w:u w:val="none"/>
          </w:rPr>
          <w:t xml:space="preserve"> </w:t>
        </w:r>
      </w:hyperlink>
      <w:r>
        <w:t>highlights how rising temperatures are expected to increase demand for access to rivers, lakes, and other cooling destinations:</w:t>
      </w:r>
    </w:p>
    <w:p w14:paraId="3D5BF6A4" w14:textId="6CBCEE32" w:rsidR="005B719E" w:rsidRPr="00B65D74" w:rsidRDefault="005B719E" w:rsidP="00BA410F">
      <w:pPr>
        <w:spacing w:before="160" w:line="240" w:lineRule="auto"/>
      </w:pPr>
      <w:r>
        <w:t>“Access to bodies of water is a critical feature of recreation in Nevada County. The county contains an extensive network of both year-round and seasonal creeks, streams, and rivers, as well as reservoirs and high-mountain lakes (…) Crowding or lack of parking at rivers was often noted by survey respondents as a barrier to recreation. This amplified use is projected to continue as the number of heat waves increases and summer temperatures rise. Residents from both within the county and from surrounding communities will seek cooler temperatures in the Sierra mountains and from Nevada County’s rivers and lakes.”</w:t>
      </w:r>
    </w:p>
    <w:p w14:paraId="447D3FB7" w14:textId="10134D90" w:rsidR="00203386" w:rsidRDefault="005B719E" w:rsidP="00BA410F">
      <w:pPr>
        <w:spacing w:before="160" w:line="240" w:lineRule="auto"/>
      </w:pPr>
      <w:r>
        <w:t>This example demonstrates that climate vulnerability may emerge not only through environmental degradation, but also through increased demand and overuse of important community spaces that serve as climate refuges.</w:t>
      </w:r>
    </w:p>
    <w:p w14:paraId="1E4BC0DC" w14:textId="77777777" w:rsidR="005B719E" w:rsidRPr="00E43E3E" w:rsidRDefault="005B719E" w:rsidP="00985AED">
      <w:pPr>
        <w:spacing w:after="0" w:line="240" w:lineRule="auto"/>
        <w:rPr>
          <w:b/>
          <w:bCs/>
        </w:rPr>
      </w:pPr>
      <w:r>
        <w:rPr>
          <w:b/>
          <w:bCs/>
        </w:rPr>
        <w:t>Assessing Vulnerability of Natural, Historic, and Cultural Resource Assets</w:t>
      </w:r>
    </w:p>
    <w:p w14:paraId="30496518" w14:textId="0D9A8434" w:rsidR="00E60759" w:rsidRPr="00E43E3E" w:rsidRDefault="00E60759" w:rsidP="00985AED">
      <w:pPr>
        <w:spacing w:line="240" w:lineRule="auto"/>
      </w:pPr>
      <w:r>
        <w:t>Assessing the vulnerability of these assets follows the same basic framework used in this guide. This requires input from a range of partners, including biologists, ecologists, historians, archaeologists, recreation managers, preservation specialists, land managers, and Tribes. No single entity holds all of this knowledge, so coordination through existing partnerships and regional networks is often important.</w:t>
      </w:r>
    </w:p>
    <w:p w14:paraId="0AB81EEB" w14:textId="1B83B690" w:rsidR="00E60759" w:rsidRPr="00E43E3E" w:rsidRDefault="00E60759" w:rsidP="00A44D10">
      <w:pPr>
        <w:spacing w:before="160" w:line="240" w:lineRule="auto"/>
      </w:pPr>
      <w:r>
        <w:t xml:space="preserve">Data on natural and cultural resources can be limited, and baseline conditions are not always well documented. For example, Desert ecosystems present distinct vulnerability assessment challenges, with recovery timelines measured in decades to centuries rather than years. The </w:t>
      </w:r>
      <w:hyperlink r:id="rId201" w:history="1">
        <w:r w:rsidR="00D8295F" w:rsidRPr="00D8295F">
          <w:rPr>
            <w:rStyle w:val="Hyperlink"/>
          </w:rPr>
          <w:t>Prioritization, Adaptation, and Resilience for Climate Toolkit</w:t>
        </w:r>
      </w:hyperlink>
      <w:r w:rsidR="00E17000">
        <w:t xml:space="preserve"> (</w:t>
      </w:r>
      <w:r>
        <w:t>PARC Toolkit</w:t>
      </w:r>
      <w:r w:rsidR="00E17000">
        <w:t xml:space="preserve">), </w:t>
      </w:r>
      <w:r>
        <w:t xml:space="preserve">and the </w:t>
      </w:r>
      <w:hyperlink r:id="rId202" w:history="1">
        <w:r w:rsidR="002059EE">
          <w:rPr>
            <w:rStyle w:val="Hyperlink"/>
          </w:rPr>
          <w:t>Coachella Valley Conservation Commission's</w:t>
        </w:r>
      </w:hyperlink>
      <w:r>
        <w:t xml:space="preserve"> natural community accounts and monitoring protocols could be cited as accessible resources for planners working in inland Southern California desert regions. In these cases, qualitative assessments informed by local expertise, land manager knowledge, and Tribal input can provide valuable insight. Communities should also document data gaps as findings to address in future planning efforts.</w:t>
      </w:r>
    </w:p>
    <w:p w14:paraId="5486D5A4" w14:textId="738061F7" w:rsidR="00E60759" w:rsidRPr="00E43E3E" w:rsidRDefault="00E60759" w:rsidP="00A44D10">
      <w:pPr>
        <w:spacing w:before="160" w:line="240" w:lineRule="auto"/>
      </w:pPr>
      <w:r>
        <w:t>The impacts themselves may differ from those affecting built assets. A damaged road may have a repair cost and timeline, but the loss of a wetland, salmon run, historic landmark, or valued recreation area may be difficult or impossible to replace. Impacts are often gradual and cumulative rather than tied to a single event. Forests stressed by prolonged drought become more vulnerable to severe wildfires, beaches erode incrementally as seas rise, and repeated wildfire-smoke seasons can steadily degrade recreational opportunities and public health. Vulnerability assessments should therefore consider both acute disaster impacts and long-term environmental change.</w:t>
      </w:r>
    </w:p>
    <w:p w14:paraId="244CEBF6" w14:textId="77777777" w:rsidR="005B719E" w:rsidRPr="009A400E" w:rsidRDefault="005B719E" w:rsidP="00985AED">
      <w:pPr>
        <w:spacing w:after="0" w:line="240" w:lineRule="auto"/>
        <w:rPr>
          <w:b/>
          <w:bCs/>
        </w:rPr>
      </w:pPr>
      <w:r>
        <w:rPr>
          <w:b/>
          <w:bCs/>
        </w:rPr>
        <w:t>Adaptation Strategies and Approaches</w:t>
      </w:r>
    </w:p>
    <w:p w14:paraId="3604FFCE" w14:textId="3FF913F0" w:rsidR="005B719E" w:rsidRPr="005A6755" w:rsidRDefault="005B719E" w:rsidP="00985AED">
      <w:pPr>
        <w:spacing w:line="240" w:lineRule="auto"/>
      </w:pPr>
      <w:r>
        <w:t xml:space="preserve">The Northern Institute of Applied Science has developed </w:t>
      </w:r>
      <w:hyperlink r:id="rId203" w:history="1">
        <w:r>
          <w:rPr>
            <w:rStyle w:val="Hyperlink"/>
          </w:rPr>
          <w:t xml:space="preserve">Adaptation Strategy </w:t>
        </w:r>
      </w:hyperlink>
      <w:r>
        <w:t xml:space="preserve">“menus” for a range of natural resource topics to support climate adaptation planning and use with the </w:t>
      </w:r>
      <w:hyperlink r:id="rId204" w:history="1">
        <w:r>
          <w:rPr>
            <w:rStyle w:val="Hyperlink"/>
          </w:rPr>
          <w:t>Adaptation Workbook</w:t>
        </w:r>
      </w:hyperlink>
      <w:r>
        <w:t>. These menus help communities translate broad adaptation ideas into specific actions and identify the purpose behind different management approaches.</w:t>
      </w:r>
    </w:p>
    <w:p w14:paraId="78D64797" w14:textId="77777777" w:rsidR="005B719E" w:rsidRPr="005A6755" w:rsidRDefault="005B719E" w:rsidP="00A44D10">
      <w:pPr>
        <w:spacing w:before="160" w:line="240" w:lineRule="auto"/>
      </w:pPr>
      <w:r>
        <w:t>Topics include forests, agriculture, recreation, wetlands, wildlife, urban forests, and fire-adapted ecosystems. Strategies can be combined and adapted to fit local ecosystems, community priorities, and project goals.</w:t>
      </w:r>
    </w:p>
    <w:p w14:paraId="0DCDAA37" w14:textId="44F6746F" w:rsidR="00C936FA" w:rsidRDefault="00C936FA" w:rsidP="00662706">
      <w:pPr>
        <w:spacing w:line="240" w:lineRule="auto"/>
      </w:pPr>
      <w:bookmarkStart w:id="115" w:name="_Toc224722684"/>
    </w:p>
    <w:p w14:paraId="000DE677" w14:textId="1F01C9F4" w:rsidR="00CF71BD" w:rsidRPr="00B17CBE" w:rsidRDefault="00596628" w:rsidP="00A44D10">
      <w:pPr>
        <w:pStyle w:val="Heading3"/>
        <w:spacing w:after="160" w:line="240" w:lineRule="auto"/>
      </w:pPr>
      <w:bookmarkStart w:id="116" w:name="_Step_2.2D:_Outreach"/>
      <w:bookmarkStart w:id="117" w:name="_Toc235802696"/>
      <w:bookmarkEnd w:id="116"/>
      <w:r>
        <w:t>Step 2.2D: Outreach and Engagement</w:t>
      </w:r>
      <w:bookmarkEnd w:id="115"/>
      <w:bookmarkEnd w:id="117"/>
    </w:p>
    <w:p w14:paraId="304F1D60" w14:textId="0D98F0BF" w:rsidR="00CF71BD" w:rsidRPr="00B17CBE" w:rsidRDefault="00CF71BD" w:rsidP="00A44D10">
      <w:pPr>
        <w:spacing w:before="160" w:line="240" w:lineRule="auto"/>
      </w:pPr>
      <w:r>
        <w:t xml:space="preserve">Data and maps provide a critical foundation for understanding climate vulnerability, but they are not the full picture. Ground-truthing brings local context, lived experience, and operational insight into the assessment process. By engaging directly with partners, communities can confirm, refine, and expand their understanding of climate impacts and the assets, services, and populations most affected. Community members bring valuable expertise about local conditions, historical context and cultural resources and resilience efforts that technical assessments alone may not capture. </w:t>
      </w:r>
    </w:p>
    <w:p w14:paraId="7836DFE4" w14:textId="6D920D93" w:rsidR="00CF71BD" w:rsidRPr="00B17CBE" w:rsidRDefault="00CF71BD" w:rsidP="00A44D10">
      <w:pPr>
        <w:spacing w:before="160" w:line="240" w:lineRule="auto"/>
      </w:pPr>
      <w:r>
        <w:t>This step focuses on partner interviews to validate assumptions, surface unaccounted impacts, and explore how climate risks may evolve over time. This is relevant to information collected in Step 2.1 and Step 2.2. Partner interviews are used to explore:</w:t>
      </w:r>
    </w:p>
    <w:p w14:paraId="6C381FA4" w14:textId="33C653D9"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Past and current climate impacts that may not be captured in formal reports</w:t>
      </w:r>
    </w:p>
    <w:p w14:paraId="4022D37C" w14:textId="4784A0E7"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How critical assets, services, and populations are affected by climate hazards</w:t>
      </w:r>
    </w:p>
    <w:p w14:paraId="13180E19" w14:textId="71DEB74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Where vulnerabilities are most acute and why</w:t>
      </w:r>
    </w:p>
    <w:p w14:paraId="1CE18497" w14:textId="2F2CF41E"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How future climate conditions may change the severity of impacts</w:t>
      </w:r>
    </w:p>
    <w:p w14:paraId="2C5503A6" w14:textId="69CF7BDC" w:rsidR="00CF71BD" w:rsidRPr="00B17CBE" w:rsidRDefault="00CF71BD" w:rsidP="00A44D10">
      <w:pPr>
        <w:spacing w:before="160" w:line="240" w:lineRule="auto"/>
      </w:pPr>
      <w:r>
        <w:t>These conversations help move from generalized vulnerability indicators to place-specific, experience-based insights that strengthen planning and decision-making. The most valuable insights often come from people who work closest to critical assets and services or who are deeply embedded in the community. Priority partners may include:</w:t>
      </w:r>
    </w:p>
    <w:p w14:paraId="5479BDE3" w14:textId="64D70E36"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Asset managers and operators (e.g., transportation, utilities, water, and wastewater)</w:t>
      </w:r>
    </w:p>
    <w:p w14:paraId="5D768B59" w14:textId="2D059D7F"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Emergency services and public safety leaders (fire, police, emergency management)</w:t>
      </w:r>
    </w:p>
    <w:p w14:paraId="27CCC607" w14:textId="5562D873"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Public health professionals and healthcare facility managers</w:t>
      </w:r>
    </w:p>
    <w:p w14:paraId="75D5B535" w14:textId="614A8A1C"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Community service providers and nonprofit leaders</w:t>
      </w:r>
    </w:p>
    <w:p w14:paraId="2295BB13" w14:textId="14FC9A3A"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Leaders of environmental or climate partner organizations</w:t>
      </w:r>
    </w:p>
    <w:p w14:paraId="65369574" w14:textId="61227D85"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Directors of youth programs, schools, or colleges</w:t>
      </w:r>
    </w:p>
    <w:p w14:paraId="7A105CE7" w14:textId="2F4D41C2" w:rsidR="00CF71BD" w:rsidRDefault="00CF71BD">
      <w:pPr>
        <w:pStyle w:val="ListParagraph"/>
        <w:widowControl w:val="0"/>
        <w:numPr>
          <w:ilvl w:val="0"/>
          <w:numId w:val="33"/>
        </w:numPr>
        <w:tabs>
          <w:tab w:val="left" w:pos="1620"/>
        </w:tabs>
        <w:autoSpaceDE w:val="0"/>
        <w:autoSpaceDN w:val="0"/>
        <w:spacing w:before="160" w:line="240" w:lineRule="auto"/>
        <w:ind w:left="720"/>
      </w:pPr>
      <w:r>
        <w:t>Long-standing residents and community leaders with institutional memory</w:t>
      </w:r>
    </w:p>
    <w:p w14:paraId="6B1AD5E0" w14:textId="2A581C5C" w:rsidR="00640BED" w:rsidRDefault="00640BED">
      <w:pPr>
        <w:pStyle w:val="ListParagraph"/>
        <w:widowControl w:val="0"/>
        <w:numPr>
          <w:ilvl w:val="0"/>
          <w:numId w:val="33"/>
        </w:numPr>
        <w:tabs>
          <w:tab w:val="left" w:pos="1620"/>
        </w:tabs>
        <w:autoSpaceDE w:val="0"/>
        <w:autoSpaceDN w:val="0"/>
        <w:spacing w:before="160" w:line="240" w:lineRule="auto"/>
        <w:ind w:left="720"/>
      </w:pPr>
      <w:r>
        <w:t xml:space="preserve">Representatives from federally and non-federally recognized Tribes, where applicable. </w:t>
      </w:r>
    </w:p>
    <w:p w14:paraId="3358F41E" w14:textId="18920F3A" w:rsidR="00640BED" w:rsidRPr="00B17CBE" w:rsidRDefault="00640BED">
      <w:pPr>
        <w:pStyle w:val="ListParagraph"/>
        <w:widowControl w:val="0"/>
        <w:numPr>
          <w:ilvl w:val="0"/>
          <w:numId w:val="33"/>
        </w:numPr>
        <w:tabs>
          <w:tab w:val="left" w:pos="1620"/>
        </w:tabs>
        <w:autoSpaceDE w:val="0"/>
        <w:autoSpaceDN w:val="0"/>
        <w:spacing w:before="160" w:line="240" w:lineRule="auto"/>
        <w:ind w:left="720"/>
      </w:pPr>
      <w:r>
        <w:t>Disability organizations and Access and Functional Needs (AFN) advocates</w:t>
      </w:r>
    </w:p>
    <w:p w14:paraId="60C8FAFC" w14:textId="2AD069D6" w:rsidR="00CF71BD" w:rsidRPr="00B17CBE" w:rsidRDefault="00CF71BD" w:rsidP="00A44D10">
      <w:pPr>
        <w:spacing w:before="160" w:line="240" w:lineRule="auto"/>
      </w:pPr>
      <w:r>
        <w:t>Asset and service managers often have a detailed understanding of asset sensitivity, system interdependencies, and adaptive capacity, as well as impacts that were never formally documented. Community members and organizations outside of local government bring essential perspectives on experience, equity, and informal adaptation strategies.</w:t>
      </w:r>
    </w:p>
    <w:p w14:paraId="64BAB42B" w14:textId="221C78A5" w:rsidR="00CF71BD" w:rsidRPr="00B17CBE" w:rsidRDefault="00CF71BD" w:rsidP="00A44D10">
      <w:pPr>
        <w:spacing w:before="160" w:line="240" w:lineRule="auto"/>
      </w:pPr>
      <w:r>
        <w:t>While a preliminary approach may focus on staff within local government, it is essential to also engage partners outside of government. These voices help create a more complete understanding of climate impacts and build early momentum for adaptation. External partners may include:</w:t>
      </w:r>
    </w:p>
    <w:p w14:paraId="699EC723" w14:textId="001B5054"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Community-based organizations serving individuals with limited English Proficiency, older adults, historically underserved neighborhoods, youth individuals, and other organizations serving frontline communities.</w:t>
      </w:r>
    </w:p>
    <w:p w14:paraId="0B4A6AAD" w14:textId="51C2BCE7"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Critical services not owned or operated by local government</w:t>
      </w:r>
    </w:p>
    <w:p w14:paraId="40EB23F9" w14:textId="454D3269"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Faith-based organizations</w:t>
      </w:r>
    </w:p>
    <w:p w14:paraId="17CFD8FB" w14:textId="69164E42"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Cultural organizations</w:t>
      </w:r>
    </w:p>
    <w:p w14:paraId="1BC3E0A4" w14:textId="7A2240F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Informal community networks like mutual aid organizations or tenant unions</w:t>
      </w:r>
    </w:p>
    <w:p w14:paraId="6EAC3877" w14:textId="77777777" w:rsidR="003C47CB" w:rsidRDefault="003C47CB" w:rsidP="003C47CB">
      <w:pPr>
        <w:pStyle w:val="ListParagraph"/>
        <w:spacing w:before="160" w:line="240" w:lineRule="auto"/>
        <w:ind w:left="0"/>
      </w:pPr>
    </w:p>
    <w:p w14:paraId="03EFA961" w14:textId="06045136" w:rsidR="003C47CB" w:rsidRDefault="003C47CB" w:rsidP="00BE48FE">
      <w:pPr>
        <w:pStyle w:val="ListParagraph"/>
        <w:spacing w:before="160" w:line="240" w:lineRule="auto"/>
        <w:ind w:left="0"/>
      </w:pPr>
      <w:r>
        <w:t xml:space="preserve">Discussions about climate impacts may involve personal loss, displacement, or other traumatic experiences. The interviews should be approached with empathy to create opportunities for participants to share experiences voluntarily. Empathy and respect strengthen trust between government and communities. </w:t>
      </w:r>
    </w:p>
    <w:p w14:paraId="45FE27E8" w14:textId="5B676A85" w:rsidR="0023391B" w:rsidRDefault="00CF71BD" w:rsidP="006426A2">
      <w:pPr>
        <w:spacing w:before="160" w:line="240" w:lineRule="auto"/>
      </w:pPr>
      <w:r>
        <w:t>Engaging a broad mix of perspectives strengthens credibility, improves accuracy, and supports more inclusive planning outcomes. See</w:t>
      </w:r>
      <w:r>
        <w:rPr>
          <w:b/>
        </w:rPr>
        <w:t xml:space="preserve"> Appendix A - </w:t>
      </w:r>
      <w:r w:rsidRPr="009145EB">
        <w:fldChar w:fldCharType="begin"/>
      </w:r>
      <w:r w:rsidRPr="009145EB">
        <w:instrText xml:space="preserve"> REF _Ref230257016 \h  \* MERGEFORMAT </w:instrText>
      </w:r>
      <w:r w:rsidRPr="009145EB">
        <w:fldChar w:fldCharType="separate"/>
      </w:r>
      <w:r w:rsidR="00517691" w:rsidRPr="009145EB">
        <w:t>Partner Interviews</w:t>
      </w:r>
      <w:r w:rsidRPr="009145EB">
        <w:fldChar w:fldCharType="end"/>
      </w:r>
      <w:r>
        <w:rPr>
          <w:b/>
        </w:rPr>
        <w:t xml:space="preserve"> </w:t>
      </w:r>
      <w:r>
        <w:t>for guidance on conducting partner interviews.</w:t>
      </w:r>
    </w:p>
    <w:p w14:paraId="3B6A709E" w14:textId="77777777" w:rsidR="00824E7E" w:rsidRDefault="00824E7E" w:rsidP="006426A2">
      <w:pPr>
        <w:spacing w:before="160" w:line="240" w:lineRule="auto"/>
      </w:pPr>
    </w:p>
    <w:p w14:paraId="2FD7A320" w14:textId="77777777" w:rsidR="00824E7E" w:rsidRDefault="00824E7E" w:rsidP="006426A2">
      <w:pPr>
        <w:spacing w:before="160" w:line="240" w:lineRule="auto"/>
      </w:pPr>
    </w:p>
    <w:p w14:paraId="6D612D48" w14:textId="77777777" w:rsidR="00824E7E" w:rsidRDefault="00824E7E" w:rsidP="006426A2">
      <w:pPr>
        <w:spacing w:before="160" w:line="240" w:lineRule="auto"/>
      </w:pPr>
    </w:p>
    <w:p w14:paraId="2CB65861" w14:textId="77777777" w:rsidR="00824E7E" w:rsidRDefault="00824E7E" w:rsidP="006426A2">
      <w:pPr>
        <w:spacing w:before="160" w:line="240" w:lineRule="auto"/>
      </w:pPr>
    </w:p>
    <w:p w14:paraId="62F82C8E" w14:textId="77777777" w:rsidR="00824E7E" w:rsidRDefault="00824E7E" w:rsidP="006426A2">
      <w:pPr>
        <w:spacing w:before="160" w:line="240" w:lineRule="auto"/>
      </w:pPr>
    </w:p>
    <w:p w14:paraId="49078D09" w14:textId="77777777" w:rsidR="00824E7E" w:rsidRDefault="00824E7E" w:rsidP="006426A2">
      <w:pPr>
        <w:spacing w:before="160" w:line="240" w:lineRule="auto"/>
      </w:pPr>
    </w:p>
    <w:p w14:paraId="298FCBCD" w14:textId="77777777" w:rsidR="00824E7E" w:rsidRDefault="00824E7E" w:rsidP="006426A2">
      <w:pPr>
        <w:spacing w:before="160" w:line="240" w:lineRule="auto"/>
      </w:pPr>
    </w:p>
    <w:p w14:paraId="2D8FC794" w14:textId="77777777" w:rsidR="00824E7E" w:rsidRDefault="00824E7E" w:rsidP="006426A2">
      <w:pPr>
        <w:spacing w:before="160" w:line="240" w:lineRule="auto"/>
      </w:pPr>
    </w:p>
    <w:p w14:paraId="0B491D6E" w14:textId="77777777" w:rsidR="00824E7E" w:rsidRDefault="00824E7E" w:rsidP="006426A2">
      <w:pPr>
        <w:spacing w:before="160" w:line="240" w:lineRule="auto"/>
      </w:pPr>
    </w:p>
    <w:p w14:paraId="421842A8" w14:textId="77777777" w:rsidR="00824E7E" w:rsidRDefault="00824E7E" w:rsidP="006426A2">
      <w:pPr>
        <w:spacing w:before="160" w:line="240" w:lineRule="auto"/>
      </w:pPr>
    </w:p>
    <w:p w14:paraId="25EADC3E" w14:textId="77777777" w:rsidR="00824E7E" w:rsidRPr="00FF2E0B" w:rsidRDefault="00824E7E" w:rsidP="006426A2">
      <w:pPr>
        <w:spacing w:before="16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D68" w:rsidRPr="002E5D68" w14:paraId="240895F6" w14:textId="77777777" w:rsidTr="00E6260E">
        <w:trPr>
          <w:trHeight w:val="576"/>
        </w:trPr>
        <w:tc>
          <w:tcPr>
            <w:tcW w:w="9350" w:type="dxa"/>
            <w:shd w:val="clear" w:color="auto" w:fill="14581C"/>
            <w:vAlign w:val="center"/>
          </w:tcPr>
          <w:p w14:paraId="342C56BE" w14:textId="7DEB8D21" w:rsidR="002E5D68" w:rsidRPr="002E5D68" w:rsidRDefault="00457015" w:rsidP="00BB5ACB">
            <w:pPr>
              <w:rPr>
                <w:b/>
                <w:bCs/>
                <w:color w:val="FFFFFF" w:themeColor="background1"/>
              </w:rPr>
            </w:pPr>
            <w:r>
              <w:rPr>
                <w:b/>
                <w:color w:val="FFFFFF" w:themeColor="background1"/>
              </w:rPr>
              <w:t>Put It into Practice</w:t>
            </w:r>
          </w:p>
        </w:tc>
      </w:tr>
      <w:tr w:rsidR="00D50ABB" w14:paraId="3DD7F269" w14:textId="77777777" w:rsidTr="004565F4">
        <w:trPr>
          <w:trHeight w:val="3168"/>
        </w:trPr>
        <w:tc>
          <w:tcPr>
            <w:tcW w:w="9350" w:type="dxa"/>
            <w:shd w:val="clear" w:color="auto" w:fill="C1F0C7" w:themeFill="accent3" w:themeFillTint="33"/>
          </w:tcPr>
          <w:p w14:paraId="17AECE39" w14:textId="04416172" w:rsidR="00127B8A" w:rsidRPr="0076268A" w:rsidRDefault="00127B8A" w:rsidP="0028654A">
            <w:pPr>
              <w:spacing w:before="120" w:after="160"/>
              <w:rPr>
                <w:color w:val="000000" w:themeColor="text1"/>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_Ref230247771 \h  \* MERGEFORMAT </w:instrText>
            </w:r>
            <w:r>
              <w:rPr>
                <w:b/>
                <w:bCs/>
                <w:color w:val="000000" w:themeColor="text1"/>
              </w:rPr>
            </w:r>
            <w:r>
              <w:rPr>
                <w:b/>
                <w:bCs/>
                <w:color w:val="000000" w:themeColor="text1"/>
              </w:rPr>
              <w:fldChar w:fldCharType="separate"/>
            </w:r>
            <w:r w:rsidR="00517691" w:rsidRPr="00517691">
              <w:rPr>
                <w:b/>
                <w:bCs/>
              </w:rPr>
              <w:t xml:space="preserve">Partner Interview </w:t>
            </w:r>
            <w:r w:rsidR="00517691">
              <w:t>Findings</w:t>
            </w:r>
            <w:r>
              <w:rPr>
                <w:b/>
                <w:bCs/>
                <w:color w:val="000000" w:themeColor="text1"/>
              </w:rPr>
              <w:fldChar w:fldCharType="end"/>
            </w:r>
          </w:p>
          <w:p w14:paraId="05810932" w14:textId="30BD38BD" w:rsidR="00D50ABB" w:rsidRPr="0076268A" w:rsidRDefault="002B280A" w:rsidP="0076268A">
            <w:pPr>
              <w:spacing w:before="120" w:after="160"/>
              <w:rPr>
                <w:color w:val="000000" w:themeColor="text1"/>
              </w:rPr>
            </w:pPr>
            <w:r>
              <w:rPr>
                <w:color w:val="000000" w:themeColor="text1"/>
              </w:rPr>
              <w:t>Use the tables below to document insights gathered from interviews.</w:t>
            </w:r>
          </w:p>
          <w:tbl>
            <w:tblPr>
              <w:tblStyle w:val="TableGrid"/>
              <w:tblW w:w="9062" w:type="dxa"/>
              <w:tblLook w:val="04A0" w:firstRow="1" w:lastRow="0" w:firstColumn="1" w:lastColumn="0" w:noHBand="0" w:noVBand="1"/>
              <w:tblCaption w:val="Interview insights on past and current impacts"/>
              <w:tblDescription w:val="6 example impact areas with fillable space for your key insights"/>
            </w:tblPr>
            <w:tblGrid>
              <w:gridCol w:w="4922"/>
              <w:gridCol w:w="4140"/>
            </w:tblGrid>
            <w:tr w:rsidR="00D50ABB" w:rsidRPr="008372F8" w14:paraId="04AA4FD0" w14:textId="77777777" w:rsidTr="00B25379">
              <w:trPr>
                <w:tblHeader/>
              </w:trPr>
              <w:tc>
                <w:tcPr>
                  <w:tcW w:w="4922" w:type="dxa"/>
                </w:tcPr>
                <w:p w14:paraId="424A6FAC" w14:textId="41A3F596" w:rsidR="00D50ABB" w:rsidRPr="008372F8" w:rsidRDefault="00D50ABB" w:rsidP="00BB5ACB">
                  <w:pPr>
                    <w:rPr>
                      <w:b/>
                      <w:bCs/>
                      <w:color w:val="000000" w:themeColor="text1"/>
                    </w:rPr>
                  </w:pPr>
                  <w:r>
                    <w:rPr>
                      <w:b/>
                      <w:bCs/>
                      <w:color w:val="000000" w:themeColor="text1"/>
                    </w:rPr>
                    <w:t>Impact Area</w:t>
                  </w:r>
                </w:p>
              </w:tc>
              <w:tc>
                <w:tcPr>
                  <w:tcW w:w="4140" w:type="dxa"/>
                </w:tcPr>
                <w:p w14:paraId="3CAAEF47" w14:textId="15FACFF1" w:rsidR="00D50ABB" w:rsidRPr="008372F8" w:rsidRDefault="00D50ABB" w:rsidP="00BB5ACB">
                  <w:pPr>
                    <w:rPr>
                      <w:b/>
                      <w:bCs/>
                      <w:color w:val="000000" w:themeColor="text1"/>
                    </w:rPr>
                  </w:pPr>
                  <w:r>
                    <w:rPr>
                      <w:b/>
                      <w:bCs/>
                      <w:color w:val="000000" w:themeColor="text1"/>
                    </w:rPr>
                    <w:t>Key Insights</w:t>
                  </w:r>
                </w:p>
              </w:tc>
            </w:tr>
            <w:tr w:rsidR="00D50ABB" w:rsidRPr="008372F8" w14:paraId="65BDEC88" w14:textId="77777777" w:rsidTr="00B25379">
              <w:tc>
                <w:tcPr>
                  <w:tcW w:w="4922" w:type="dxa"/>
                </w:tcPr>
                <w:p w14:paraId="14C489F3" w14:textId="2D02619C" w:rsidR="00D50ABB" w:rsidRPr="008372F8" w:rsidRDefault="00D50ABB" w:rsidP="00BB5ACB">
                  <w:pPr>
                    <w:rPr>
                      <w:color w:val="000000" w:themeColor="text1"/>
                    </w:rPr>
                  </w:pPr>
                  <w:r>
                    <w:rPr>
                      <w:color w:val="000000" w:themeColor="text1"/>
                    </w:rPr>
                    <w:t>Services impacted (e.g., utilities)</w:t>
                  </w:r>
                </w:p>
              </w:tc>
              <w:tc>
                <w:tcPr>
                  <w:tcW w:w="4140" w:type="dxa"/>
                </w:tcPr>
                <w:p w14:paraId="52ECE945" w14:textId="77777777" w:rsidR="00D50ABB" w:rsidRPr="008372F8" w:rsidRDefault="00D50ABB" w:rsidP="00BB5ACB">
                  <w:pPr>
                    <w:rPr>
                      <w:color w:val="000000" w:themeColor="text1"/>
                    </w:rPr>
                  </w:pPr>
                </w:p>
              </w:tc>
            </w:tr>
            <w:tr w:rsidR="00D50ABB" w:rsidRPr="008372F8" w14:paraId="343E465E" w14:textId="77777777" w:rsidTr="00B25379">
              <w:tc>
                <w:tcPr>
                  <w:tcW w:w="4922" w:type="dxa"/>
                </w:tcPr>
                <w:p w14:paraId="42280FE6" w14:textId="1D272B3B" w:rsidR="00D50ABB" w:rsidRPr="008372F8" w:rsidRDefault="00D50ABB" w:rsidP="00BB5ACB">
                  <w:pPr>
                    <w:rPr>
                      <w:color w:val="000000" w:themeColor="text1"/>
                    </w:rPr>
                  </w:pPr>
                  <w:r>
                    <w:rPr>
                      <w:color w:val="000000" w:themeColor="text1"/>
                    </w:rPr>
                    <w:t>Facilities or physical assets impacted</w:t>
                  </w:r>
                </w:p>
              </w:tc>
              <w:tc>
                <w:tcPr>
                  <w:tcW w:w="4140" w:type="dxa"/>
                </w:tcPr>
                <w:p w14:paraId="15F6B303" w14:textId="77777777" w:rsidR="00D50ABB" w:rsidRPr="008372F8" w:rsidRDefault="00D50ABB" w:rsidP="00BB5ACB">
                  <w:pPr>
                    <w:rPr>
                      <w:color w:val="000000" w:themeColor="text1"/>
                    </w:rPr>
                  </w:pPr>
                </w:p>
              </w:tc>
            </w:tr>
            <w:tr w:rsidR="00D50ABB" w:rsidRPr="008372F8" w14:paraId="0D2C1A8D" w14:textId="77777777" w:rsidTr="00B25379">
              <w:tc>
                <w:tcPr>
                  <w:tcW w:w="4922" w:type="dxa"/>
                </w:tcPr>
                <w:p w14:paraId="541E5A8A" w14:textId="6AF49FB3" w:rsidR="00D50ABB" w:rsidRPr="008372F8" w:rsidRDefault="00D50ABB" w:rsidP="00BB5ACB">
                  <w:pPr>
                    <w:rPr>
                      <w:color w:val="000000" w:themeColor="text1"/>
                    </w:rPr>
                  </w:pPr>
                  <w:r>
                    <w:rPr>
                      <w:color w:val="000000" w:themeColor="text1"/>
                    </w:rPr>
                    <w:t>Populations impacted (demographic, health, occupations, etc.)</w:t>
                  </w:r>
                </w:p>
              </w:tc>
              <w:tc>
                <w:tcPr>
                  <w:tcW w:w="4140" w:type="dxa"/>
                </w:tcPr>
                <w:p w14:paraId="2B844A88" w14:textId="77777777" w:rsidR="00D50ABB" w:rsidRPr="008372F8" w:rsidRDefault="00D50ABB" w:rsidP="00BB5ACB">
                  <w:pPr>
                    <w:rPr>
                      <w:color w:val="000000" w:themeColor="text1"/>
                    </w:rPr>
                  </w:pPr>
                </w:p>
              </w:tc>
            </w:tr>
            <w:tr w:rsidR="00D50ABB" w:rsidRPr="008372F8" w14:paraId="2714BE9C" w14:textId="77777777" w:rsidTr="00B25379">
              <w:tc>
                <w:tcPr>
                  <w:tcW w:w="4922" w:type="dxa"/>
                </w:tcPr>
                <w:p w14:paraId="70035036" w14:textId="4FFA18FB" w:rsidR="00D50ABB" w:rsidRPr="008372F8" w:rsidRDefault="00D50ABB" w:rsidP="00BB5ACB">
                  <w:pPr>
                    <w:rPr>
                      <w:color w:val="000000" w:themeColor="text1"/>
                    </w:rPr>
                  </w:pPr>
                  <w:r>
                    <w:rPr>
                      <w:color w:val="000000" w:themeColor="text1"/>
                    </w:rPr>
                    <w:t>Downstream or cascading disruptions</w:t>
                  </w:r>
                </w:p>
              </w:tc>
              <w:tc>
                <w:tcPr>
                  <w:tcW w:w="4140" w:type="dxa"/>
                </w:tcPr>
                <w:p w14:paraId="4A292246" w14:textId="77777777" w:rsidR="00D50ABB" w:rsidRPr="008372F8" w:rsidRDefault="00D50ABB" w:rsidP="00BB5ACB">
                  <w:pPr>
                    <w:rPr>
                      <w:color w:val="000000" w:themeColor="text1"/>
                    </w:rPr>
                  </w:pPr>
                </w:p>
              </w:tc>
            </w:tr>
            <w:tr w:rsidR="00D50ABB" w:rsidRPr="008372F8" w14:paraId="67015E0A" w14:textId="77777777" w:rsidTr="00B25379">
              <w:tc>
                <w:tcPr>
                  <w:tcW w:w="4922" w:type="dxa"/>
                </w:tcPr>
                <w:p w14:paraId="61E11EB7" w14:textId="501C369F" w:rsidR="00D50ABB" w:rsidRPr="008372F8" w:rsidRDefault="00D50ABB" w:rsidP="00BB5ACB">
                  <w:pPr>
                    <w:rPr>
                      <w:color w:val="000000" w:themeColor="text1"/>
                    </w:rPr>
                  </w:pPr>
                  <w:r>
                    <w:rPr>
                      <w:color w:val="000000" w:themeColor="text1"/>
                    </w:rPr>
                    <w:t>Economic impacts</w:t>
                  </w:r>
                </w:p>
              </w:tc>
              <w:tc>
                <w:tcPr>
                  <w:tcW w:w="4140" w:type="dxa"/>
                </w:tcPr>
                <w:p w14:paraId="14644D97" w14:textId="77777777" w:rsidR="00D50ABB" w:rsidRPr="008372F8" w:rsidRDefault="00D50ABB" w:rsidP="00BB5ACB">
                  <w:pPr>
                    <w:rPr>
                      <w:color w:val="000000" w:themeColor="text1"/>
                    </w:rPr>
                  </w:pPr>
                </w:p>
              </w:tc>
            </w:tr>
            <w:tr w:rsidR="00847B5A" w:rsidRPr="008372F8" w14:paraId="7C9DB115" w14:textId="77777777" w:rsidTr="00B25379">
              <w:tc>
                <w:tcPr>
                  <w:tcW w:w="4922" w:type="dxa"/>
                </w:tcPr>
                <w:p w14:paraId="267E446E" w14:textId="08244640" w:rsidR="00847B5A" w:rsidRPr="008372F8" w:rsidRDefault="007072D9" w:rsidP="00BB5ACB">
                  <w:pPr>
                    <w:rPr>
                      <w:color w:val="000000" w:themeColor="text1"/>
                    </w:rPr>
                  </w:pPr>
                  <w:r>
                    <w:t>Existing community assets, such as partnerships, local knowledge, local resilience strategies</w:t>
                  </w:r>
                </w:p>
              </w:tc>
              <w:tc>
                <w:tcPr>
                  <w:tcW w:w="4140" w:type="dxa"/>
                </w:tcPr>
                <w:p w14:paraId="551408AD" w14:textId="77777777" w:rsidR="00847B5A" w:rsidRPr="008372F8" w:rsidRDefault="00847B5A" w:rsidP="00BB5ACB">
                  <w:pPr>
                    <w:rPr>
                      <w:color w:val="000000" w:themeColor="text1"/>
                    </w:rPr>
                  </w:pPr>
                </w:p>
              </w:tc>
            </w:tr>
            <w:tr w:rsidR="00D50ABB" w:rsidRPr="008372F8" w14:paraId="76270379" w14:textId="77777777" w:rsidTr="00B25379">
              <w:tc>
                <w:tcPr>
                  <w:tcW w:w="4922" w:type="dxa"/>
                </w:tcPr>
                <w:p w14:paraId="3A818AB6" w14:textId="576D0B36" w:rsidR="00D50ABB" w:rsidRPr="008372F8" w:rsidRDefault="00D50ABB" w:rsidP="00BB5ACB">
                  <w:pPr>
                    <w:rPr>
                      <w:color w:val="000000" w:themeColor="text1"/>
                    </w:rPr>
                  </w:pPr>
                  <w:r>
                    <w:rPr>
                      <w:color w:val="000000" w:themeColor="text1"/>
                    </w:rPr>
                    <w:t>Ecological or cultural resource impacts</w:t>
                  </w:r>
                </w:p>
              </w:tc>
              <w:tc>
                <w:tcPr>
                  <w:tcW w:w="4140" w:type="dxa"/>
                </w:tcPr>
                <w:p w14:paraId="16B3433C" w14:textId="77777777" w:rsidR="00D50ABB" w:rsidRPr="008372F8" w:rsidRDefault="00D50ABB" w:rsidP="00BB5ACB">
                  <w:pPr>
                    <w:rPr>
                      <w:color w:val="000000" w:themeColor="text1"/>
                    </w:rPr>
                  </w:pPr>
                </w:p>
              </w:tc>
            </w:tr>
          </w:tbl>
          <w:p w14:paraId="643540FB" w14:textId="4B5AF7B8" w:rsidR="00D50ABB" w:rsidRPr="008372F8" w:rsidRDefault="00D50ABB" w:rsidP="00BB5ACB">
            <w:pPr>
              <w:rPr>
                <w:b/>
                <w:bCs/>
                <w:color w:val="000000" w:themeColor="text1"/>
              </w:rPr>
            </w:pPr>
          </w:p>
          <w:tbl>
            <w:tblPr>
              <w:tblStyle w:val="TableGrid"/>
              <w:tblW w:w="9062" w:type="dxa"/>
              <w:tblLook w:val="04A0" w:firstRow="1" w:lastRow="0" w:firstColumn="1" w:lastColumn="0" w:noHBand="0" w:noVBand="1"/>
              <w:tblCaption w:val="Interview insights on future climate impacts"/>
              <w:tblDescription w:val="5 example topics with fillable space for your key insights"/>
            </w:tblPr>
            <w:tblGrid>
              <w:gridCol w:w="6992"/>
              <w:gridCol w:w="2070"/>
            </w:tblGrid>
            <w:tr w:rsidR="00D50ABB" w:rsidRPr="008372F8" w14:paraId="3C2DEC34" w14:textId="77777777" w:rsidTr="00C97F50">
              <w:trPr>
                <w:tblHeader/>
              </w:trPr>
              <w:tc>
                <w:tcPr>
                  <w:tcW w:w="6992" w:type="dxa"/>
                </w:tcPr>
                <w:p w14:paraId="6A0AC7BB" w14:textId="77777777" w:rsidR="00D50ABB" w:rsidRPr="008372F8" w:rsidRDefault="00D50ABB" w:rsidP="00BB5ACB">
                  <w:pPr>
                    <w:rPr>
                      <w:b/>
                      <w:bCs/>
                      <w:color w:val="000000" w:themeColor="text1"/>
                    </w:rPr>
                  </w:pPr>
                  <w:r>
                    <w:rPr>
                      <w:b/>
                      <w:bCs/>
                      <w:color w:val="000000" w:themeColor="text1"/>
                    </w:rPr>
                    <w:t>Topic</w:t>
                  </w:r>
                </w:p>
              </w:tc>
              <w:tc>
                <w:tcPr>
                  <w:tcW w:w="2070" w:type="dxa"/>
                </w:tcPr>
                <w:p w14:paraId="3A9D3603" w14:textId="297D6A03" w:rsidR="00D50ABB" w:rsidRPr="008372F8" w:rsidRDefault="00D50ABB" w:rsidP="00BB5ACB">
                  <w:pPr>
                    <w:rPr>
                      <w:b/>
                      <w:bCs/>
                      <w:color w:val="000000" w:themeColor="text1"/>
                    </w:rPr>
                  </w:pPr>
                  <w:r>
                    <w:rPr>
                      <w:b/>
                      <w:bCs/>
                      <w:color w:val="000000" w:themeColor="text1"/>
                    </w:rPr>
                    <w:t>Key Insights</w:t>
                  </w:r>
                </w:p>
              </w:tc>
            </w:tr>
            <w:tr w:rsidR="00D50ABB" w:rsidRPr="008372F8" w14:paraId="64D815B2" w14:textId="77777777" w:rsidTr="00C97F50">
              <w:tc>
                <w:tcPr>
                  <w:tcW w:w="6992" w:type="dxa"/>
                </w:tcPr>
                <w:p w14:paraId="48CB5BEF" w14:textId="0A122950" w:rsidR="00D50ABB" w:rsidRPr="008372F8" w:rsidRDefault="00D50ABB" w:rsidP="00BB5ACB">
                  <w:pPr>
                    <w:rPr>
                      <w:color w:val="000000" w:themeColor="text1"/>
                    </w:rPr>
                  </w:pPr>
                  <w:r>
                    <w:rPr>
                      <w:color w:val="000000" w:themeColor="text1"/>
                    </w:rPr>
                    <w:t>How may impacts change with future climate conditions?</w:t>
                  </w:r>
                </w:p>
              </w:tc>
              <w:tc>
                <w:tcPr>
                  <w:tcW w:w="2070" w:type="dxa"/>
                </w:tcPr>
                <w:p w14:paraId="3C92BFE2" w14:textId="77777777" w:rsidR="00D50ABB" w:rsidRPr="008372F8" w:rsidRDefault="00D50ABB" w:rsidP="00BB5ACB">
                  <w:pPr>
                    <w:rPr>
                      <w:color w:val="000000" w:themeColor="text1"/>
                    </w:rPr>
                  </w:pPr>
                </w:p>
              </w:tc>
            </w:tr>
            <w:tr w:rsidR="00D50ABB" w:rsidRPr="008372F8" w14:paraId="3D371C1D" w14:textId="77777777" w:rsidTr="00C97F50">
              <w:tc>
                <w:tcPr>
                  <w:tcW w:w="6992" w:type="dxa"/>
                </w:tcPr>
                <w:p w14:paraId="50C52A46" w14:textId="4610ED5C" w:rsidR="00D50ABB" w:rsidRPr="008372F8" w:rsidRDefault="00D50ABB" w:rsidP="00BB5ACB">
                  <w:pPr>
                    <w:rPr>
                      <w:color w:val="000000" w:themeColor="text1"/>
                    </w:rPr>
                  </w:pPr>
                  <w:r>
                    <w:rPr>
                      <w:color w:val="000000" w:themeColor="text1"/>
                    </w:rPr>
                    <w:t>Assets or services expected to face increased risk</w:t>
                  </w:r>
                </w:p>
              </w:tc>
              <w:tc>
                <w:tcPr>
                  <w:tcW w:w="2070" w:type="dxa"/>
                </w:tcPr>
                <w:p w14:paraId="36F3ACC0" w14:textId="77777777" w:rsidR="00D50ABB" w:rsidRPr="008372F8" w:rsidRDefault="00D50ABB" w:rsidP="00BB5ACB">
                  <w:pPr>
                    <w:rPr>
                      <w:color w:val="000000" w:themeColor="text1"/>
                    </w:rPr>
                  </w:pPr>
                </w:p>
              </w:tc>
            </w:tr>
            <w:tr w:rsidR="00D50ABB" w:rsidRPr="008372F8" w14:paraId="7E59EEF7" w14:textId="77777777" w:rsidTr="00C97F50">
              <w:tc>
                <w:tcPr>
                  <w:tcW w:w="6992" w:type="dxa"/>
                </w:tcPr>
                <w:p w14:paraId="063E60A0" w14:textId="489F8E16" w:rsidR="00D50ABB" w:rsidRPr="008372F8" w:rsidRDefault="00D50ABB" w:rsidP="00BB5ACB">
                  <w:pPr>
                    <w:rPr>
                      <w:color w:val="000000" w:themeColor="text1"/>
                    </w:rPr>
                  </w:pPr>
                  <w:r>
                    <w:rPr>
                      <w:color w:val="000000" w:themeColor="text1"/>
                    </w:rPr>
                    <w:t>Populations expected to be more affected in the future</w:t>
                  </w:r>
                </w:p>
              </w:tc>
              <w:tc>
                <w:tcPr>
                  <w:tcW w:w="2070" w:type="dxa"/>
                </w:tcPr>
                <w:p w14:paraId="220D96AB" w14:textId="77777777" w:rsidR="00D50ABB" w:rsidRPr="008372F8" w:rsidRDefault="00D50ABB" w:rsidP="00BB5ACB">
                  <w:pPr>
                    <w:rPr>
                      <w:color w:val="000000" w:themeColor="text1"/>
                    </w:rPr>
                  </w:pPr>
                </w:p>
              </w:tc>
            </w:tr>
            <w:tr w:rsidR="00D50ABB" w:rsidRPr="008372F8" w14:paraId="73A96AD0" w14:textId="77777777" w:rsidTr="00C97F50">
              <w:tc>
                <w:tcPr>
                  <w:tcW w:w="6992" w:type="dxa"/>
                </w:tcPr>
                <w:p w14:paraId="5B31798F" w14:textId="529850FC" w:rsidR="00D50ABB" w:rsidRPr="008372F8" w:rsidRDefault="00D50ABB" w:rsidP="00BB5ACB">
                  <w:pPr>
                    <w:rPr>
                      <w:color w:val="000000" w:themeColor="text1"/>
                    </w:rPr>
                  </w:pPr>
                  <w:r>
                    <w:rPr>
                      <w:color w:val="000000" w:themeColor="text1"/>
                    </w:rPr>
                    <w:t>Emerging or previously undocumented risks</w:t>
                  </w:r>
                </w:p>
              </w:tc>
              <w:tc>
                <w:tcPr>
                  <w:tcW w:w="2070" w:type="dxa"/>
                </w:tcPr>
                <w:p w14:paraId="1411384C" w14:textId="77777777" w:rsidR="00D50ABB" w:rsidRPr="008372F8" w:rsidRDefault="00D50ABB" w:rsidP="00BB5ACB">
                  <w:pPr>
                    <w:rPr>
                      <w:color w:val="000000" w:themeColor="text1"/>
                    </w:rPr>
                  </w:pPr>
                </w:p>
              </w:tc>
            </w:tr>
            <w:tr w:rsidR="00D50ABB" w:rsidRPr="008372F8" w14:paraId="526C9B58" w14:textId="77777777" w:rsidTr="00C97F50">
              <w:tc>
                <w:tcPr>
                  <w:tcW w:w="6992" w:type="dxa"/>
                </w:tcPr>
                <w:p w14:paraId="45739809" w14:textId="08933802" w:rsidR="00D50ABB" w:rsidRPr="008372F8" w:rsidRDefault="00D50ABB" w:rsidP="00BB5ACB">
                  <w:pPr>
                    <w:rPr>
                      <w:color w:val="000000" w:themeColor="text1"/>
                    </w:rPr>
                  </w:pPr>
                  <w:r>
                    <w:rPr>
                      <w:color w:val="000000" w:themeColor="text1"/>
                    </w:rPr>
                    <w:t>Other predicted future climate impacts</w:t>
                  </w:r>
                </w:p>
              </w:tc>
              <w:tc>
                <w:tcPr>
                  <w:tcW w:w="2070" w:type="dxa"/>
                </w:tcPr>
                <w:p w14:paraId="7E9C6F73" w14:textId="77777777" w:rsidR="00D50ABB" w:rsidRPr="008372F8" w:rsidRDefault="00D50ABB" w:rsidP="00BB5ACB">
                  <w:pPr>
                    <w:rPr>
                      <w:color w:val="000000" w:themeColor="text1"/>
                    </w:rPr>
                  </w:pPr>
                </w:p>
              </w:tc>
            </w:tr>
          </w:tbl>
          <w:p w14:paraId="24C34C7A" w14:textId="77777777" w:rsidR="003606DB" w:rsidRPr="008372F8" w:rsidRDefault="003606DB" w:rsidP="003606DB">
            <w:pPr>
              <w:rPr>
                <w:b/>
                <w:bCs/>
                <w:color w:val="000000" w:themeColor="text1"/>
              </w:rPr>
            </w:pPr>
          </w:p>
          <w:tbl>
            <w:tblPr>
              <w:tblStyle w:val="TableGrid"/>
              <w:tblW w:w="9062" w:type="dxa"/>
              <w:tblLook w:val="04A0" w:firstRow="1" w:lastRow="0" w:firstColumn="1" w:lastColumn="0" w:noHBand="0" w:noVBand="1"/>
              <w:tblCaption w:val="Interview insights on the distribution of impacts and equity considerations"/>
              <w:tblDescription w:val="5 example questions with fillable space for your key insights"/>
            </w:tblPr>
            <w:tblGrid>
              <w:gridCol w:w="6992"/>
              <w:gridCol w:w="2070"/>
            </w:tblGrid>
            <w:tr w:rsidR="003606DB" w:rsidRPr="002E5D68" w14:paraId="71F04E9F" w14:textId="77777777" w:rsidTr="00C97F50">
              <w:tc>
                <w:tcPr>
                  <w:tcW w:w="6992" w:type="dxa"/>
                </w:tcPr>
                <w:p w14:paraId="5DBC3ED4" w14:textId="77777777" w:rsidR="003606DB" w:rsidRPr="002E5D68" w:rsidRDefault="003606DB" w:rsidP="003606DB">
                  <w:pPr>
                    <w:rPr>
                      <w:b/>
                      <w:bCs/>
                      <w:color w:val="000000" w:themeColor="text1"/>
                    </w:rPr>
                  </w:pPr>
                  <w:r>
                    <w:rPr>
                      <w:b/>
                      <w:bCs/>
                      <w:color w:val="000000" w:themeColor="text1"/>
                    </w:rPr>
                    <w:t>Question</w:t>
                  </w:r>
                </w:p>
              </w:tc>
              <w:tc>
                <w:tcPr>
                  <w:tcW w:w="2070" w:type="dxa"/>
                </w:tcPr>
                <w:p w14:paraId="19C33C63" w14:textId="77777777" w:rsidR="003606DB" w:rsidRPr="002E5D68" w:rsidRDefault="003606DB" w:rsidP="003606DB">
                  <w:pPr>
                    <w:rPr>
                      <w:b/>
                      <w:bCs/>
                      <w:color w:val="000000" w:themeColor="text1"/>
                    </w:rPr>
                  </w:pPr>
                  <w:r>
                    <w:rPr>
                      <w:b/>
                      <w:bCs/>
                      <w:color w:val="000000" w:themeColor="text1"/>
                    </w:rPr>
                    <w:t>Key Insights</w:t>
                  </w:r>
                </w:p>
              </w:tc>
            </w:tr>
            <w:tr w:rsidR="003606DB" w:rsidRPr="008372F8" w14:paraId="5EA48C39" w14:textId="77777777" w:rsidTr="00C97F50">
              <w:tc>
                <w:tcPr>
                  <w:tcW w:w="6992" w:type="dxa"/>
                </w:tcPr>
                <w:p w14:paraId="2B050D7E" w14:textId="77777777" w:rsidR="003606DB" w:rsidRPr="008372F8" w:rsidRDefault="003606DB" w:rsidP="003606DB">
                  <w:pPr>
                    <w:rPr>
                      <w:color w:val="000000" w:themeColor="text1"/>
                    </w:rPr>
                  </w:pPr>
                  <w:r>
                    <w:rPr>
                      <w:color w:val="000000" w:themeColor="text1"/>
                    </w:rPr>
                    <w:t>How have impacts varied across the community?</w:t>
                  </w:r>
                </w:p>
              </w:tc>
              <w:tc>
                <w:tcPr>
                  <w:tcW w:w="2070" w:type="dxa"/>
                </w:tcPr>
                <w:p w14:paraId="7BE36B9E" w14:textId="77777777" w:rsidR="003606DB" w:rsidRPr="008372F8" w:rsidRDefault="003606DB" w:rsidP="003606DB">
                  <w:pPr>
                    <w:rPr>
                      <w:color w:val="000000" w:themeColor="text1"/>
                    </w:rPr>
                  </w:pPr>
                </w:p>
              </w:tc>
            </w:tr>
            <w:tr w:rsidR="003606DB" w:rsidRPr="008372F8" w14:paraId="24398D61" w14:textId="77777777" w:rsidTr="00C97F50">
              <w:tc>
                <w:tcPr>
                  <w:tcW w:w="6992" w:type="dxa"/>
                </w:tcPr>
                <w:p w14:paraId="69A46269" w14:textId="77777777" w:rsidR="003606DB" w:rsidRPr="008372F8" w:rsidRDefault="003606DB" w:rsidP="003606DB">
                  <w:pPr>
                    <w:rPr>
                      <w:color w:val="000000" w:themeColor="text1"/>
                    </w:rPr>
                  </w:pPr>
                  <w:r>
                    <w:rPr>
                      <w:color w:val="000000" w:themeColor="text1"/>
                    </w:rPr>
                    <w:t>Which populations have been most affected to date?</w:t>
                  </w:r>
                </w:p>
              </w:tc>
              <w:tc>
                <w:tcPr>
                  <w:tcW w:w="2070" w:type="dxa"/>
                </w:tcPr>
                <w:p w14:paraId="62605213" w14:textId="77777777" w:rsidR="003606DB" w:rsidRPr="008372F8" w:rsidRDefault="003606DB" w:rsidP="003606DB">
                  <w:pPr>
                    <w:rPr>
                      <w:color w:val="000000" w:themeColor="text1"/>
                    </w:rPr>
                  </w:pPr>
                </w:p>
              </w:tc>
            </w:tr>
            <w:tr w:rsidR="003606DB" w:rsidRPr="008372F8" w14:paraId="0988A854" w14:textId="77777777" w:rsidTr="00C97F50">
              <w:tc>
                <w:tcPr>
                  <w:tcW w:w="6992" w:type="dxa"/>
                </w:tcPr>
                <w:p w14:paraId="4EF179FC" w14:textId="77777777" w:rsidR="003606DB" w:rsidRPr="008372F8" w:rsidRDefault="003606DB" w:rsidP="003606DB">
                  <w:pPr>
                    <w:rPr>
                      <w:color w:val="000000" w:themeColor="text1"/>
                    </w:rPr>
                  </w:pPr>
                  <w:r>
                    <w:rPr>
                      <w:color w:val="000000" w:themeColor="text1"/>
                    </w:rPr>
                    <w:t>Which populations may be most vulnerable in the future?</w:t>
                  </w:r>
                </w:p>
              </w:tc>
              <w:tc>
                <w:tcPr>
                  <w:tcW w:w="2070" w:type="dxa"/>
                </w:tcPr>
                <w:p w14:paraId="20E197C8" w14:textId="77777777" w:rsidR="003606DB" w:rsidRPr="008372F8" w:rsidRDefault="003606DB" w:rsidP="003606DB">
                  <w:pPr>
                    <w:rPr>
                      <w:color w:val="000000" w:themeColor="text1"/>
                    </w:rPr>
                  </w:pPr>
                </w:p>
              </w:tc>
            </w:tr>
            <w:tr w:rsidR="003606DB" w:rsidRPr="008372F8" w14:paraId="5D7F3917" w14:textId="77777777" w:rsidTr="00C97F50">
              <w:tc>
                <w:tcPr>
                  <w:tcW w:w="6992" w:type="dxa"/>
                </w:tcPr>
                <w:p w14:paraId="5AAE5BBB" w14:textId="202634B6" w:rsidR="003606DB" w:rsidRPr="008372F8" w:rsidRDefault="003606DB" w:rsidP="003606DB">
                  <w:pPr>
                    <w:rPr>
                      <w:color w:val="000000" w:themeColor="text1"/>
                    </w:rPr>
                  </w:pPr>
                  <w:r>
                    <w:rPr>
                      <w:color w:val="000000" w:themeColor="text1"/>
                    </w:rPr>
                    <w:t>Where do partner insights align or conflict with mapped data?</w:t>
                  </w:r>
                </w:p>
              </w:tc>
              <w:tc>
                <w:tcPr>
                  <w:tcW w:w="2070" w:type="dxa"/>
                </w:tcPr>
                <w:p w14:paraId="6E01FE21" w14:textId="77777777" w:rsidR="003606DB" w:rsidRPr="008372F8" w:rsidRDefault="003606DB" w:rsidP="003606DB">
                  <w:pPr>
                    <w:rPr>
                      <w:color w:val="000000" w:themeColor="text1"/>
                    </w:rPr>
                  </w:pPr>
                </w:p>
              </w:tc>
            </w:tr>
            <w:tr w:rsidR="003606DB" w:rsidRPr="008372F8" w14:paraId="3FCCC908" w14:textId="77777777" w:rsidTr="00C97F50">
              <w:tc>
                <w:tcPr>
                  <w:tcW w:w="6992" w:type="dxa"/>
                </w:tcPr>
                <w:p w14:paraId="74BDFFFE" w14:textId="77777777" w:rsidR="003606DB" w:rsidRPr="008372F8" w:rsidRDefault="003606DB" w:rsidP="003606DB">
                  <w:pPr>
                    <w:rPr>
                      <w:color w:val="000000" w:themeColor="text1"/>
                    </w:rPr>
                  </w:pPr>
                  <w:r>
                    <w:rPr>
                      <w:color w:val="000000" w:themeColor="text1"/>
                    </w:rPr>
                    <w:t>How have impacts varied across the community?</w:t>
                  </w:r>
                </w:p>
              </w:tc>
              <w:tc>
                <w:tcPr>
                  <w:tcW w:w="2070" w:type="dxa"/>
                </w:tcPr>
                <w:p w14:paraId="3812AEE8" w14:textId="77777777" w:rsidR="003606DB" w:rsidRPr="008372F8" w:rsidRDefault="003606DB" w:rsidP="003606DB">
                  <w:pPr>
                    <w:rPr>
                      <w:color w:val="000000" w:themeColor="text1"/>
                    </w:rPr>
                  </w:pPr>
                </w:p>
              </w:tc>
            </w:tr>
            <w:tr w:rsidR="00E014BE" w:rsidRPr="008372F8" w14:paraId="5796438B" w14:textId="77777777" w:rsidTr="00C97F50">
              <w:tc>
                <w:tcPr>
                  <w:tcW w:w="6992" w:type="dxa"/>
                </w:tcPr>
                <w:p w14:paraId="4DC3B33F" w14:textId="2BC850AC" w:rsidR="00E014BE" w:rsidRPr="008372F8" w:rsidRDefault="00E014BE" w:rsidP="003606DB">
                  <w:pPr>
                    <w:rPr>
                      <w:color w:val="000000" w:themeColor="text1"/>
                    </w:rPr>
                  </w:pPr>
                  <w:r>
                    <w:t>Are there communities you believe are underrepresented?</w:t>
                  </w:r>
                </w:p>
              </w:tc>
              <w:tc>
                <w:tcPr>
                  <w:tcW w:w="2070" w:type="dxa"/>
                </w:tcPr>
                <w:p w14:paraId="67C04EA7" w14:textId="77777777" w:rsidR="00E014BE" w:rsidRPr="008372F8" w:rsidRDefault="00E014BE" w:rsidP="003606DB">
                  <w:pPr>
                    <w:rPr>
                      <w:color w:val="000000" w:themeColor="text1"/>
                    </w:rPr>
                  </w:pPr>
                </w:p>
              </w:tc>
            </w:tr>
          </w:tbl>
          <w:p w14:paraId="68A9315F" w14:textId="7CBD0EA0" w:rsidR="00D50ABB" w:rsidRPr="0028654A" w:rsidRDefault="0028654A" w:rsidP="00BB5ACB">
            <w:pPr>
              <w:keepNext/>
              <w:rPr>
                <w:sz w:val="12"/>
                <w:szCs w:val="12"/>
              </w:rPr>
            </w:pPr>
            <w:r>
              <w:rPr>
                <w:sz w:val="12"/>
                <w:szCs w:val="12"/>
              </w:rPr>
              <w:t xml:space="preserve"> </w:t>
            </w:r>
          </w:p>
        </w:tc>
      </w:tr>
    </w:tbl>
    <w:p w14:paraId="08690546" w14:textId="5ABD4F0F" w:rsidR="00A00142" w:rsidRDefault="00A00142" w:rsidP="000153B3">
      <w:pPr>
        <w:spacing w:after="0" w:line="240" w:lineRule="auto"/>
        <w:rPr>
          <w:b/>
          <w:bCs/>
          <w:color w:val="000000" w:themeColor="text1"/>
          <w:szCs w:val="24"/>
        </w:rPr>
      </w:pPr>
    </w:p>
    <w:p w14:paraId="2B8EE59E" w14:textId="77777777" w:rsidR="00A00142" w:rsidRDefault="00A00142">
      <w:pPr>
        <w:rPr>
          <w:b/>
          <w:bCs/>
          <w:color w:val="000000" w:themeColor="text1"/>
          <w:szCs w:val="24"/>
        </w:rPr>
      </w:pPr>
      <w:r>
        <w:rPr>
          <w:b/>
          <w:bCs/>
          <w:color w:val="000000" w:themeColor="text1"/>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5BDF" w:rsidRPr="00F75BDF" w14:paraId="705F0360" w14:textId="77777777" w:rsidTr="00DC3A3B">
        <w:trPr>
          <w:trHeight w:val="576"/>
        </w:trPr>
        <w:tc>
          <w:tcPr>
            <w:tcW w:w="9350" w:type="dxa"/>
            <w:shd w:val="clear" w:color="auto" w:fill="1F5383"/>
            <w:vAlign w:val="center"/>
          </w:tcPr>
          <w:p w14:paraId="54843E83" w14:textId="5792798D" w:rsidR="00F75BDF" w:rsidRPr="00F75BDF" w:rsidRDefault="00F75BDF" w:rsidP="00BB5ACB">
            <w:pPr>
              <w:rPr>
                <w:color w:val="FFFFFF" w:themeColor="background1"/>
              </w:rPr>
            </w:pPr>
            <w:bookmarkStart w:id="118" w:name="_Toc224722685"/>
            <w:r>
              <w:rPr>
                <w:b/>
                <w:bCs/>
                <w:color w:val="FFFFFF" w:themeColor="background1"/>
              </w:rPr>
              <w:t>Case Study: Community Mapping in the City of Berkeley</w:t>
            </w:r>
            <w:bookmarkEnd w:id="118"/>
          </w:p>
        </w:tc>
      </w:tr>
      <w:tr w:rsidR="00F75BDF" w14:paraId="1EB3A367" w14:textId="77777777" w:rsidTr="00F0567B">
        <w:trPr>
          <w:trHeight w:val="3744"/>
        </w:trPr>
        <w:tc>
          <w:tcPr>
            <w:tcW w:w="9350" w:type="dxa"/>
            <w:shd w:val="clear" w:color="auto" w:fill="DCEAF7"/>
          </w:tcPr>
          <w:p w14:paraId="08116746" w14:textId="2D0D5F45" w:rsidR="00F75BDF" w:rsidRPr="00F0567B" w:rsidRDefault="00F75BDF" w:rsidP="00F0567B">
            <w:pPr>
              <w:spacing w:before="120" w:after="120"/>
            </w:pPr>
            <w:r>
              <w:t>The City of Berkeley conducted mapping activities with community members to support their update to their Safety and Environmental Justice Element. The objectives of the mapping activity were to serve as both a trust-building exercise and to help the planning team understand and document the lived experience of community members within the City. The City partnered with the Ecology Center for this engagement, who used a variety of personalized techniques to collect information for the maps, including a combination of survey, interview, conversation, and facilitated process of “walking through” areas in Berkeley based on location, landmarks, hazards and personal experience. These community maps were used to supplement the socioeconomic datasets and maps that already exist, and led to a more localized and personalized set of Environmental Justice maps for Berkeley.</w:t>
            </w:r>
          </w:p>
        </w:tc>
      </w:tr>
    </w:tbl>
    <w:p w14:paraId="6DA5B73F" w14:textId="77777777" w:rsidR="00F75BDF" w:rsidRDefault="00F75BDF" w:rsidP="006426A2">
      <w:pPr>
        <w:spacing w:before="160" w:line="240" w:lineRule="auto"/>
      </w:pPr>
    </w:p>
    <w:p w14:paraId="4363A62F" w14:textId="6468242F" w:rsidR="00CF71BD" w:rsidRPr="00B17CBE" w:rsidRDefault="00CF71BD" w:rsidP="006426A2">
      <w:pPr>
        <w:pStyle w:val="Heading2"/>
        <w:spacing w:before="160" w:after="160" w:line="240" w:lineRule="auto"/>
        <w:rPr>
          <w:rFonts w:eastAsia="Century Gothic" w:cs="Century Gothic"/>
        </w:rPr>
      </w:pPr>
      <w:bookmarkStart w:id="119" w:name="_Toc224722686"/>
      <w:bookmarkStart w:id="120" w:name="_Toc235802697"/>
      <w:r>
        <w:t>Step 2.3: Adaptive Capacity</w:t>
      </w:r>
      <w:bookmarkEnd w:id="119"/>
      <w:bookmarkEnd w:id="120"/>
    </w:p>
    <w:p w14:paraId="60EB2E57" w14:textId="02E8543C" w:rsidR="00CF71BD" w:rsidRPr="00B17CBE" w:rsidRDefault="00CF71BD" w:rsidP="006426A2">
      <w:pPr>
        <w:spacing w:before="160" w:line="240" w:lineRule="auto"/>
      </w:pPr>
      <w:r>
        <w:t>Goal: Characterize the community's ability to respond to climate hazards.</w:t>
      </w:r>
    </w:p>
    <w:p w14:paraId="395DB492" w14:textId="6E4EAA21" w:rsidR="00CF71BD" w:rsidRPr="00B17CBE" w:rsidRDefault="00CF71BD" w:rsidP="006426A2">
      <w:pPr>
        <w:spacing w:before="160" w:line="240" w:lineRule="auto"/>
      </w:pPr>
      <w:r>
        <w:t>Understanding exposure and vulnerability to climate hazards is only part of effective adaptation planning. Communities also need to understand their adaptive capacity: the policies, programs, plans, and systems already in place that help manage climate impacts today and in the future.</w:t>
      </w:r>
    </w:p>
    <w:p w14:paraId="5AE50D45" w14:textId="0D8147FA" w:rsidR="00CF71BD" w:rsidRPr="00B17CBE" w:rsidRDefault="0057567D" w:rsidP="006426A2">
      <w:pPr>
        <w:spacing w:before="160" w:line="240" w:lineRule="auto"/>
      </w:pPr>
      <w:r>
        <w:t>This step identifies and reviews existing documents and strategies to assess how well the community is currently positioned to respond to climate hazards, where gaps exist, and where opportunities to strengthen or build upon existing efforts exist.</w:t>
      </w:r>
    </w:p>
    <w:p w14:paraId="68266B2F" w14:textId="433B7E7A" w:rsidR="00B90641" w:rsidRPr="00B17CBE" w:rsidRDefault="00CF71BD" w:rsidP="00B90641">
      <w:pPr>
        <w:spacing w:before="160" w:line="240" w:lineRule="auto"/>
      </w:pPr>
      <w:r>
        <w:t xml:space="preserve">Adaptive capacity refers </w:t>
      </w:r>
      <w:r>
        <w:rPr>
          <w:color w:val="000000" w:themeColor="text1"/>
        </w:rPr>
        <w:t xml:space="preserve">to adjusting to climate change (including climate variability and extremes) by coping with consequences, minimizing damages, or taking advantage of opportunities. </w:t>
      </w:r>
      <w:r>
        <w:t>Evaluating adaptive capacity helps answer key questions such as:</w:t>
      </w:r>
    </w:p>
    <w:p w14:paraId="24EAE987" w14:textId="77777777" w:rsidR="00B90641" w:rsidRPr="00B17CBE" w:rsidRDefault="00B90641">
      <w:pPr>
        <w:pStyle w:val="ListParagraph"/>
        <w:widowControl w:val="0"/>
        <w:numPr>
          <w:ilvl w:val="0"/>
          <w:numId w:val="33"/>
        </w:numPr>
        <w:tabs>
          <w:tab w:val="left" w:pos="1620"/>
        </w:tabs>
        <w:autoSpaceDE w:val="0"/>
        <w:autoSpaceDN w:val="0"/>
        <w:spacing w:before="160" w:line="240" w:lineRule="auto"/>
        <w:ind w:left="720"/>
      </w:pPr>
      <w:r>
        <w:t>What strategies already exist to manage climate impacts?</w:t>
      </w:r>
    </w:p>
    <w:p w14:paraId="630DB8C2" w14:textId="77777777" w:rsidR="00B90641" w:rsidRPr="00B17CBE" w:rsidRDefault="00B90641">
      <w:pPr>
        <w:pStyle w:val="ListParagraph"/>
        <w:widowControl w:val="0"/>
        <w:numPr>
          <w:ilvl w:val="0"/>
          <w:numId w:val="33"/>
        </w:numPr>
        <w:tabs>
          <w:tab w:val="left" w:pos="1620"/>
        </w:tabs>
        <w:autoSpaceDE w:val="0"/>
        <w:autoSpaceDN w:val="0"/>
        <w:spacing w:before="160" w:line="240" w:lineRule="auto"/>
        <w:ind w:left="720"/>
      </w:pPr>
      <w:r>
        <w:t>How effective are they today?</w:t>
      </w:r>
    </w:p>
    <w:p w14:paraId="2075C6B7" w14:textId="77777777" w:rsidR="00B90641" w:rsidRPr="00B17CBE" w:rsidRDefault="00B90641">
      <w:pPr>
        <w:pStyle w:val="ListParagraph"/>
        <w:widowControl w:val="0"/>
        <w:numPr>
          <w:ilvl w:val="0"/>
          <w:numId w:val="33"/>
        </w:numPr>
        <w:tabs>
          <w:tab w:val="left" w:pos="1620"/>
        </w:tabs>
        <w:autoSpaceDE w:val="0"/>
        <w:autoSpaceDN w:val="0"/>
        <w:spacing w:before="160" w:line="240" w:lineRule="auto"/>
        <w:ind w:left="720"/>
      </w:pPr>
      <w:r>
        <w:t>Will they remain effective as climate conditions change?</w:t>
      </w:r>
    </w:p>
    <w:p w14:paraId="295C55C4" w14:textId="3C87CC36" w:rsidR="00B90641" w:rsidRPr="00B17CBE" w:rsidRDefault="00B90641">
      <w:pPr>
        <w:pStyle w:val="ListParagraph"/>
        <w:widowControl w:val="0"/>
        <w:numPr>
          <w:ilvl w:val="0"/>
          <w:numId w:val="33"/>
        </w:numPr>
        <w:tabs>
          <w:tab w:val="left" w:pos="1620"/>
        </w:tabs>
        <w:autoSpaceDE w:val="0"/>
        <w:autoSpaceDN w:val="0"/>
        <w:spacing w:before="160" w:line="240" w:lineRule="auto"/>
        <w:ind w:left="720"/>
      </w:pPr>
      <w:r>
        <w:t>Who benefits from these strategies and who may be left out?</w:t>
      </w:r>
    </w:p>
    <w:p w14:paraId="0FC1B43B" w14:textId="560A770E" w:rsidR="00CF71BD" w:rsidRPr="00B17CBE" w:rsidRDefault="00CF71BD" w:rsidP="006426A2">
      <w:pPr>
        <w:spacing w:before="160" w:line="240" w:lineRule="auto"/>
      </w:pPr>
      <w:r>
        <w:t>It can include:</w:t>
      </w:r>
    </w:p>
    <w:p w14:paraId="152BFE59" w14:textId="11F1920A" w:rsidR="00CF71BD" w:rsidRPr="00B17CBE" w:rsidRDefault="0004688A">
      <w:pPr>
        <w:pStyle w:val="ListParagraph"/>
        <w:widowControl w:val="0"/>
        <w:numPr>
          <w:ilvl w:val="0"/>
          <w:numId w:val="33"/>
        </w:numPr>
        <w:tabs>
          <w:tab w:val="left" w:pos="1620"/>
        </w:tabs>
        <w:autoSpaceDE w:val="0"/>
        <w:autoSpaceDN w:val="0"/>
        <w:spacing w:before="160" w:line="240" w:lineRule="auto"/>
        <w:ind w:left="720"/>
      </w:pPr>
      <w:r>
        <w:t>I</w:t>
      </w:r>
      <w:r w:rsidR="00CF71BD">
        <w:t>nfrastructure</w:t>
      </w:r>
      <w:r>
        <w:t>,</w:t>
      </w:r>
      <w:r w:rsidR="00CF71BD">
        <w:t xml:space="preserve"> like a seawall that has extra height to accommodate future sea level rise</w:t>
      </w:r>
    </w:p>
    <w:p w14:paraId="0F9F7792" w14:textId="4EBC051B" w:rsidR="3415CCD5" w:rsidRDefault="3415CCD5">
      <w:pPr>
        <w:pStyle w:val="ListParagraph"/>
        <w:widowControl w:val="0"/>
        <w:numPr>
          <w:ilvl w:val="0"/>
          <w:numId w:val="33"/>
        </w:numPr>
        <w:tabs>
          <w:tab w:val="left" w:pos="1620"/>
        </w:tabs>
        <w:autoSpaceDE w:val="0"/>
        <w:autoSpaceDN w:val="0"/>
        <w:spacing w:before="160" w:line="240" w:lineRule="auto"/>
        <w:ind w:left="720"/>
      </w:pPr>
      <w:r>
        <w:t>Natural assets like street trees or a park</w:t>
      </w:r>
    </w:p>
    <w:p w14:paraId="53C957AD" w14:textId="1E1CC676"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Policies and programs like an incentive program for people to retrofit their homes to be more wildfire resistant</w:t>
      </w:r>
    </w:p>
    <w:p w14:paraId="6E355C4A" w14:textId="1B7692BF"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Technical expertise like a well-funded and staffed planning, sustainability, or emergency response department at a local government</w:t>
      </w:r>
    </w:p>
    <w:p w14:paraId="102277ED" w14:textId="0BC974D5"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Social systems like support and volunteers in the community for nonprofits such as Meals on Wheels that can deliver food, water, and perform wellness checks on seniors during heatwaves</w:t>
      </w:r>
    </w:p>
    <w:p w14:paraId="155F6816" w14:textId="67758B48" w:rsidR="00CF71BD" w:rsidRDefault="00CF71BD">
      <w:pPr>
        <w:pStyle w:val="ListParagraph"/>
        <w:widowControl w:val="0"/>
        <w:numPr>
          <w:ilvl w:val="0"/>
          <w:numId w:val="33"/>
        </w:numPr>
        <w:tabs>
          <w:tab w:val="left" w:pos="1620"/>
        </w:tabs>
        <w:autoSpaceDE w:val="0"/>
        <w:autoSpaceDN w:val="0"/>
        <w:spacing w:before="160" w:line="240" w:lineRule="auto"/>
        <w:ind w:left="720"/>
      </w:pPr>
      <w:r>
        <w:t>Coordination across sectors like a city heat response plan where public health identifies at-risk populations, emergency management issues alerts, parks and recreation opens cooling centers, and transportation provides free rides to those centers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AF7"/>
        <w:tblLook w:val="04A0" w:firstRow="1" w:lastRow="0" w:firstColumn="1" w:lastColumn="0" w:noHBand="0" w:noVBand="1"/>
      </w:tblPr>
      <w:tblGrid>
        <w:gridCol w:w="9352"/>
      </w:tblGrid>
      <w:tr w:rsidR="008324B6" w:rsidRPr="008324B6" w14:paraId="54C628C6" w14:textId="77777777" w:rsidTr="008A196D">
        <w:trPr>
          <w:trHeight w:val="864"/>
        </w:trPr>
        <w:tc>
          <w:tcPr>
            <w:tcW w:w="9352" w:type="dxa"/>
            <w:shd w:val="clear" w:color="auto" w:fill="1F5383"/>
            <w:vAlign w:val="center"/>
          </w:tcPr>
          <w:p w14:paraId="1F63DA9B" w14:textId="73194995" w:rsidR="008324B6" w:rsidRPr="008324B6" w:rsidRDefault="008324B6" w:rsidP="00BB5ACB">
            <w:pPr>
              <w:ind w:left="-30"/>
              <w:rPr>
                <w:b/>
                <w:bCs/>
                <w:color w:val="FFFFFF" w:themeColor="background1"/>
              </w:rPr>
            </w:pPr>
            <w:r>
              <w:rPr>
                <w:b/>
                <w:bCs/>
                <w:color w:val="FFFFFF" w:themeColor="background1"/>
              </w:rPr>
              <w:t>Case Study: Hazard Mitigation, Capability Assessments, and Adaptive Capacity</w:t>
            </w:r>
          </w:p>
        </w:tc>
      </w:tr>
      <w:tr w:rsidR="0024781F" w14:paraId="14E40FBC" w14:textId="77777777" w:rsidTr="00DF2DA3">
        <w:trPr>
          <w:trHeight w:val="7920"/>
        </w:trPr>
        <w:tc>
          <w:tcPr>
            <w:tcW w:w="9352" w:type="dxa"/>
            <w:shd w:val="clear" w:color="auto" w:fill="DCEAF7"/>
          </w:tcPr>
          <w:p w14:paraId="5D9A1CF2" w14:textId="75E02D03" w:rsidR="0024781F" w:rsidRDefault="0024781F" w:rsidP="00990ED5">
            <w:pPr>
              <w:spacing w:before="120" w:after="160"/>
            </w:pPr>
            <w:r>
              <w:t>Local and Tribal HMPs are required to conduct a capability assessment of the planning area to determine what programs, plans, staff, and funding are in place to support mitigation efforts. In the APG, it is called adaptive capacity, but the resources identified in one can be the same, or nearly so, for the other.</w:t>
            </w:r>
          </w:p>
          <w:p w14:paraId="233356F7" w14:textId="5BA88D3D" w:rsidR="003B2EC7" w:rsidRDefault="00990ED5" w:rsidP="002A189C">
            <w:pPr>
              <w:spacing w:before="120" w:after="160"/>
            </w:pPr>
            <w:r>
              <w:t xml:space="preserve">For example, the 2026 </w:t>
            </w:r>
            <w:hyperlink r:id="rId205" w:history="1">
              <w:r>
                <w:rPr>
                  <w:rStyle w:val="Hyperlink"/>
                  <w:i/>
                  <w:iCs/>
                </w:rPr>
                <w:t>Madera County MJHMP Update</w:t>
              </w:r>
            </w:hyperlink>
            <w:r>
              <w:t xml:space="preserve"> evaluated their existing plans and regulations to determine how each could support mitigation work and what might be lacking in their plans and regulations.</w:t>
            </w:r>
          </w:p>
          <w:tbl>
            <w:tblPr>
              <w:tblStyle w:val="TableGrid"/>
              <w:tblW w:w="0" w:type="auto"/>
              <w:tblLook w:val="04A0" w:firstRow="1" w:lastRow="0" w:firstColumn="1" w:lastColumn="0" w:noHBand="0" w:noVBand="1"/>
            </w:tblPr>
            <w:tblGrid>
              <w:gridCol w:w="9126"/>
            </w:tblGrid>
            <w:tr w:rsidR="00D377EB" w14:paraId="143F9FB8" w14:textId="77777777" w:rsidTr="003B2EC7">
              <w:tc>
                <w:tcPr>
                  <w:tcW w:w="9126" w:type="dxa"/>
                  <w:shd w:val="clear" w:color="auto" w:fill="000000" w:themeFill="text1"/>
                </w:tcPr>
                <w:p w14:paraId="039C0A31" w14:textId="45731EA3" w:rsidR="00D377EB" w:rsidRDefault="00D377EB" w:rsidP="00D377EB">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18</w:t>
                  </w:r>
                  <w:r>
                    <w:rPr>
                      <w:b/>
                      <w:bCs/>
                    </w:rPr>
                    <w:fldChar w:fldCharType="end"/>
                  </w:r>
                  <w:r>
                    <w:rPr>
                      <w:b/>
                      <w:bCs/>
                    </w:rPr>
                    <w:t>. Capabilities from Madera County MJHMP</w:t>
                  </w:r>
                </w:p>
              </w:tc>
            </w:tr>
            <w:tr w:rsidR="00D377EB" w14:paraId="71F12668" w14:textId="77777777" w:rsidTr="003B2EC7">
              <w:tc>
                <w:tcPr>
                  <w:tcW w:w="9126" w:type="dxa"/>
                  <w:shd w:val="clear" w:color="auto" w:fill="FFFFFF" w:themeFill="background1"/>
                </w:tcPr>
                <w:p w14:paraId="67DF05DF" w14:textId="77777777" w:rsidR="00D377EB" w:rsidRDefault="00D377EB" w:rsidP="00D377EB">
                  <w:pPr>
                    <w:spacing w:before="120" w:after="120"/>
                    <w:jc w:val="center"/>
                  </w:pPr>
                  <w:r>
                    <w:rPr>
                      <w:noProof/>
                    </w:rPr>
                    <w:drawing>
                      <wp:inline distT="0" distB="0" distL="0" distR="0" wp14:anchorId="0BB010F4" wp14:editId="671E2847">
                        <wp:extent cx="5650461" cy="3023674"/>
                        <wp:effectExtent l="0" t="0" r="7620" b="5715"/>
                        <wp:docPr id="1369587325" name="Picture 18" descr="Table from Madera County's MJHMP showing the County's current mitigation capabilities with land use planning and ordinances. Another table asks and answers the question, &quot;How can these capabilities be expanded and improved to reduce ris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64278" name="Picture 18" descr="Table from Madera County's MJHMP showing the County's current mitigation capabilities with land use planning and ordinances. Another table asks and answers the question, &quot;How can these capabilities be expanded and improved to reduce risk?&quot;"/>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750" t="176" r="833" b="24068"/>
                                <a:stretch>
                                  <a:fillRect/>
                                </a:stretch>
                              </pic:blipFill>
                              <pic:spPr bwMode="auto">
                                <a:xfrm>
                                  <a:off x="0" y="0"/>
                                  <a:ext cx="5650461" cy="30236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21486C" w14:textId="642C7497" w:rsidR="00990ED5" w:rsidRPr="0069673D" w:rsidRDefault="0069673D" w:rsidP="0069673D">
            <w:pPr>
              <w:rPr>
                <w:sz w:val="12"/>
                <w:szCs w:val="12"/>
              </w:rPr>
            </w:pPr>
            <w:r>
              <w:rPr>
                <w:sz w:val="12"/>
                <w:szCs w:val="12"/>
              </w:rPr>
              <w:t xml:space="preserve">  </w:t>
            </w:r>
          </w:p>
        </w:tc>
      </w:tr>
    </w:tbl>
    <w:p w14:paraId="20B3ABCC" w14:textId="77777777" w:rsidR="006426A2" w:rsidRPr="00B17CBE" w:rsidRDefault="006426A2" w:rsidP="006426A2">
      <w:pPr>
        <w:spacing w:before="160" w:line="240" w:lineRule="auto"/>
      </w:pPr>
    </w:p>
    <w:p w14:paraId="2A4292FB" w14:textId="1F8F9AA2" w:rsidR="00CF71BD" w:rsidRPr="00840DE9" w:rsidRDefault="00596628" w:rsidP="006426A2">
      <w:pPr>
        <w:pStyle w:val="Heading3"/>
        <w:spacing w:after="160" w:line="240" w:lineRule="auto"/>
      </w:pPr>
      <w:bookmarkStart w:id="121" w:name="_Toc224722687"/>
      <w:bookmarkStart w:id="122" w:name="_Toc235802698"/>
      <w:r>
        <w:t>Step 2.3A: Reviewing Documents for Adaptive Capacity Insights</w:t>
      </w:r>
      <w:bookmarkEnd w:id="121"/>
      <w:bookmarkEnd w:id="122"/>
    </w:p>
    <w:p w14:paraId="370B2F2E" w14:textId="3223BEB1" w:rsidR="00CF71BD" w:rsidRPr="00B17CBE" w:rsidRDefault="00CF71BD" w:rsidP="006426A2">
      <w:pPr>
        <w:spacing w:before="160" w:line="240" w:lineRule="auto"/>
      </w:pPr>
      <w:r>
        <w:t>This step focuses on identifying and reviewing documents that describe existing or planned policies, plans, and programs related to climate resilience, hazard management, and community wellbeing. Relevant information may come from local, regional, State, Tribal, or federal sources, and from both governmental and non-governmental entities.</w:t>
      </w:r>
    </w:p>
    <w:p w14:paraId="7D58136E" w14:textId="357C0E5E" w:rsidR="001911C2" w:rsidRPr="00FF4C6C" w:rsidRDefault="00ED313D" w:rsidP="001911C2">
      <w:pPr>
        <w:spacing w:before="160" w:line="240" w:lineRule="auto"/>
      </w:pPr>
      <w:r>
        <w:t>Use the documents collected in Step 2.1A Review Existing Documents. Focus on documents most relevant to the community’s priority hazards and local context summarized in Step 2.1 Wrap Up.  Review these documents for insights into local adaptive capacity, including existing capabilities, resources, governance structures and opportunities for improvement. The table below ident</w:t>
      </w:r>
      <w:r w:rsidR="00F05DDE">
        <w:t xml:space="preserve">ifies additional </w:t>
      </w:r>
      <w:r>
        <w:t>local documents that can inform the assessment of adaptive capacity.</w:t>
      </w:r>
    </w:p>
    <w:p w14:paraId="033B835E" w14:textId="6A24B3C4" w:rsidR="00FF4C6C" w:rsidRPr="00FF4C6C" w:rsidRDefault="00FF4C6C" w:rsidP="00FF4C6C">
      <w:pPr>
        <w:pStyle w:val="Caption"/>
        <w:rPr>
          <w:rFonts w:ascii="Century Gothic" w:hAnsi="Century Gothic"/>
          <w:b/>
          <w:i w:val="0"/>
          <w:color w:val="0D0D0D" w:themeColor="text1" w:themeTint="F2"/>
          <w:sz w:val="24"/>
          <w:szCs w:val="24"/>
        </w:rPr>
      </w:pPr>
      <w:r w:rsidRPr="00FF4C6C">
        <w:rPr>
          <w:rFonts w:ascii="Century Gothic" w:hAnsi="Century Gothic"/>
          <w:b/>
          <w:i w:val="0"/>
          <w:color w:val="0D0D0D" w:themeColor="text1" w:themeTint="F2"/>
          <w:sz w:val="24"/>
          <w:szCs w:val="24"/>
        </w:rPr>
        <w:t xml:space="preserve">Table </w:t>
      </w:r>
      <w:r w:rsidRPr="00FF4C6C">
        <w:rPr>
          <w:rFonts w:ascii="Century Gothic" w:hAnsi="Century Gothic"/>
          <w:b/>
          <w:i w:val="0"/>
          <w:color w:val="0D0D0D" w:themeColor="text1" w:themeTint="F2"/>
          <w:sz w:val="24"/>
          <w:szCs w:val="24"/>
        </w:rPr>
        <w:fldChar w:fldCharType="begin"/>
      </w:r>
      <w:r w:rsidRPr="00FF4C6C">
        <w:rPr>
          <w:rFonts w:ascii="Century Gothic" w:hAnsi="Century Gothic"/>
          <w:b/>
          <w:i w:val="0"/>
          <w:color w:val="0D0D0D" w:themeColor="text1" w:themeTint="F2"/>
          <w:sz w:val="24"/>
          <w:szCs w:val="24"/>
        </w:rPr>
        <w:instrText xml:space="preserve"> SEQ Table \* ARABIC </w:instrText>
      </w:r>
      <w:r w:rsidRPr="00FF4C6C">
        <w:rPr>
          <w:rFonts w:ascii="Century Gothic" w:hAnsi="Century Gothic"/>
          <w:b/>
          <w:i w:val="0"/>
          <w:color w:val="0D0D0D" w:themeColor="text1" w:themeTint="F2"/>
          <w:sz w:val="24"/>
          <w:szCs w:val="24"/>
        </w:rPr>
        <w:fldChar w:fldCharType="separate"/>
      </w:r>
      <w:r w:rsidR="00517691">
        <w:rPr>
          <w:rFonts w:ascii="Century Gothic" w:hAnsi="Century Gothic"/>
          <w:b/>
          <w:i w:val="0"/>
          <w:color w:val="0D0D0D" w:themeColor="text1" w:themeTint="F2"/>
          <w:sz w:val="24"/>
          <w:szCs w:val="24"/>
        </w:rPr>
        <w:t>9</w:t>
      </w:r>
      <w:r w:rsidRPr="00FF4C6C">
        <w:rPr>
          <w:rFonts w:ascii="Century Gothic" w:hAnsi="Century Gothic"/>
          <w:b/>
          <w:i w:val="0"/>
          <w:color w:val="0D0D0D" w:themeColor="text1" w:themeTint="F2"/>
          <w:sz w:val="24"/>
          <w:szCs w:val="24"/>
        </w:rPr>
        <w:fldChar w:fldCharType="end"/>
      </w:r>
      <w:r w:rsidRPr="00FF4C6C">
        <w:rPr>
          <w:rFonts w:ascii="Century Gothic" w:hAnsi="Century Gothic"/>
          <w:b/>
          <w:i w:val="0"/>
          <w:color w:val="0D0D0D" w:themeColor="text1" w:themeTint="F2"/>
          <w:sz w:val="24"/>
          <w:szCs w:val="24"/>
        </w:rPr>
        <w:t>. Local Documents to Review for Adaptive Capacity</w:t>
      </w:r>
    </w:p>
    <w:tbl>
      <w:tblPr>
        <w:tblStyle w:val="TableGrid"/>
        <w:tblW w:w="0" w:type="auto"/>
        <w:tblLook w:val="04A0" w:firstRow="1" w:lastRow="0" w:firstColumn="1" w:lastColumn="0" w:noHBand="0" w:noVBand="1"/>
        <w:tblDescription w:val="Local Documents to Review for Adaptive Capacity"/>
      </w:tblPr>
      <w:tblGrid>
        <w:gridCol w:w="4405"/>
        <w:gridCol w:w="4945"/>
      </w:tblGrid>
      <w:tr w:rsidR="000D55BD" w14:paraId="3710C69B" w14:textId="77777777" w:rsidTr="004E2F13">
        <w:tc>
          <w:tcPr>
            <w:tcW w:w="4405" w:type="dxa"/>
            <w:shd w:val="clear" w:color="auto" w:fill="000000" w:themeFill="text1"/>
          </w:tcPr>
          <w:p w14:paraId="2F49DB7E" w14:textId="3668DCE2" w:rsidR="000D55BD" w:rsidRDefault="000D55BD" w:rsidP="000D55BD">
            <w:pPr>
              <w:spacing w:before="160" w:after="160"/>
              <w:rPr>
                <w:b/>
                <w:bCs/>
              </w:rPr>
            </w:pPr>
            <w:r>
              <w:rPr>
                <w:b/>
                <w:bCs/>
              </w:rPr>
              <w:t>Local Standards, Ordinances, and Programs</w:t>
            </w:r>
          </w:p>
        </w:tc>
        <w:tc>
          <w:tcPr>
            <w:tcW w:w="4945" w:type="dxa"/>
            <w:shd w:val="clear" w:color="auto" w:fill="000000" w:themeFill="text1"/>
          </w:tcPr>
          <w:p w14:paraId="3F7643B8" w14:textId="4A2593FF" w:rsidR="000D55BD" w:rsidRDefault="000D55BD" w:rsidP="000D55BD">
            <w:pPr>
              <w:spacing w:before="160" w:after="160"/>
              <w:rPr>
                <w:b/>
                <w:bCs/>
              </w:rPr>
            </w:pPr>
            <w:r>
              <w:rPr>
                <w:b/>
                <w:bCs/>
              </w:rPr>
              <w:t>Sector-Specific Plans:</w:t>
            </w:r>
          </w:p>
        </w:tc>
      </w:tr>
      <w:tr w:rsidR="000D55BD" w14:paraId="003EFDEE" w14:textId="77777777" w:rsidTr="004E2F13">
        <w:tc>
          <w:tcPr>
            <w:tcW w:w="4405" w:type="dxa"/>
          </w:tcPr>
          <w:p w14:paraId="381EA477" w14:textId="77777777" w:rsidR="000D55BD" w:rsidRPr="00BD07C4" w:rsidRDefault="000D55BD">
            <w:pPr>
              <w:numPr>
                <w:ilvl w:val="0"/>
                <w:numId w:val="70"/>
              </w:numPr>
              <w:spacing w:before="160" w:after="160" w:line="259" w:lineRule="auto"/>
            </w:pPr>
            <w:r>
              <w:t>Capital Improvement Programs</w:t>
            </w:r>
          </w:p>
          <w:p w14:paraId="0A982AF2" w14:textId="77777777" w:rsidR="000D55BD" w:rsidRPr="00BD07C4" w:rsidRDefault="000D55BD">
            <w:pPr>
              <w:numPr>
                <w:ilvl w:val="0"/>
                <w:numId w:val="70"/>
              </w:numPr>
              <w:spacing w:before="160" w:after="160" w:line="259" w:lineRule="auto"/>
            </w:pPr>
            <w:r>
              <w:t>Zoning Codes</w:t>
            </w:r>
          </w:p>
          <w:p w14:paraId="0AB444DB" w14:textId="77777777" w:rsidR="000D55BD" w:rsidRPr="00BD07C4" w:rsidRDefault="000D55BD">
            <w:pPr>
              <w:numPr>
                <w:ilvl w:val="0"/>
                <w:numId w:val="70"/>
              </w:numPr>
              <w:spacing w:before="160" w:after="160" w:line="259" w:lineRule="auto"/>
            </w:pPr>
            <w:r>
              <w:t>Building Codes</w:t>
            </w:r>
          </w:p>
          <w:p w14:paraId="40C24F37" w14:textId="77777777" w:rsidR="000D55BD" w:rsidRPr="00BD07C4" w:rsidRDefault="000D55BD">
            <w:pPr>
              <w:numPr>
                <w:ilvl w:val="0"/>
                <w:numId w:val="70"/>
              </w:numPr>
              <w:spacing w:before="160" w:after="160" w:line="259" w:lineRule="auto"/>
            </w:pPr>
            <w:r>
              <w:t>Fire Codes</w:t>
            </w:r>
          </w:p>
          <w:p w14:paraId="7965B9A8" w14:textId="77777777" w:rsidR="000D55BD" w:rsidRPr="00BD07C4" w:rsidRDefault="000D55BD">
            <w:pPr>
              <w:numPr>
                <w:ilvl w:val="0"/>
                <w:numId w:val="70"/>
              </w:numPr>
              <w:spacing w:before="160" w:after="160" w:line="259" w:lineRule="auto"/>
            </w:pPr>
            <w:r>
              <w:t>Tree Ordinances</w:t>
            </w:r>
          </w:p>
          <w:p w14:paraId="4E906993" w14:textId="77777777" w:rsidR="000D55BD" w:rsidRPr="00BD07C4" w:rsidRDefault="000D55BD">
            <w:pPr>
              <w:numPr>
                <w:ilvl w:val="0"/>
                <w:numId w:val="70"/>
              </w:numPr>
              <w:spacing w:before="160" w:after="160" w:line="259" w:lineRule="auto"/>
            </w:pPr>
            <w:r>
              <w:t>Urban Heat Island Ordinances</w:t>
            </w:r>
          </w:p>
          <w:p w14:paraId="152F1CDF" w14:textId="77777777" w:rsidR="000D55BD" w:rsidRPr="00BD07C4" w:rsidRDefault="000D55BD">
            <w:pPr>
              <w:numPr>
                <w:ilvl w:val="0"/>
                <w:numId w:val="70"/>
              </w:numPr>
              <w:spacing w:before="160" w:after="160" w:line="259" w:lineRule="auto"/>
            </w:pPr>
            <w:r>
              <w:t>Floodplain Ordinances</w:t>
            </w:r>
          </w:p>
          <w:p w14:paraId="199FFD34" w14:textId="72F4AEBD" w:rsidR="000D55BD" w:rsidRPr="000D55BD" w:rsidRDefault="000D55BD">
            <w:pPr>
              <w:numPr>
                <w:ilvl w:val="0"/>
                <w:numId w:val="70"/>
              </w:numPr>
              <w:spacing w:before="160" w:after="160" w:line="259" w:lineRule="auto"/>
            </w:pPr>
            <w:r>
              <w:t>Stormwater Management Programs</w:t>
            </w:r>
          </w:p>
        </w:tc>
        <w:tc>
          <w:tcPr>
            <w:tcW w:w="4945" w:type="dxa"/>
          </w:tcPr>
          <w:p w14:paraId="43D7D43F" w14:textId="77777777" w:rsidR="000D55BD" w:rsidRPr="00BD07C4" w:rsidRDefault="000D55BD">
            <w:pPr>
              <w:numPr>
                <w:ilvl w:val="0"/>
                <w:numId w:val="70"/>
              </w:numPr>
              <w:spacing w:before="160" w:after="160" w:line="259" w:lineRule="auto"/>
              <w:rPr>
                <w:bCs/>
              </w:rPr>
            </w:pPr>
            <w:r>
              <w:rPr>
                <w:bCs/>
              </w:rPr>
              <w:t>Urban Water Management Plans</w:t>
            </w:r>
          </w:p>
          <w:p w14:paraId="49F63ED7" w14:textId="77777777" w:rsidR="000D55BD" w:rsidRPr="00BD07C4" w:rsidRDefault="000D55BD">
            <w:pPr>
              <w:numPr>
                <w:ilvl w:val="0"/>
                <w:numId w:val="70"/>
              </w:numPr>
              <w:spacing w:before="160" w:after="160" w:line="259" w:lineRule="auto"/>
              <w:rPr>
                <w:bCs/>
              </w:rPr>
            </w:pPr>
            <w:r>
              <w:rPr>
                <w:bCs/>
              </w:rPr>
              <w:t>Integrated Regional Water Management Plans (IRWMPs)</w:t>
            </w:r>
          </w:p>
          <w:p w14:paraId="06D5A2AA" w14:textId="77777777" w:rsidR="000D55BD" w:rsidRPr="00BD07C4" w:rsidRDefault="000D55BD">
            <w:pPr>
              <w:numPr>
                <w:ilvl w:val="0"/>
                <w:numId w:val="70"/>
              </w:numPr>
              <w:spacing w:before="160" w:after="160" w:line="259" w:lineRule="auto"/>
              <w:rPr>
                <w:bCs/>
              </w:rPr>
            </w:pPr>
            <w:r>
              <w:rPr>
                <w:bCs/>
              </w:rPr>
              <w:t>Transit and Regional Transportation Plans</w:t>
            </w:r>
          </w:p>
          <w:p w14:paraId="4CCDFE18" w14:textId="77777777" w:rsidR="000D55BD" w:rsidRPr="00BD07C4" w:rsidRDefault="000D55BD">
            <w:pPr>
              <w:numPr>
                <w:ilvl w:val="0"/>
                <w:numId w:val="70"/>
              </w:numPr>
              <w:spacing w:before="160" w:after="160" w:line="259" w:lineRule="auto"/>
              <w:rPr>
                <w:bCs/>
              </w:rPr>
            </w:pPr>
            <w:r>
              <w:rPr>
                <w:bCs/>
              </w:rPr>
              <w:t>Public Health and Safety Plans (e.g., Community Health Assessments)</w:t>
            </w:r>
          </w:p>
          <w:p w14:paraId="1599AA40" w14:textId="77777777" w:rsidR="000D55BD" w:rsidRPr="00BD07C4" w:rsidRDefault="000D55BD">
            <w:pPr>
              <w:numPr>
                <w:ilvl w:val="0"/>
                <w:numId w:val="70"/>
              </w:numPr>
              <w:spacing w:before="160" w:after="160" w:line="259" w:lineRule="auto"/>
              <w:rPr>
                <w:bCs/>
              </w:rPr>
            </w:pPr>
            <w:r>
              <w:rPr>
                <w:bCs/>
              </w:rPr>
              <w:t>Emergency Services Plans</w:t>
            </w:r>
          </w:p>
          <w:p w14:paraId="43251053" w14:textId="77777777" w:rsidR="000D55BD" w:rsidRPr="00BD07C4" w:rsidRDefault="000D55BD">
            <w:pPr>
              <w:numPr>
                <w:ilvl w:val="0"/>
                <w:numId w:val="70"/>
              </w:numPr>
              <w:spacing w:before="160" w:after="160" w:line="259" w:lineRule="auto"/>
              <w:rPr>
                <w:bCs/>
              </w:rPr>
            </w:pPr>
            <w:r>
              <w:rPr>
                <w:bCs/>
              </w:rPr>
              <w:t>Fire Management Plans</w:t>
            </w:r>
          </w:p>
          <w:p w14:paraId="7FF00708" w14:textId="77777777" w:rsidR="000D55BD" w:rsidRPr="00BD07C4" w:rsidRDefault="000D55BD">
            <w:pPr>
              <w:numPr>
                <w:ilvl w:val="0"/>
                <w:numId w:val="70"/>
              </w:numPr>
              <w:spacing w:before="160" w:after="160" w:line="259" w:lineRule="auto"/>
              <w:rPr>
                <w:bCs/>
              </w:rPr>
            </w:pPr>
            <w:r>
              <w:rPr>
                <w:bCs/>
              </w:rPr>
              <w:t>Floodplain Management Plans</w:t>
            </w:r>
          </w:p>
          <w:p w14:paraId="364AB7AA" w14:textId="77777777" w:rsidR="000D55BD" w:rsidRDefault="000D55BD">
            <w:pPr>
              <w:numPr>
                <w:ilvl w:val="0"/>
                <w:numId w:val="70"/>
              </w:numPr>
              <w:spacing w:before="160" w:after="160" w:line="259" w:lineRule="auto"/>
              <w:rPr>
                <w:bCs/>
              </w:rPr>
            </w:pPr>
            <w:r>
              <w:rPr>
                <w:bCs/>
              </w:rPr>
              <w:t>Open Space and Land Management Plans</w:t>
            </w:r>
          </w:p>
          <w:p w14:paraId="6B74D50A" w14:textId="77777777" w:rsidR="000D55BD" w:rsidRDefault="000D55BD">
            <w:pPr>
              <w:numPr>
                <w:ilvl w:val="0"/>
                <w:numId w:val="70"/>
              </w:numPr>
              <w:spacing w:before="160" w:after="160" w:line="259" w:lineRule="auto"/>
              <w:rPr>
                <w:bCs/>
              </w:rPr>
            </w:pPr>
            <w:r w:rsidRPr="00D7702B">
              <w:rPr>
                <w:bCs/>
              </w:rPr>
              <w:t>Sustainable Communities Plans (SB 375)</w:t>
            </w:r>
          </w:p>
          <w:p w14:paraId="29C18604" w14:textId="6790BF1F" w:rsidR="000D55BD" w:rsidRPr="004E2F13" w:rsidRDefault="000D55BD">
            <w:pPr>
              <w:numPr>
                <w:ilvl w:val="0"/>
                <w:numId w:val="70"/>
              </w:numPr>
              <w:spacing w:before="160" w:after="160" w:line="259" w:lineRule="auto"/>
              <w:rPr>
                <w:bCs/>
              </w:rPr>
            </w:pPr>
            <w:r w:rsidRPr="00D7702B">
              <w:rPr>
                <w:bCs/>
              </w:rPr>
              <w:t>Downtown or Corridor Plans</w:t>
            </w:r>
          </w:p>
        </w:tc>
      </w:tr>
    </w:tbl>
    <w:p w14:paraId="6A42DDB7" w14:textId="1B7A89B2" w:rsidR="00433B05" w:rsidRPr="002A019F" w:rsidRDefault="00433B05" w:rsidP="002A019F">
      <w:pPr>
        <w:widowControl w:val="0"/>
        <w:tabs>
          <w:tab w:val="left" w:pos="1620"/>
        </w:tabs>
        <w:autoSpaceDE w:val="0"/>
        <w:autoSpaceDN w:val="0"/>
        <w:spacing w:before="160" w:line="240" w:lineRule="auto"/>
        <w:rPr>
          <w:bCs/>
        </w:rPr>
      </w:pPr>
      <w:r>
        <w:t xml:space="preserve">In addition to formal plans and assessments, local news sources and technical studies can provide helpful insight into adaptive capacity. News reports documenting past hazard events, such as flood locations, wildfire impacts, or other climate-related disruptions, can help identify recurring challenges, community impacts, and response efforts. </w:t>
      </w:r>
    </w:p>
    <w:p w14:paraId="50638931" w14:textId="4410AACF" w:rsidR="00484E73" w:rsidRPr="005E03F5" w:rsidRDefault="00433B05" w:rsidP="005E03F5">
      <w:pPr>
        <w:pStyle w:val="ListParagraph"/>
        <w:widowControl w:val="0"/>
        <w:tabs>
          <w:tab w:val="left" w:pos="1620"/>
        </w:tabs>
        <w:autoSpaceDE w:val="0"/>
        <w:autoSpaceDN w:val="0"/>
        <w:spacing w:before="160" w:line="240" w:lineRule="auto"/>
        <w:ind w:left="0"/>
      </w:pPr>
      <w:r>
        <w:t>Studies prepared by colleges and universities, reputable nonprofit organizations, and State or regional agencies can also provide additional data, analysis, and perspectives to inform the assessment of existing strengths, gaps, and opportunities for building climate resilience.</w:t>
      </w:r>
    </w:p>
    <w:tbl>
      <w:tblPr>
        <w:tblStyle w:val="TableGrid"/>
        <w:tblW w:w="0" w:type="auto"/>
        <w:tblLook w:val="04A0" w:firstRow="1" w:lastRow="0" w:firstColumn="1" w:lastColumn="0" w:noHBand="0" w:noVBand="1"/>
      </w:tblPr>
      <w:tblGrid>
        <w:gridCol w:w="9360"/>
      </w:tblGrid>
      <w:tr w:rsidR="000E0330" w:rsidRPr="000E0330" w14:paraId="7BE6F7B2" w14:textId="77777777" w:rsidTr="0034750F">
        <w:trPr>
          <w:trHeight w:val="576"/>
        </w:trPr>
        <w:tc>
          <w:tcPr>
            <w:tcW w:w="9350" w:type="dxa"/>
            <w:tcBorders>
              <w:top w:val="nil"/>
              <w:left w:val="nil"/>
              <w:bottom w:val="nil"/>
              <w:right w:val="nil"/>
            </w:tcBorders>
            <w:shd w:val="clear" w:color="auto" w:fill="14581C"/>
            <w:vAlign w:val="center"/>
          </w:tcPr>
          <w:p w14:paraId="295D5086" w14:textId="142FCBA3" w:rsidR="00DF2536" w:rsidRPr="000E0330" w:rsidRDefault="008241ED" w:rsidP="00BB5ACB">
            <w:pPr>
              <w:tabs>
                <w:tab w:val="left" w:pos="3479"/>
              </w:tabs>
              <w:rPr>
                <w:b/>
                <w:bCs/>
                <w:color w:val="FFFFFF" w:themeColor="background1"/>
              </w:rPr>
            </w:pPr>
            <w:r>
              <w:rPr>
                <w:b/>
                <w:color w:val="FFFFFF" w:themeColor="background1"/>
              </w:rPr>
              <w:t>Put It into Practice</w:t>
            </w:r>
          </w:p>
        </w:tc>
      </w:tr>
      <w:tr w:rsidR="00D50ABB" w14:paraId="05372FE0" w14:textId="77777777" w:rsidTr="00026373">
        <w:trPr>
          <w:trHeight w:val="2880"/>
        </w:trPr>
        <w:tc>
          <w:tcPr>
            <w:tcW w:w="9350" w:type="dxa"/>
            <w:tcBorders>
              <w:top w:val="nil"/>
              <w:left w:val="nil"/>
              <w:bottom w:val="nil"/>
              <w:right w:val="nil"/>
            </w:tcBorders>
            <w:shd w:val="clear" w:color="auto" w:fill="C1F0C7" w:themeFill="accent3" w:themeFillTint="33"/>
          </w:tcPr>
          <w:p w14:paraId="2225F0D0" w14:textId="70EDEEE8" w:rsidR="00F0567B" w:rsidRDefault="00D0348E">
            <w:pPr>
              <w:spacing w:before="120" w:after="160"/>
              <w:rPr>
                <w:color w:val="000000" w:themeColor="text1"/>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_Ref230247393 \h  \* MERGEFORMAT </w:instrText>
            </w:r>
            <w:r>
              <w:rPr>
                <w:b/>
                <w:bCs/>
                <w:color w:val="000000" w:themeColor="text1"/>
              </w:rPr>
            </w:r>
            <w:r>
              <w:rPr>
                <w:b/>
                <w:bCs/>
                <w:color w:val="000000" w:themeColor="text1"/>
              </w:rPr>
              <w:fldChar w:fldCharType="separate"/>
            </w:r>
            <w:r w:rsidR="00517691" w:rsidRPr="00517691">
              <w:rPr>
                <w:b/>
                <w:bCs/>
              </w:rPr>
              <w:t>Reviewing Documents for Adaptive Capacity Insights</w:t>
            </w:r>
            <w:r>
              <w:rPr>
                <w:b/>
                <w:bCs/>
                <w:color w:val="000000" w:themeColor="text1"/>
              </w:rPr>
              <w:fldChar w:fldCharType="end"/>
            </w:r>
          </w:p>
          <w:p w14:paraId="444EF877" w14:textId="60FFD0E4" w:rsidR="00D50ABB" w:rsidRPr="00F0567B" w:rsidRDefault="00D50ABB" w:rsidP="000C4F57">
            <w:pPr>
              <w:spacing w:before="120" w:after="160"/>
              <w:rPr>
                <w:color w:val="000000" w:themeColor="text1"/>
              </w:rPr>
            </w:pPr>
            <w:r>
              <w:rPr>
                <w:color w:val="000000" w:themeColor="text1"/>
              </w:rPr>
              <w:t>Use the table below to inventory the reviewed adaptive capacity related documents.</w:t>
            </w:r>
          </w:p>
          <w:tbl>
            <w:tblPr>
              <w:tblStyle w:val="TableGrid"/>
              <w:tblW w:w="9160" w:type="dxa"/>
              <w:tblLook w:val="06A0" w:firstRow="1" w:lastRow="0" w:firstColumn="1" w:lastColumn="0" w:noHBand="1" w:noVBand="1"/>
              <w:tblCaption w:val="Documents on adaptive capacity"/>
              <w:tblDescription w:val="Fillable table to inventory adaptive capacity-related documents and information that you may/will incorporate into your plan"/>
            </w:tblPr>
            <w:tblGrid>
              <w:gridCol w:w="1845"/>
              <w:gridCol w:w="1015"/>
              <w:gridCol w:w="2070"/>
              <w:gridCol w:w="2578"/>
              <w:gridCol w:w="1652"/>
            </w:tblGrid>
            <w:tr w:rsidR="00D50ABB" w:rsidRPr="00311DB0" w14:paraId="74BFF298" w14:textId="77777777" w:rsidTr="00026373">
              <w:trPr>
                <w:trHeight w:val="300"/>
              </w:trPr>
              <w:tc>
                <w:tcPr>
                  <w:tcW w:w="1845" w:type="dxa"/>
                  <w:vAlign w:val="center"/>
                </w:tcPr>
                <w:p w14:paraId="249ECCB1" w14:textId="2731F13A" w:rsidR="00D50ABB" w:rsidRPr="00977814" w:rsidRDefault="00D50ABB" w:rsidP="00BB5ACB">
                  <w:pPr>
                    <w:jc w:val="center"/>
                    <w:rPr>
                      <w:b/>
                      <w:bCs/>
                      <w:color w:val="000000" w:themeColor="text1"/>
                    </w:rPr>
                  </w:pPr>
                  <w:r>
                    <w:rPr>
                      <w:b/>
                      <w:bCs/>
                      <w:color w:val="000000" w:themeColor="text1"/>
                    </w:rPr>
                    <w:t>Document Name</w:t>
                  </w:r>
                </w:p>
              </w:tc>
              <w:tc>
                <w:tcPr>
                  <w:tcW w:w="1015" w:type="dxa"/>
                  <w:vAlign w:val="center"/>
                </w:tcPr>
                <w:p w14:paraId="7B1F6582" w14:textId="77777777" w:rsidR="00D50ABB" w:rsidRPr="00977814" w:rsidRDefault="00D50ABB" w:rsidP="00BB5ACB">
                  <w:pPr>
                    <w:jc w:val="center"/>
                    <w:rPr>
                      <w:b/>
                      <w:bCs/>
                      <w:color w:val="000000" w:themeColor="text1"/>
                    </w:rPr>
                  </w:pPr>
                  <w:r>
                    <w:rPr>
                      <w:b/>
                      <w:bCs/>
                      <w:color w:val="000000" w:themeColor="text1"/>
                    </w:rPr>
                    <w:t>Link</w:t>
                  </w:r>
                </w:p>
              </w:tc>
              <w:tc>
                <w:tcPr>
                  <w:tcW w:w="2070" w:type="dxa"/>
                  <w:vAlign w:val="center"/>
                </w:tcPr>
                <w:p w14:paraId="7E8629CE" w14:textId="24F0384D" w:rsidR="00D50ABB" w:rsidRPr="00977814" w:rsidRDefault="00D50ABB" w:rsidP="00BB5ACB">
                  <w:pPr>
                    <w:jc w:val="center"/>
                    <w:rPr>
                      <w:b/>
                      <w:bCs/>
                      <w:color w:val="000000" w:themeColor="text1"/>
                    </w:rPr>
                  </w:pPr>
                  <w:r>
                    <w:rPr>
                      <w:b/>
                      <w:bCs/>
                      <w:color w:val="000000" w:themeColor="text1"/>
                    </w:rPr>
                    <w:t>Scale (local, regional, State)</w:t>
                  </w:r>
                </w:p>
              </w:tc>
              <w:tc>
                <w:tcPr>
                  <w:tcW w:w="2578" w:type="dxa"/>
                  <w:vAlign w:val="center"/>
                </w:tcPr>
                <w:p w14:paraId="7BFEAE28" w14:textId="6F48333E" w:rsidR="00D50ABB" w:rsidRPr="00977814" w:rsidRDefault="00D50ABB" w:rsidP="00BB5ACB">
                  <w:pPr>
                    <w:jc w:val="center"/>
                    <w:rPr>
                      <w:b/>
                      <w:bCs/>
                      <w:color w:val="000000" w:themeColor="text1"/>
                    </w:rPr>
                  </w:pPr>
                  <w:r>
                    <w:rPr>
                      <w:b/>
                      <w:bCs/>
                      <w:color w:val="000000" w:themeColor="text1"/>
                    </w:rPr>
                    <w:t>Sector (e.g., water, land use, public health)</w:t>
                  </w:r>
                </w:p>
              </w:tc>
              <w:tc>
                <w:tcPr>
                  <w:tcW w:w="1652" w:type="dxa"/>
                  <w:vAlign w:val="center"/>
                </w:tcPr>
                <w:p w14:paraId="746C2B24" w14:textId="29255DC3" w:rsidR="00D50ABB" w:rsidRPr="00977814" w:rsidRDefault="00D50ABB" w:rsidP="00BB5ACB">
                  <w:pPr>
                    <w:jc w:val="center"/>
                    <w:rPr>
                      <w:b/>
                      <w:bCs/>
                      <w:color w:val="000000" w:themeColor="text1"/>
                    </w:rPr>
                  </w:pPr>
                  <w:r>
                    <w:rPr>
                      <w:b/>
                      <w:bCs/>
                      <w:color w:val="000000" w:themeColor="text1"/>
                    </w:rPr>
                    <w:t>Reason for Inclusion</w:t>
                  </w:r>
                </w:p>
              </w:tc>
            </w:tr>
            <w:tr w:rsidR="00D50ABB" w:rsidRPr="00311DB0" w14:paraId="45CCE59C" w14:textId="77777777" w:rsidTr="00026373">
              <w:trPr>
                <w:trHeight w:val="300"/>
              </w:trPr>
              <w:tc>
                <w:tcPr>
                  <w:tcW w:w="1845" w:type="dxa"/>
                </w:tcPr>
                <w:p w14:paraId="02CAAE6E" w14:textId="77777777" w:rsidR="00D50ABB" w:rsidRPr="00311DB0" w:rsidRDefault="00D50ABB" w:rsidP="00BB5ACB">
                  <w:pPr>
                    <w:rPr>
                      <w:color w:val="000000" w:themeColor="text1"/>
                    </w:rPr>
                  </w:pPr>
                </w:p>
              </w:tc>
              <w:tc>
                <w:tcPr>
                  <w:tcW w:w="1015" w:type="dxa"/>
                </w:tcPr>
                <w:p w14:paraId="34925328" w14:textId="77777777" w:rsidR="00D50ABB" w:rsidRPr="00311DB0" w:rsidRDefault="00D50ABB" w:rsidP="00BB5ACB">
                  <w:pPr>
                    <w:rPr>
                      <w:color w:val="000000" w:themeColor="text1"/>
                    </w:rPr>
                  </w:pPr>
                </w:p>
              </w:tc>
              <w:tc>
                <w:tcPr>
                  <w:tcW w:w="2070" w:type="dxa"/>
                </w:tcPr>
                <w:p w14:paraId="6C8CEAEA" w14:textId="77777777" w:rsidR="00D50ABB" w:rsidRPr="00311DB0" w:rsidRDefault="00D50ABB" w:rsidP="00BB5ACB">
                  <w:pPr>
                    <w:rPr>
                      <w:color w:val="000000" w:themeColor="text1"/>
                    </w:rPr>
                  </w:pPr>
                </w:p>
              </w:tc>
              <w:tc>
                <w:tcPr>
                  <w:tcW w:w="2578" w:type="dxa"/>
                </w:tcPr>
                <w:p w14:paraId="751D0B7D" w14:textId="77777777" w:rsidR="00D50ABB" w:rsidRPr="00311DB0" w:rsidRDefault="00D50ABB" w:rsidP="00BB5ACB">
                  <w:pPr>
                    <w:rPr>
                      <w:color w:val="000000" w:themeColor="text1"/>
                    </w:rPr>
                  </w:pPr>
                </w:p>
              </w:tc>
              <w:tc>
                <w:tcPr>
                  <w:tcW w:w="1652" w:type="dxa"/>
                </w:tcPr>
                <w:p w14:paraId="764EBD9B" w14:textId="77777777" w:rsidR="00D50ABB" w:rsidRPr="00311DB0" w:rsidRDefault="00D50ABB" w:rsidP="00BB5ACB">
                  <w:pPr>
                    <w:rPr>
                      <w:color w:val="000000" w:themeColor="text1"/>
                    </w:rPr>
                  </w:pPr>
                </w:p>
              </w:tc>
            </w:tr>
            <w:tr w:rsidR="00D50ABB" w:rsidRPr="00311DB0" w14:paraId="4B69F745" w14:textId="77777777" w:rsidTr="00026373">
              <w:trPr>
                <w:trHeight w:val="300"/>
              </w:trPr>
              <w:tc>
                <w:tcPr>
                  <w:tcW w:w="1845" w:type="dxa"/>
                </w:tcPr>
                <w:p w14:paraId="609166B7" w14:textId="77777777" w:rsidR="00D50ABB" w:rsidRPr="00311DB0" w:rsidRDefault="00D50ABB" w:rsidP="00BB5ACB">
                  <w:pPr>
                    <w:rPr>
                      <w:color w:val="000000" w:themeColor="text1"/>
                    </w:rPr>
                  </w:pPr>
                </w:p>
              </w:tc>
              <w:tc>
                <w:tcPr>
                  <w:tcW w:w="1015" w:type="dxa"/>
                </w:tcPr>
                <w:p w14:paraId="451E5A8A" w14:textId="77777777" w:rsidR="00D50ABB" w:rsidRPr="00311DB0" w:rsidRDefault="00D50ABB" w:rsidP="00BB5ACB">
                  <w:pPr>
                    <w:rPr>
                      <w:color w:val="000000" w:themeColor="text1"/>
                    </w:rPr>
                  </w:pPr>
                </w:p>
              </w:tc>
              <w:tc>
                <w:tcPr>
                  <w:tcW w:w="2070" w:type="dxa"/>
                </w:tcPr>
                <w:p w14:paraId="388434BA" w14:textId="77777777" w:rsidR="00D50ABB" w:rsidRPr="00311DB0" w:rsidRDefault="00D50ABB" w:rsidP="00BB5ACB">
                  <w:pPr>
                    <w:rPr>
                      <w:color w:val="000000" w:themeColor="text1"/>
                    </w:rPr>
                  </w:pPr>
                </w:p>
              </w:tc>
              <w:tc>
                <w:tcPr>
                  <w:tcW w:w="2578" w:type="dxa"/>
                </w:tcPr>
                <w:p w14:paraId="42E7A02F" w14:textId="77777777" w:rsidR="00D50ABB" w:rsidRPr="00311DB0" w:rsidRDefault="00D50ABB" w:rsidP="00BB5ACB">
                  <w:pPr>
                    <w:rPr>
                      <w:color w:val="000000" w:themeColor="text1"/>
                    </w:rPr>
                  </w:pPr>
                </w:p>
              </w:tc>
              <w:tc>
                <w:tcPr>
                  <w:tcW w:w="1652" w:type="dxa"/>
                </w:tcPr>
                <w:p w14:paraId="4AF8F208" w14:textId="77777777" w:rsidR="00D50ABB" w:rsidRPr="00311DB0" w:rsidRDefault="00D50ABB" w:rsidP="00BB5ACB">
                  <w:pPr>
                    <w:rPr>
                      <w:color w:val="000000" w:themeColor="text1"/>
                    </w:rPr>
                  </w:pPr>
                </w:p>
              </w:tc>
            </w:tr>
          </w:tbl>
          <w:p w14:paraId="08BE3D02" w14:textId="36046008" w:rsidR="00D50ABB" w:rsidRPr="008C2098" w:rsidRDefault="008C2098" w:rsidP="00BB5ACB">
            <w:pPr>
              <w:rPr>
                <w:sz w:val="12"/>
                <w:szCs w:val="12"/>
              </w:rPr>
            </w:pPr>
            <w:r>
              <w:rPr>
                <w:sz w:val="12"/>
                <w:szCs w:val="12"/>
              </w:rPr>
              <w:t xml:space="preserve">  </w:t>
            </w:r>
          </w:p>
        </w:tc>
      </w:tr>
    </w:tbl>
    <w:p w14:paraId="70A63AF1" w14:textId="357BE928" w:rsidR="00311DB0" w:rsidRDefault="00311DB0" w:rsidP="0085543E">
      <w:pPr>
        <w:spacing w:before="160" w:line="240" w:lineRule="auto"/>
      </w:pPr>
    </w:p>
    <w:p w14:paraId="40ECB103" w14:textId="588A0514" w:rsidR="00CF71BD" w:rsidRPr="00B17CBE" w:rsidRDefault="00596628" w:rsidP="00BB5ACB">
      <w:pPr>
        <w:pStyle w:val="Heading3"/>
        <w:spacing w:line="240" w:lineRule="auto"/>
      </w:pPr>
      <w:bookmarkStart w:id="123" w:name="_Toc224722688"/>
      <w:bookmarkStart w:id="124" w:name="_Toc235802699"/>
      <w:r>
        <w:t>Step 2.3B: Evaluating Adaptive Capacity Strategies</w:t>
      </w:r>
      <w:bookmarkEnd w:id="123"/>
      <w:bookmarkEnd w:id="124"/>
    </w:p>
    <w:p w14:paraId="2D86AB84" w14:textId="00895082" w:rsidR="00CF71BD" w:rsidRPr="00B17CBE" w:rsidRDefault="00CF71BD" w:rsidP="00807A06">
      <w:pPr>
        <w:spacing w:line="240" w:lineRule="auto"/>
      </w:pPr>
      <w:r>
        <w:t>As documents are reviewed, focus on specific policies, programs, or strategies that help manage climate impacts. These may include incentives or rebate programs for resilience building, evacuation protocols, land-use regulations, infrastructure standards, water conservation policies, or public health interventions. For each strategy, consider the following:</w:t>
      </w:r>
    </w:p>
    <w:p w14:paraId="226EBD0C" w14:textId="5D1ADBCA"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Which climate hazards are addressed?</w:t>
      </w:r>
    </w:p>
    <w:p w14:paraId="0D5743E3" w14:textId="3FD10B71"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Is it designed to manage current climate impacts, future impacts, or both?</w:t>
      </w:r>
    </w:p>
    <w:p w14:paraId="67D41CBA" w14:textId="2DF708D0"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Is the strategy already implemented, currently in progress, or planned?</w:t>
      </w:r>
    </w:p>
    <w:p w14:paraId="7FF68863" w14:textId="761C0125" w:rsidR="007F63C8" w:rsidRPr="00B17CBE" w:rsidRDefault="007F63C8">
      <w:pPr>
        <w:pStyle w:val="ListParagraph"/>
        <w:widowControl w:val="0"/>
        <w:numPr>
          <w:ilvl w:val="0"/>
          <w:numId w:val="33"/>
        </w:numPr>
        <w:tabs>
          <w:tab w:val="left" w:pos="1620"/>
        </w:tabs>
        <w:autoSpaceDE w:val="0"/>
        <w:autoSpaceDN w:val="0"/>
        <w:spacing w:before="160" w:line="240" w:lineRule="auto"/>
        <w:ind w:left="720"/>
      </w:pPr>
      <w:r>
        <w:t>Are existing or planned projects climate-sensitive? What is their expected useful life?</w:t>
      </w:r>
    </w:p>
    <w:p w14:paraId="7B6F4B3A" w14:textId="78D4A760" w:rsidR="006803F1" w:rsidRPr="00B17CBE" w:rsidRDefault="006803F1">
      <w:pPr>
        <w:pStyle w:val="ListParagraph"/>
        <w:widowControl w:val="0"/>
        <w:numPr>
          <w:ilvl w:val="0"/>
          <w:numId w:val="33"/>
        </w:numPr>
        <w:tabs>
          <w:tab w:val="left" w:pos="1620"/>
        </w:tabs>
        <w:autoSpaceDE w:val="0"/>
        <w:autoSpaceDN w:val="0"/>
        <w:spacing w:before="160" w:line="240" w:lineRule="auto"/>
        <w:ind w:left="720"/>
      </w:pPr>
      <w:r>
        <w:t>Do existing or planned projects reduce or increase vulnerability?</w:t>
      </w:r>
    </w:p>
    <w:p w14:paraId="421771AC" w14:textId="4DA889C3" w:rsidR="009F2941" w:rsidRPr="00B17CBE" w:rsidRDefault="009F2941">
      <w:pPr>
        <w:pStyle w:val="ListParagraph"/>
        <w:widowControl w:val="0"/>
        <w:numPr>
          <w:ilvl w:val="0"/>
          <w:numId w:val="33"/>
        </w:numPr>
        <w:tabs>
          <w:tab w:val="left" w:pos="1620"/>
        </w:tabs>
        <w:autoSpaceDE w:val="0"/>
        <w:autoSpaceDN w:val="0"/>
        <w:spacing w:before="160" w:line="240" w:lineRule="auto"/>
        <w:ind w:left="720"/>
      </w:pPr>
      <w:r>
        <w:t>Are there alternatives or design modifications that could improve climate resilience?</w:t>
      </w:r>
    </w:p>
    <w:p w14:paraId="45C668FF" w14:textId="31B8FDDB" w:rsidR="0022657B" w:rsidRDefault="00CF71BD">
      <w:pPr>
        <w:pStyle w:val="ListParagraph"/>
        <w:widowControl w:val="0"/>
        <w:numPr>
          <w:ilvl w:val="0"/>
          <w:numId w:val="33"/>
        </w:numPr>
        <w:tabs>
          <w:tab w:val="left" w:pos="1620"/>
        </w:tabs>
        <w:autoSpaceDE w:val="0"/>
        <w:autoSpaceDN w:val="0"/>
        <w:spacing w:before="160" w:line="240" w:lineRule="auto"/>
        <w:ind w:left="720"/>
      </w:pPr>
      <w:r>
        <w:t xml:space="preserve">Does it explicitly consider social vulnerability or equity? </w:t>
      </w:r>
    </w:p>
    <w:p w14:paraId="5CBDC813" w14:textId="77777777"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Does it explicitly consider vulnerable or historically underserved populations?</w:t>
      </w:r>
    </w:p>
    <w:p w14:paraId="047A739F" w14:textId="3738C0AB"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How well are strategies working in practice today?</w:t>
      </w:r>
    </w:p>
    <w:p w14:paraId="34211597" w14:textId="245DEEF0" w:rsidR="001E57CE" w:rsidRPr="00B17CBE" w:rsidRDefault="001E57CE">
      <w:pPr>
        <w:pStyle w:val="ListParagraph"/>
        <w:widowControl w:val="0"/>
        <w:numPr>
          <w:ilvl w:val="0"/>
          <w:numId w:val="33"/>
        </w:numPr>
        <w:tabs>
          <w:tab w:val="left" w:pos="1620"/>
        </w:tabs>
        <w:autoSpaceDE w:val="0"/>
        <w:autoSpaceDN w:val="0"/>
        <w:spacing w:before="160" w:line="240" w:lineRule="auto"/>
        <w:ind w:left="720"/>
      </w:pPr>
      <w:r>
        <w:t>What partnerships are recommended in the strategy?</w:t>
      </w:r>
    </w:p>
    <w:p w14:paraId="68B24458" w14:textId="3C2C1FB2"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Where do implementation challenges exist?</w:t>
      </w:r>
    </w:p>
    <w:p w14:paraId="19F4DCE8" w14:textId="1043B465" w:rsidR="00CF71BD" w:rsidRPr="00B17CBE" w:rsidRDefault="00C07C2F">
      <w:pPr>
        <w:pStyle w:val="ListParagraph"/>
        <w:widowControl w:val="0"/>
        <w:numPr>
          <w:ilvl w:val="0"/>
          <w:numId w:val="33"/>
        </w:numPr>
        <w:tabs>
          <w:tab w:val="left" w:pos="1620"/>
        </w:tabs>
        <w:autoSpaceDE w:val="0"/>
        <w:autoSpaceDN w:val="0"/>
        <w:spacing w:before="160" w:line="240" w:lineRule="auto"/>
        <w:ind w:left="720"/>
      </w:pPr>
      <w:r>
        <w:t>Are strategies expected to remain effective under future climate conditions?</w:t>
      </w:r>
    </w:p>
    <w:p w14:paraId="61CB6A33" w14:textId="3DD3F8D8" w:rsidR="00CF71BD" w:rsidRPr="00B17CBE" w:rsidRDefault="00CF71BD">
      <w:pPr>
        <w:pStyle w:val="ListParagraph"/>
        <w:widowControl w:val="0"/>
        <w:numPr>
          <w:ilvl w:val="0"/>
          <w:numId w:val="33"/>
        </w:numPr>
        <w:tabs>
          <w:tab w:val="left" w:pos="1620"/>
        </w:tabs>
        <w:autoSpaceDE w:val="0"/>
        <w:autoSpaceDN w:val="0"/>
        <w:spacing w:before="160" w:line="240" w:lineRule="auto"/>
        <w:ind w:left="720"/>
      </w:pPr>
      <w:r>
        <w:t>How well do strategies account for compounding or cascading impacts?</w:t>
      </w:r>
    </w:p>
    <w:p w14:paraId="53B61007" w14:textId="76278536" w:rsidR="000E0330" w:rsidRDefault="00CF71BD" w:rsidP="00F5579B">
      <w:pPr>
        <w:spacing w:before="160" w:line="240" w:lineRule="auto"/>
      </w:pPr>
      <w:r>
        <w:t>Integrating insights from the interviews will help distinguish between strategies that exist on paper and those that are meaningfully reducing risk in the community.</w:t>
      </w:r>
    </w:p>
    <w:p w14:paraId="6C28F543" w14:textId="7576D70E" w:rsidR="008B1E91" w:rsidRDefault="00860CB6" w:rsidP="00F5579B">
      <w:pPr>
        <w:spacing w:before="160" w:line="240" w:lineRule="auto"/>
      </w:pPr>
      <w:r>
        <w:t xml:space="preserve">Additionally, where possible, integrate insights from partner interviews conducted in </w:t>
      </w:r>
      <w:hyperlink w:anchor="_Step_2.2D:_Outreach" w:history="1">
        <w:r w:rsidR="00113E11">
          <w:rPr>
            <w:rStyle w:val="Hyperlink"/>
          </w:rPr>
          <w:t>Step 2.2D</w:t>
        </w:r>
      </w:hyperlink>
      <w:r w:rsidR="00113E11">
        <w:t xml:space="preserve">. </w:t>
      </w:r>
      <w:r>
        <w:t>During that step, the planning team likely engaged with interviewees who can help them gain more insight into the community’s adaptive capacity.</w:t>
      </w:r>
    </w:p>
    <w:p w14:paraId="3A27FC89" w14:textId="77777777" w:rsidR="005E03F5" w:rsidRDefault="005E03F5" w:rsidP="00F5579B">
      <w:pPr>
        <w:spacing w:before="160" w:line="240" w:lineRule="auto"/>
      </w:pPr>
    </w:p>
    <w:p w14:paraId="1A63AAA5" w14:textId="77777777" w:rsidR="005E03F5" w:rsidRDefault="005E03F5" w:rsidP="00F5579B">
      <w:pPr>
        <w:spacing w:before="160" w:line="240" w:lineRule="auto"/>
      </w:pPr>
    </w:p>
    <w:p w14:paraId="288EEE94" w14:textId="77777777" w:rsidR="005E03F5" w:rsidRDefault="005E03F5" w:rsidP="00F5579B">
      <w:pPr>
        <w:spacing w:before="160" w:line="240" w:lineRule="auto"/>
      </w:pPr>
    </w:p>
    <w:p w14:paraId="18FBFED0" w14:textId="77777777" w:rsidR="005E03F5" w:rsidRDefault="005E03F5" w:rsidP="00F5579B">
      <w:pPr>
        <w:spacing w:before="160" w:line="240" w:lineRule="auto"/>
      </w:pPr>
    </w:p>
    <w:p w14:paraId="2858F838" w14:textId="77777777" w:rsidR="005E03F5" w:rsidRDefault="005E03F5" w:rsidP="00F5579B">
      <w:pPr>
        <w:spacing w:before="160" w:line="240" w:lineRule="auto"/>
      </w:pPr>
    </w:p>
    <w:p w14:paraId="7BB3349C" w14:textId="77777777" w:rsidR="005E03F5" w:rsidRDefault="005E03F5" w:rsidP="00F5579B">
      <w:pPr>
        <w:spacing w:before="160" w:line="240" w:lineRule="auto"/>
      </w:pPr>
    </w:p>
    <w:p w14:paraId="13BAB9C9" w14:textId="77777777" w:rsidR="005E03F5" w:rsidRDefault="005E03F5" w:rsidP="00F5579B">
      <w:pPr>
        <w:spacing w:before="160" w:line="240" w:lineRule="auto"/>
      </w:pPr>
    </w:p>
    <w:p w14:paraId="33CE0787" w14:textId="77777777" w:rsidR="005E03F5" w:rsidRDefault="005E03F5" w:rsidP="00F5579B">
      <w:pPr>
        <w:spacing w:before="160" w:line="240" w:lineRule="auto"/>
      </w:pPr>
    </w:p>
    <w:p w14:paraId="5BC3E4B1" w14:textId="77777777" w:rsidR="005E03F5" w:rsidRDefault="005E03F5" w:rsidP="00F5579B">
      <w:pPr>
        <w:spacing w:before="160" w:line="240" w:lineRule="auto"/>
      </w:pPr>
    </w:p>
    <w:tbl>
      <w:tblPr>
        <w:tblStyle w:val="TableGrid"/>
        <w:tblW w:w="10260" w:type="dxa"/>
        <w:tblInd w:w="-450" w:type="dxa"/>
        <w:tblLayout w:type="fixed"/>
        <w:tblLook w:val="04A0" w:firstRow="1" w:lastRow="0" w:firstColumn="1" w:lastColumn="0" w:noHBand="0" w:noVBand="1"/>
      </w:tblPr>
      <w:tblGrid>
        <w:gridCol w:w="10260"/>
      </w:tblGrid>
      <w:tr w:rsidR="000E0330" w:rsidRPr="000E0330" w14:paraId="5D5F1B07" w14:textId="77777777" w:rsidTr="00BE48FE">
        <w:trPr>
          <w:trHeight w:val="576"/>
        </w:trPr>
        <w:tc>
          <w:tcPr>
            <w:tcW w:w="10260" w:type="dxa"/>
            <w:tcBorders>
              <w:top w:val="nil"/>
              <w:left w:val="nil"/>
              <w:bottom w:val="nil"/>
              <w:right w:val="nil"/>
            </w:tcBorders>
            <w:shd w:val="clear" w:color="auto" w:fill="14581C"/>
            <w:vAlign w:val="center"/>
          </w:tcPr>
          <w:p w14:paraId="3F20836F" w14:textId="04CFD691" w:rsidR="000E0330" w:rsidRPr="000E0330" w:rsidRDefault="008A4B33" w:rsidP="00BB5ACB">
            <w:pPr>
              <w:rPr>
                <w:b/>
                <w:bCs/>
                <w:color w:val="FFFFFF" w:themeColor="background1"/>
              </w:rPr>
            </w:pPr>
            <w:r>
              <w:rPr>
                <w:b/>
                <w:color w:val="FFFFFF" w:themeColor="background1"/>
              </w:rPr>
              <w:t xml:space="preserve">Put It into Practice </w:t>
            </w:r>
          </w:p>
        </w:tc>
      </w:tr>
      <w:tr w:rsidR="00BD6FC2" w14:paraId="17561F6F" w14:textId="77777777" w:rsidTr="00BE48FE">
        <w:trPr>
          <w:trHeight w:val="3888"/>
        </w:trPr>
        <w:tc>
          <w:tcPr>
            <w:tcW w:w="10260" w:type="dxa"/>
            <w:tcBorders>
              <w:top w:val="nil"/>
              <w:left w:val="nil"/>
              <w:bottom w:val="nil"/>
              <w:right w:val="nil"/>
            </w:tcBorders>
            <w:shd w:val="clear" w:color="auto" w:fill="C1F0C7" w:themeFill="accent3" w:themeFillTint="33"/>
          </w:tcPr>
          <w:p w14:paraId="6E817306" w14:textId="77777777" w:rsidR="00517691" w:rsidRPr="00517691" w:rsidRDefault="007479C9" w:rsidP="00517691">
            <w:pPr>
              <w:spacing w:before="120"/>
              <w:rPr>
                <w:b/>
                <w:bCs/>
              </w:rPr>
            </w:pPr>
            <w:r>
              <w:rPr>
                <w:color w:val="000000" w:themeColor="text1"/>
              </w:rPr>
              <w:t xml:space="preserve">See </w:t>
            </w:r>
            <w:r>
              <w:rPr>
                <w:b/>
                <w:bCs/>
                <w:color w:val="000000" w:themeColor="text1"/>
              </w:rPr>
              <w:t xml:space="preserve">Appendix C – </w:t>
            </w:r>
            <w:r>
              <w:rPr>
                <w:b/>
                <w:bCs/>
                <w:color w:val="000000" w:themeColor="text1"/>
              </w:rPr>
              <w:fldChar w:fldCharType="begin"/>
            </w:r>
            <w:r>
              <w:rPr>
                <w:b/>
                <w:bCs/>
                <w:color w:val="000000" w:themeColor="text1"/>
              </w:rPr>
              <w:instrText xml:space="preserve"> REF _Ref230258774 \h  \* MERGEFORMAT </w:instrText>
            </w:r>
            <w:r>
              <w:rPr>
                <w:b/>
                <w:bCs/>
                <w:color w:val="000000" w:themeColor="text1"/>
              </w:rPr>
            </w:r>
            <w:r>
              <w:rPr>
                <w:b/>
                <w:bCs/>
                <w:color w:val="000000" w:themeColor="text1"/>
              </w:rPr>
              <w:fldChar w:fldCharType="separate"/>
            </w:r>
            <w:r w:rsidR="00517691" w:rsidRPr="00517691">
              <w:rPr>
                <w:b/>
                <w:bCs/>
              </w:rPr>
              <w:br w:type="page"/>
            </w:r>
          </w:p>
          <w:p w14:paraId="40B667B4" w14:textId="22045848" w:rsidR="00F0567B" w:rsidRPr="002C260E" w:rsidRDefault="00517691" w:rsidP="002C260E">
            <w:pPr>
              <w:spacing w:before="120"/>
              <w:rPr>
                <w:b/>
                <w:bCs/>
                <w:color w:val="000000" w:themeColor="text1"/>
              </w:rPr>
            </w:pPr>
            <w:r w:rsidRPr="00517691">
              <w:rPr>
                <w:b/>
              </w:rPr>
              <w:t>Adaptive Capacity</w:t>
            </w:r>
            <w:r>
              <w:rPr>
                <w:bCs/>
              </w:rPr>
              <w:t xml:space="preserve"> Strategies</w:t>
            </w:r>
            <w:r w:rsidR="007479C9">
              <w:rPr>
                <w:b/>
                <w:bCs/>
                <w:color w:val="000000" w:themeColor="text1"/>
              </w:rPr>
              <w:fldChar w:fldCharType="end"/>
            </w:r>
          </w:p>
          <w:p w14:paraId="1CEF93E7" w14:textId="62B4ABE6" w:rsidR="00BD6FC2" w:rsidRPr="00F0567B" w:rsidRDefault="00BD6FC2" w:rsidP="00BC3D25">
            <w:pPr>
              <w:spacing w:before="120" w:after="160"/>
              <w:rPr>
                <w:b/>
                <w:iCs/>
                <w:color w:val="000000" w:themeColor="text1"/>
              </w:rPr>
            </w:pPr>
            <w:r>
              <w:rPr>
                <w:color w:val="000000" w:themeColor="text1"/>
              </w:rPr>
              <w:t>Use the table below to pull out specific policies, programs, or strategies related to adaptive capacity that can, will, or have helped to manage the climate vulnerabilities in the community. Note: Some documents outline “goals” that are recommended but lack implementation plans. These can be noted, but it is recommended to indicate that the strategy does not have an implementation plan in the “Status” column.</w:t>
            </w:r>
          </w:p>
          <w:tbl>
            <w:tblPr>
              <w:tblStyle w:val="TableGrid"/>
              <w:tblW w:w="10691" w:type="dxa"/>
              <w:tblLayout w:type="fixed"/>
              <w:tblLook w:val="06A0" w:firstRow="1" w:lastRow="0" w:firstColumn="1" w:lastColumn="0" w:noHBand="1" w:noVBand="1"/>
              <w:tblCaption w:val="Adaptive capacity policies, programs, and strategies to help manage climate vulnerabilities"/>
              <w:tblDescription w:val="Fillable table to track items in table title"/>
            </w:tblPr>
            <w:tblGrid>
              <w:gridCol w:w="1691"/>
              <w:gridCol w:w="1170"/>
              <w:gridCol w:w="1440"/>
              <w:gridCol w:w="1350"/>
              <w:gridCol w:w="1800"/>
              <w:gridCol w:w="1620"/>
              <w:gridCol w:w="1620"/>
            </w:tblGrid>
            <w:tr w:rsidR="00BD6FC2" w:rsidRPr="00311DB0" w14:paraId="14E1979E" w14:textId="77777777" w:rsidTr="0038170A">
              <w:trPr>
                <w:trHeight w:val="300"/>
              </w:trPr>
              <w:tc>
                <w:tcPr>
                  <w:tcW w:w="1691" w:type="dxa"/>
                  <w:vAlign w:val="center"/>
                </w:tcPr>
                <w:p w14:paraId="2E09C73B" w14:textId="2C30565F" w:rsidR="00BD6FC2" w:rsidRPr="00977814" w:rsidRDefault="00BD6FC2" w:rsidP="00B83316">
                  <w:pPr>
                    <w:ind w:left="-125" w:right="-114"/>
                    <w:jc w:val="center"/>
                    <w:rPr>
                      <w:b/>
                      <w:bCs/>
                      <w:color w:val="000000" w:themeColor="text1"/>
                    </w:rPr>
                  </w:pPr>
                  <w:r>
                    <w:rPr>
                      <w:b/>
                      <w:bCs/>
                      <w:color w:val="000000" w:themeColor="text1"/>
                    </w:rPr>
                    <w:t>Source (e.g., General Plan) and Plan Adoption  Date</w:t>
                  </w:r>
                </w:p>
              </w:tc>
              <w:tc>
                <w:tcPr>
                  <w:tcW w:w="1170" w:type="dxa"/>
                  <w:vAlign w:val="center"/>
                </w:tcPr>
                <w:p w14:paraId="482CF2C2" w14:textId="2DAE446B" w:rsidR="00BD6FC2" w:rsidRPr="00977814" w:rsidRDefault="00BD6FC2" w:rsidP="00B83316">
                  <w:pPr>
                    <w:ind w:left="-109" w:right="-110"/>
                    <w:jc w:val="center"/>
                    <w:rPr>
                      <w:b/>
                      <w:bCs/>
                      <w:color w:val="000000" w:themeColor="text1"/>
                    </w:rPr>
                  </w:pPr>
                  <w:r>
                    <w:rPr>
                      <w:b/>
                      <w:bCs/>
                      <w:color w:val="000000" w:themeColor="text1"/>
                    </w:rPr>
                    <w:t>Relevant Policy or Strategy</w:t>
                  </w:r>
                </w:p>
              </w:tc>
              <w:tc>
                <w:tcPr>
                  <w:tcW w:w="1440" w:type="dxa"/>
                  <w:vAlign w:val="center"/>
                </w:tcPr>
                <w:p w14:paraId="7F69CB86" w14:textId="41A2FE77" w:rsidR="00BD6FC2" w:rsidRPr="00977814" w:rsidRDefault="00BD6FC2" w:rsidP="00420FB2">
                  <w:pPr>
                    <w:ind w:left="-102" w:right="-98"/>
                    <w:jc w:val="center"/>
                    <w:rPr>
                      <w:b/>
                      <w:bCs/>
                      <w:color w:val="000000" w:themeColor="text1"/>
                    </w:rPr>
                  </w:pPr>
                  <w:r>
                    <w:rPr>
                      <w:b/>
                      <w:bCs/>
                      <w:color w:val="000000" w:themeColor="text1"/>
                    </w:rPr>
                    <w:t>Climate Impacts Addressed</w:t>
                  </w:r>
                </w:p>
              </w:tc>
              <w:tc>
                <w:tcPr>
                  <w:tcW w:w="1350" w:type="dxa"/>
                  <w:vAlign w:val="center"/>
                </w:tcPr>
                <w:p w14:paraId="18B1C5B9" w14:textId="2DE1147D" w:rsidR="00BD6FC2" w:rsidRPr="00977814" w:rsidRDefault="00BD6FC2" w:rsidP="00420FB2">
                  <w:pPr>
                    <w:ind w:left="-102" w:right="-108"/>
                    <w:jc w:val="center"/>
                    <w:rPr>
                      <w:b/>
                      <w:bCs/>
                      <w:color w:val="000000" w:themeColor="text1"/>
                    </w:rPr>
                  </w:pPr>
                  <w:r>
                    <w:rPr>
                      <w:b/>
                      <w:bCs/>
                      <w:color w:val="000000" w:themeColor="text1"/>
                    </w:rPr>
                    <w:t>Timeframe</w:t>
                  </w:r>
                </w:p>
              </w:tc>
              <w:tc>
                <w:tcPr>
                  <w:tcW w:w="1800" w:type="dxa"/>
                  <w:vAlign w:val="center"/>
                </w:tcPr>
                <w:p w14:paraId="76FB0F5D" w14:textId="496347B6" w:rsidR="00BD6FC2" w:rsidRPr="00977814" w:rsidRDefault="00BD6FC2" w:rsidP="00595D9C">
                  <w:pPr>
                    <w:ind w:left="-103" w:right="-104"/>
                    <w:jc w:val="center"/>
                    <w:rPr>
                      <w:b/>
                      <w:bCs/>
                      <w:color w:val="000000" w:themeColor="text1"/>
                    </w:rPr>
                  </w:pPr>
                  <w:r>
                    <w:rPr>
                      <w:b/>
                      <w:bCs/>
                      <w:color w:val="000000" w:themeColor="text1"/>
                    </w:rPr>
                    <w:t>Status (Implemented, In Progress)</w:t>
                  </w:r>
                </w:p>
              </w:tc>
              <w:tc>
                <w:tcPr>
                  <w:tcW w:w="1620" w:type="dxa"/>
                  <w:vAlign w:val="center"/>
                </w:tcPr>
                <w:p w14:paraId="188955BA" w14:textId="50EE6726" w:rsidR="00BD6FC2" w:rsidRPr="00977814" w:rsidRDefault="00BD6FC2" w:rsidP="0038170A">
                  <w:pPr>
                    <w:ind w:left="-109" w:right="-107"/>
                    <w:jc w:val="center"/>
                    <w:rPr>
                      <w:b/>
                      <w:bCs/>
                      <w:color w:val="000000" w:themeColor="text1"/>
                    </w:rPr>
                  </w:pPr>
                  <w:r>
                    <w:rPr>
                      <w:b/>
                      <w:bCs/>
                      <w:color w:val="000000" w:themeColor="text1"/>
                    </w:rPr>
                    <w:t>Opportunities to Strengthen Strategy</w:t>
                  </w:r>
                </w:p>
              </w:tc>
              <w:tc>
                <w:tcPr>
                  <w:tcW w:w="1620" w:type="dxa"/>
                  <w:vAlign w:val="center"/>
                </w:tcPr>
                <w:p w14:paraId="67AA8C9F" w14:textId="7D7C2BC2" w:rsidR="00BD6FC2" w:rsidRPr="00977814" w:rsidRDefault="00BD6FC2" w:rsidP="0038170A">
                  <w:pPr>
                    <w:ind w:left="-106" w:right="-110"/>
                    <w:jc w:val="center"/>
                    <w:rPr>
                      <w:b/>
                      <w:bCs/>
                      <w:color w:val="000000" w:themeColor="text1"/>
                    </w:rPr>
                  </w:pPr>
                  <w:r>
                    <w:rPr>
                      <w:b/>
                      <w:bCs/>
                      <w:color w:val="000000" w:themeColor="text1"/>
                    </w:rPr>
                    <w:t>Addresses Social Vulnerability?</w:t>
                  </w:r>
                </w:p>
              </w:tc>
            </w:tr>
            <w:tr w:rsidR="00BD6FC2" w:rsidRPr="00311DB0" w14:paraId="2E4F420B" w14:textId="77777777" w:rsidTr="0038170A">
              <w:trPr>
                <w:trHeight w:val="300"/>
              </w:trPr>
              <w:tc>
                <w:tcPr>
                  <w:tcW w:w="1691" w:type="dxa"/>
                </w:tcPr>
                <w:p w14:paraId="2D82326F" w14:textId="77777777" w:rsidR="00BD6FC2" w:rsidRPr="00311DB0" w:rsidRDefault="00BD6FC2" w:rsidP="00BB5ACB">
                  <w:pPr>
                    <w:rPr>
                      <w:color w:val="000000" w:themeColor="text1"/>
                    </w:rPr>
                  </w:pPr>
                </w:p>
              </w:tc>
              <w:tc>
                <w:tcPr>
                  <w:tcW w:w="1170" w:type="dxa"/>
                </w:tcPr>
                <w:p w14:paraId="76D5A257" w14:textId="77777777" w:rsidR="00BD6FC2" w:rsidRPr="00311DB0" w:rsidRDefault="00BD6FC2" w:rsidP="00BB5ACB">
                  <w:pPr>
                    <w:rPr>
                      <w:color w:val="000000" w:themeColor="text1"/>
                    </w:rPr>
                  </w:pPr>
                </w:p>
              </w:tc>
              <w:tc>
                <w:tcPr>
                  <w:tcW w:w="1440" w:type="dxa"/>
                </w:tcPr>
                <w:p w14:paraId="7CC1D186" w14:textId="77777777" w:rsidR="00BD6FC2" w:rsidRPr="00311DB0" w:rsidRDefault="00BD6FC2" w:rsidP="00BB5ACB">
                  <w:pPr>
                    <w:rPr>
                      <w:color w:val="000000" w:themeColor="text1"/>
                    </w:rPr>
                  </w:pPr>
                </w:p>
              </w:tc>
              <w:tc>
                <w:tcPr>
                  <w:tcW w:w="1350" w:type="dxa"/>
                </w:tcPr>
                <w:p w14:paraId="328FED81" w14:textId="77777777" w:rsidR="00BD6FC2" w:rsidRPr="00311DB0" w:rsidRDefault="00BD6FC2" w:rsidP="00BB5ACB">
                  <w:pPr>
                    <w:rPr>
                      <w:color w:val="000000" w:themeColor="text1"/>
                    </w:rPr>
                  </w:pPr>
                </w:p>
              </w:tc>
              <w:tc>
                <w:tcPr>
                  <w:tcW w:w="1800" w:type="dxa"/>
                </w:tcPr>
                <w:p w14:paraId="56973006" w14:textId="77777777" w:rsidR="00BD6FC2" w:rsidRPr="00311DB0" w:rsidRDefault="00BD6FC2" w:rsidP="00BB5ACB">
                  <w:pPr>
                    <w:rPr>
                      <w:color w:val="000000" w:themeColor="text1"/>
                    </w:rPr>
                  </w:pPr>
                </w:p>
              </w:tc>
              <w:tc>
                <w:tcPr>
                  <w:tcW w:w="1620" w:type="dxa"/>
                </w:tcPr>
                <w:p w14:paraId="011A3EEF" w14:textId="77777777" w:rsidR="00BD6FC2" w:rsidRPr="00311DB0" w:rsidRDefault="00BD6FC2" w:rsidP="00BB5ACB">
                  <w:pPr>
                    <w:rPr>
                      <w:color w:val="000000" w:themeColor="text1"/>
                    </w:rPr>
                  </w:pPr>
                </w:p>
              </w:tc>
              <w:tc>
                <w:tcPr>
                  <w:tcW w:w="1620" w:type="dxa"/>
                </w:tcPr>
                <w:p w14:paraId="66ED07C0" w14:textId="77777777" w:rsidR="00BD6FC2" w:rsidRPr="00311DB0" w:rsidRDefault="00BD6FC2" w:rsidP="00BB5ACB">
                  <w:pPr>
                    <w:rPr>
                      <w:color w:val="000000" w:themeColor="text1"/>
                    </w:rPr>
                  </w:pPr>
                </w:p>
              </w:tc>
            </w:tr>
            <w:tr w:rsidR="00BD6FC2" w:rsidRPr="00311DB0" w14:paraId="17364559" w14:textId="77777777" w:rsidTr="0038170A">
              <w:trPr>
                <w:trHeight w:val="300"/>
              </w:trPr>
              <w:tc>
                <w:tcPr>
                  <w:tcW w:w="1691" w:type="dxa"/>
                </w:tcPr>
                <w:p w14:paraId="31A57783" w14:textId="77777777" w:rsidR="00BD6FC2" w:rsidRPr="00311DB0" w:rsidRDefault="00BD6FC2" w:rsidP="00BB5ACB">
                  <w:pPr>
                    <w:rPr>
                      <w:color w:val="000000" w:themeColor="text1"/>
                    </w:rPr>
                  </w:pPr>
                </w:p>
              </w:tc>
              <w:tc>
                <w:tcPr>
                  <w:tcW w:w="1170" w:type="dxa"/>
                </w:tcPr>
                <w:p w14:paraId="33E6BC6D" w14:textId="77777777" w:rsidR="00BD6FC2" w:rsidRPr="00311DB0" w:rsidRDefault="00BD6FC2" w:rsidP="00BB5ACB">
                  <w:pPr>
                    <w:rPr>
                      <w:color w:val="000000" w:themeColor="text1"/>
                    </w:rPr>
                  </w:pPr>
                </w:p>
              </w:tc>
              <w:tc>
                <w:tcPr>
                  <w:tcW w:w="1440" w:type="dxa"/>
                </w:tcPr>
                <w:p w14:paraId="35D7614A" w14:textId="77777777" w:rsidR="00BD6FC2" w:rsidRPr="00311DB0" w:rsidRDefault="00BD6FC2" w:rsidP="00BB5ACB">
                  <w:pPr>
                    <w:rPr>
                      <w:color w:val="000000" w:themeColor="text1"/>
                    </w:rPr>
                  </w:pPr>
                </w:p>
              </w:tc>
              <w:tc>
                <w:tcPr>
                  <w:tcW w:w="1350" w:type="dxa"/>
                </w:tcPr>
                <w:p w14:paraId="22BC167F" w14:textId="77777777" w:rsidR="00BD6FC2" w:rsidRPr="00311DB0" w:rsidRDefault="00BD6FC2" w:rsidP="00BB5ACB">
                  <w:pPr>
                    <w:rPr>
                      <w:color w:val="000000" w:themeColor="text1"/>
                    </w:rPr>
                  </w:pPr>
                </w:p>
              </w:tc>
              <w:tc>
                <w:tcPr>
                  <w:tcW w:w="1800" w:type="dxa"/>
                </w:tcPr>
                <w:p w14:paraId="24B7CBF9" w14:textId="77777777" w:rsidR="00BD6FC2" w:rsidRPr="00311DB0" w:rsidRDefault="00BD6FC2" w:rsidP="00BB5ACB">
                  <w:pPr>
                    <w:rPr>
                      <w:color w:val="000000" w:themeColor="text1"/>
                    </w:rPr>
                  </w:pPr>
                </w:p>
              </w:tc>
              <w:tc>
                <w:tcPr>
                  <w:tcW w:w="1620" w:type="dxa"/>
                </w:tcPr>
                <w:p w14:paraId="3A18CE06" w14:textId="77777777" w:rsidR="00BD6FC2" w:rsidRPr="00311DB0" w:rsidRDefault="00BD6FC2" w:rsidP="00BB5ACB">
                  <w:pPr>
                    <w:rPr>
                      <w:color w:val="000000" w:themeColor="text1"/>
                    </w:rPr>
                  </w:pPr>
                </w:p>
              </w:tc>
              <w:tc>
                <w:tcPr>
                  <w:tcW w:w="1620" w:type="dxa"/>
                </w:tcPr>
                <w:p w14:paraId="64A4895B" w14:textId="77777777" w:rsidR="00BD6FC2" w:rsidRPr="00311DB0" w:rsidRDefault="00BD6FC2" w:rsidP="00BB5ACB">
                  <w:pPr>
                    <w:rPr>
                      <w:color w:val="000000" w:themeColor="text1"/>
                    </w:rPr>
                  </w:pPr>
                </w:p>
              </w:tc>
            </w:tr>
          </w:tbl>
          <w:p w14:paraId="180F2048" w14:textId="2B36F590" w:rsidR="00BD6FC2" w:rsidRPr="00CD024B" w:rsidRDefault="00CD024B" w:rsidP="00BB5ACB">
            <w:pPr>
              <w:rPr>
                <w:sz w:val="12"/>
                <w:szCs w:val="12"/>
              </w:rPr>
            </w:pPr>
            <w:r>
              <w:rPr>
                <w:sz w:val="12"/>
                <w:szCs w:val="12"/>
              </w:rPr>
              <w:t xml:space="preserve">  </w:t>
            </w:r>
          </w:p>
        </w:tc>
      </w:tr>
    </w:tbl>
    <w:p w14:paraId="1532A80F" w14:textId="77777777" w:rsidR="00BD6FC2" w:rsidRDefault="00BD6FC2" w:rsidP="00807A06">
      <w:pPr>
        <w:spacing w:after="0" w:line="240" w:lineRule="auto"/>
      </w:pPr>
    </w:p>
    <w:tbl>
      <w:tblPr>
        <w:tblStyle w:val="TableGrid"/>
        <w:tblW w:w="9450" w:type="dxa"/>
        <w:tblLook w:val="04A0" w:firstRow="1" w:lastRow="0" w:firstColumn="1" w:lastColumn="0" w:noHBand="0" w:noVBand="1"/>
      </w:tblPr>
      <w:tblGrid>
        <w:gridCol w:w="9450"/>
      </w:tblGrid>
      <w:tr w:rsidR="006B7348" w:rsidRPr="006B7348" w14:paraId="5DF3E235" w14:textId="77777777" w:rsidTr="00684D37">
        <w:trPr>
          <w:trHeight w:val="576"/>
        </w:trPr>
        <w:tc>
          <w:tcPr>
            <w:tcW w:w="9450" w:type="dxa"/>
            <w:tcBorders>
              <w:top w:val="nil"/>
              <w:left w:val="nil"/>
              <w:bottom w:val="nil"/>
              <w:right w:val="nil"/>
            </w:tcBorders>
            <w:shd w:val="clear" w:color="auto" w:fill="58257F"/>
            <w:vAlign w:val="center"/>
          </w:tcPr>
          <w:p w14:paraId="61498EB0" w14:textId="747857FC" w:rsidR="003E7AEC" w:rsidRPr="006B7348" w:rsidRDefault="003E7AEC" w:rsidP="00BB5ACB">
            <w:pPr>
              <w:rPr>
                <w:b/>
                <w:bCs/>
                <w:color w:val="FFFFFF" w:themeColor="background1"/>
              </w:rPr>
            </w:pPr>
            <w:r>
              <w:rPr>
                <w:b/>
                <w:color w:val="FFFFFF" w:themeColor="background1"/>
              </w:rPr>
              <w:t>Policy</w:t>
            </w:r>
            <w:r>
              <w:rPr>
                <w:b/>
                <w:bCs/>
                <w:color w:val="FFFFFF" w:themeColor="background1"/>
              </w:rPr>
              <w:t xml:space="preserve"> </w:t>
            </w:r>
            <w:r>
              <w:rPr>
                <w:b/>
                <w:color w:val="FFFFFF" w:themeColor="background1"/>
              </w:rPr>
              <w:t>Connection:</w:t>
            </w:r>
            <w:r>
              <w:rPr>
                <w:b/>
                <w:bCs/>
                <w:color w:val="FFFFFF" w:themeColor="background1"/>
              </w:rPr>
              <w:t xml:space="preserve"> </w:t>
            </w:r>
            <w:r>
              <w:rPr>
                <w:b/>
                <w:color w:val="FFFFFF" w:themeColor="background1"/>
              </w:rPr>
              <w:t xml:space="preserve">Tribal Hazard Mitigation Plans </w:t>
            </w:r>
          </w:p>
        </w:tc>
      </w:tr>
      <w:tr w:rsidR="003E7AEC" w14:paraId="7B487916" w14:textId="77777777" w:rsidTr="00675F67">
        <w:tc>
          <w:tcPr>
            <w:tcW w:w="9450" w:type="dxa"/>
            <w:tcBorders>
              <w:top w:val="nil"/>
              <w:left w:val="nil"/>
              <w:bottom w:val="nil"/>
              <w:right w:val="nil"/>
            </w:tcBorders>
            <w:shd w:val="clear" w:color="auto" w:fill="D6BBEB"/>
          </w:tcPr>
          <w:p w14:paraId="3BB81A3C" w14:textId="47155BD7" w:rsidR="00C772CA" w:rsidRPr="00804A99" w:rsidRDefault="00C772CA" w:rsidP="00B83316">
            <w:pPr>
              <w:spacing w:before="120" w:after="160"/>
            </w:pPr>
            <w:r>
              <w:t>Tribal hazard mitigation plans should describe the Tribe’s existing capabilities to reduce hazard risks, including both pre-disaster and post-disaster policies and programs. These may include land use and environmental protection regulations, floodplain management and building codes, participation in the National Flood Insurance Program (NFIP), as well as recovery planning, grants management capacity, and long-term recovery procedures.</w:t>
            </w:r>
          </w:p>
          <w:p w14:paraId="41BC990E" w14:textId="04377B86" w:rsidR="003E7AEC" w:rsidRPr="008E5484" w:rsidRDefault="00C772CA" w:rsidP="00B83316">
            <w:pPr>
              <w:spacing w:before="160" w:after="120"/>
            </w:pPr>
            <w:r>
              <w:t>The</w:t>
            </w:r>
            <w:r>
              <w:rPr>
                <w:color w:val="3333FF"/>
              </w:rPr>
              <w:t xml:space="preserve"> </w:t>
            </w:r>
            <w:hyperlink r:id="rId207" w:history="1">
              <w:r w:rsidRPr="00B96EE4">
                <w:rPr>
                  <w:rStyle w:val="Hyperlink"/>
                  <w:color w:val="0000AF"/>
                </w:rPr>
                <w:t>Tribal Mitigation Planning Handbook</w:t>
              </w:r>
            </w:hyperlink>
            <w:r>
              <w:t xml:space="preserve"> notes that each Tribe has unique capabilities that should be reviewed to identify existing resources, gaps, and priorities for reducing losses. These include planning, regulatory, and program tools such as ordinances, policies, land use and natural resource plans, economic development strategies, emergency management systems, culturally grounded practices, and communication methods that support preparedness and mitigation. </w:t>
            </w:r>
          </w:p>
        </w:tc>
      </w:tr>
    </w:tbl>
    <w:p w14:paraId="13D5E71B" w14:textId="77777777" w:rsidR="003C4DDE" w:rsidRPr="00B17CBE" w:rsidRDefault="003C4DDE" w:rsidP="00F5579B">
      <w:pPr>
        <w:spacing w:before="160" w:line="240" w:lineRule="auto"/>
      </w:pPr>
    </w:p>
    <w:p w14:paraId="4AC0D0F7" w14:textId="6C53FA4E" w:rsidR="00CF71BD" w:rsidRPr="00B17CBE" w:rsidDel="008C3892" w:rsidRDefault="00596628" w:rsidP="00F5579B">
      <w:pPr>
        <w:pStyle w:val="Heading3"/>
        <w:spacing w:after="160" w:line="240" w:lineRule="auto"/>
        <w:rPr>
          <w:i/>
          <w:iCs/>
        </w:rPr>
      </w:pPr>
      <w:bookmarkStart w:id="125" w:name="_Toc235802700"/>
      <w:r>
        <w:t>Step 2.3C: Outreach and Engagement</w:t>
      </w:r>
      <w:bookmarkEnd w:id="125"/>
    </w:p>
    <w:p w14:paraId="4050D52B" w14:textId="554B4B0D" w:rsidR="00CF71BD" w:rsidRPr="00B17CBE" w:rsidDel="008C3892" w:rsidRDefault="00CF71BD" w:rsidP="00F5579B">
      <w:pPr>
        <w:spacing w:before="160" w:line="240" w:lineRule="auto"/>
      </w:pPr>
      <w:r>
        <w:t>Climate adaptation planning is most effective when it is shaped with</w:t>
      </w:r>
      <w:r>
        <w:rPr>
          <w:i/>
          <w:iCs/>
        </w:rPr>
        <w:t xml:space="preserve"> </w:t>
      </w:r>
      <w:r>
        <w:t>communities, not just for them. Developing an equitable outreach and engagement approach ensures that adaptation priorities reflect local knowledge, lived experience, and community-defined needs, particularly those of populations most affected by climate impacts. To ground-truth the analysis on adaptive capacity, climate impacts, and social sensitivity with lived experience, engage community members to identify:</w:t>
      </w:r>
    </w:p>
    <w:p w14:paraId="780EA830" w14:textId="685CB0D4" w:rsidR="00CF71BD" w:rsidRPr="00B17CBE" w:rsidDel="008C3892" w:rsidRDefault="00CF71BD">
      <w:pPr>
        <w:pStyle w:val="ListParagraph"/>
        <w:widowControl w:val="0"/>
        <w:numPr>
          <w:ilvl w:val="0"/>
          <w:numId w:val="33"/>
        </w:numPr>
        <w:tabs>
          <w:tab w:val="left" w:pos="1620"/>
        </w:tabs>
        <w:autoSpaceDE w:val="0"/>
        <w:autoSpaceDN w:val="0"/>
        <w:spacing w:before="160" w:line="240" w:lineRule="auto"/>
        <w:ind w:left="720"/>
      </w:pPr>
      <w:r>
        <w:t>Local knowledge of climate impacts</w:t>
      </w:r>
    </w:p>
    <w:p w14:paraId="655723E9" w14:textId="2151664B" w:rsidR="00CF71BD" w:rsidRPr="00B17CBE" w:rsidDel="008C3892" w:rsidRDefault="00CF71BD">
      <w:pPr>
        <w:pStyle w:val="ListParagraph"/>
        <w:widowControl w:val="0"/>
        <w:numPr>
          <w:ilvl w:val="0"/>
          <w:numId w:val="33"/>
        </w:numPr>
        <w:tabs>
          <w:tab w:val="left" w:pos="1620"/>
        </w:tabs>
        <w:autoSpaceDE w:val="0"/>
        <w:autoSpaceDN w:val="0"/>
        <w:spacing w:before="160" w:line="240" w:lineRule="auto"/>
        <w:ind w:left="720"/>
      </w:pPr>
      <w:r>
        <w:t>Neighborhood strengths and assets</w:t>
      </w:r>
    </w:p>
    <w:p w14:paraId="5B097FD4" w14:textId="2A77944C" w:rsidR="00CF71BD" w:rsidRDefault="00CF71BD">
      <w:pPr>
        <w:pStyle w:val="ListParagraph"/>
        <w:widowControl w:val="0"/>
        <w:numPr>
          <w:ilvl w:val="0"/>
          <w:numId w:val="33"/>
        </w:numPr>
        <w:tabs>
          <w:tab w:val="left" w:pos="1620"/>
        </w:tabs>
        <w:autoSpaceDE w:val="0"/>
        <w:autoSpaceDN w:val="0"/>
        <w:spacing w:before="160" w:line="240" w:lineRule="auto"/>
        <w:ind w:left="720"/>
      </w:pPr>
      <w:r>
        <w:t>Community-defined priorities, concerns, and ideas for adaptation.</w:t>
      </w:r>
    </w:p>
    <w:p w14:paraId="74AD1541" w14:textId="224F7911" w:rsidR="00B54AA4" w:rsidRPr="00B17CBE" w:rsidDel="008C3892" w:rsidRDefault="00B54AA4">
      <w:pPr>
        <w:pStyle w:val="ListParagraph"/>
        <w:widowControl w:val="0"/>
        <w:numPr>
          <w:ilvl w:val="0"/>
          <w:numId w:val="33"/>
        </w:numPr>
        <w:tabs>
          <w:tab w:val="left" w:pos="1620"/>
        </w:tabs>
        <w:autoSpaceDE w:val="0"/>
        <w:autoSpaceDN w:val="0"/>
        <w:spacing w:before="160" w:line="240" w:lineRule="auto"/>
        <w:ind w:left="720"/>
      </w:pPr>
      <w:r>
        <w:t>Innovative local practices or community-led solutions that could be expanded or replicated elsewhere.</w:t>
      </w:r>
    </w:p>
    <w:p w14:paraId="7D8BE5FF" w14:textId="42D287DB" w:rsidR="002D2A7A" w:rsidRDefault="00476931" w:rsidP="00F5579B">
      <w:pPr>
        <w:spacing w:before="160" w:line="240" w:lineRule="auto"/>
      </w:pPr>
      <w:hyperlink w:anchor="_Toc235190055" w:history="1">
        <w:r>
          <w:rPr>
            <w:rStyle w:val="Hyperlink"/>
          </w:rPr>
          <w:t>Step 1.3A</w:t>
        </w:r>
      </w:hyperlink>
      <w:r>
        <w:t xml:space="preserve"> created a community outreach plan. Review the events and activities outlined in the plan and look at where to make modifications to ensure that the planning team collects information that can add to the assessment of climate vulnerabilities. Consider if other changes to the community outreach and engagement plan are needed based on the vulnerability assessment, for example, to reach populations and neighborhoods identified as particularly vulnerable in the assessment. Refer to </w:t>
      </w:r>
      <w:r>
        <w:rPr>
          <w:b/>
        </w:rPr>
        <w:t xml:space="preserve">Appendix A - </w:t>
      </w:r>
      <w:r>
        <w:rPr>
          <w:b/>
          <w:bCs/>
        </w:rPr>
        <w:fldChar w:fldCharType="begin"/>
      </w:r>
      <w:r>
        <w:rPr>
          <w:b/>
          <w:bCs/>
        </w:rPr>
        <w:instrText xml:space="preserve"> REF _Ref230257122 \h  \* MERGEFORMAT </w:instrText>
      </w:r>
      <w:r>
        <w:rPr>
          <w:b/>
          <w:bCs/>
        </w:rPr>
      </w:r>
      <w:r>
        <w:rPr>
          <w:b/>
          <w:bCs/>
        </w:rPr>
        <w:fldChar w:fldCharType="separate"/>
      </w:r>
      <w:r w:rsidR="00517691" w:rsidRPr="00517691">
        <w:rPr>
          <w:b/>
          <w:bCs/>
        </w:rPr>
        <w:t>Best Practices for Conducting Outreach and Engagement Activities</w:t>
      </w:r>
      <w:r>
        <w:rPr>
          <w:b/>
          <w:bCs/>
        </w:rPr>
        <w:fldChar w:fldCharType="end"/>
      </w:r>
      <w:r>
        <w:t xml:space="preserve"> for more information on the types of events and activities that can be conducted.</w:t>
      </w:r>
    </w:p>
    <w:p w14:paraId="07885253" w14:textId="77777777" w:rsidR="00BD1594" w:rsidRDefault="00BD1594" w:rsidP="00F5579B">
      <w:pPr>
        <w:spacing w:before="160" w:line="240" w:lineRule="auto"/>
      </w:pPr>
      <w:bookmarkStart w:id="126" w:name="_Toc224722689"/>
    </w:p>
    <w:p w14:paraId="2822BEAD" w14:textId="3BF59475" w:rsidR="00CF71BD" w:rsidRPr="00B17CBE" w:rsidRDefault="009D2A1D" w:rsidP="00F5579B">
      <w:pPr>
        <w:pStyle w:val="Heading2"/>
        <w:spacing w:before="160" w:after="160" w:line="240" w:lineRule="auto"/>
      </w:pPr>
      <w:bookmarkStart w:id="127" w:name="_STEP_2.4B:_PRIORITIZE"/>
      <w:bookmarkStart w:id="128" w:name="_Toc224722690"/>
      <w:bookmarkStart w:id="129" w:name="_Toc235802701"/>
      <w:bookmarkEnd w:id="126"/>
      <w:bookmarkEnd w:id="127"/>
      <w:r>
        <w:t>Step 2.4: Prioritize Climate Vulnerability</w:t>
      </w:r>
      <w:bookmarkEnd w:id="128"/>
      <w:bookmarkEnd w:id="129"/>
    </w:p>
    <w:p w14:paraId="6D45B4A3" w14:textId="3668EF1D" w:rsidR="00D249CA" w:rsidRPr="00D249CA" w:rsidRDefault="00D249CA" w:rsidP="00F5579B">
      <w:pPr>
        <w:spacing w:before="160" w:line="240" w:lineRule="auto"/>
      </w:pPr>
      <w:r>
        <w:t>Goal: Identify priority climate vulnerabilities based on the information collected in previous steps.</w:t>
      </w:r>
    </w:p>
    <w:p w14:paraId="262FC4AE" w14:textId="57CC2429" w:rsidR="00D249CA" w:rsidRDefault="00E12CAF" w:rsidP="00F5579B">
      <w:pPr>
        <w:spacing w:before="160" w:line="240" w:lineRule="auto"/>
      </w:pPr>
      <w:r>
        <w:t>This step prepares a table summarizing vulnerabilities. It then walks through the process of vulnerability scoring, which is one strategy that can be used to prioritize major climate vulnerabilities to address in Phase 3. This step also provides examples of California entities who have used vulnerability scoring for prioritization of climate vulnerabilities.</w:t>
      </w:r>
    </w:p>
    <w:p w14:paraId="2891E7E1" w14:textId="77777777" w:rsidR="00F5579B" w:rsidRPr="00D249CA" w:rsidRDefault="00F5579B" w:rsidP="00F5579B">
      <w:pPr>
        <w:spacing w:before="160" w:line="240" w:lineRule="auto"/>
      </w:pPr>
    </w:p>
    <w:p w14:paraId="11991D9B" w14:textId="0001ADEE" w:rsidR="00D249CA" w:rsidRPr="00D249CA" w:rsidRDefault="00596628" w:rsidP="00F5579B">
      <w:pPr>
        <w:pStyle w:val="Heading3"/>
        <w:spacing w:after="160" w:line="240" w:lineRule="auto"/>
      </w:pPr>
      <w:bookmarkStart w:id="130" w:name="_Toc235802702"/>
      <w:r>
        <w:t>Step 2.4A: Summarize Vulnerability</w:t>
      </w:r>
      <w:bookmarkEnd w:id="130"/>
    </w:p>
    <w:p w14:paraId="3A118758" w14:textId="66F7F079" w:rsidR="00D249CA" w:rsidRPr="00D249CA" w:rsidRDefault="00D249CA" w:rsidP="00F5579B">
      <w:pPr>
        <w:spacing w:before="160" w:line="240" w:lineRule="auto"/>
      </w:pPr>
      <w:r>
        <w:t>For each of the climate hazards of concern to the community, produce a table that summarizes vulnerability by describing the following. There is no new work being done in this step; simply gather information from the tables created in Step 2. An example is included below.</w:t>
      </w:r>
    </w:p>
    <w:p w14:paraId="4D82121C" w14:textId="27BC77EB" w:rsidR="00D249CA" w:rsidRPr="00D249CA" w:rsidRDefault="00D249CA">
      <w:pPr>
        <w:pStyle w:val="ListParagraph"/>
        <w:widowControl w:val="0"/>
        <w:numPr>
          <w:ilvl w:val="0"/>
          <w:numId w:val="33"/>
        </w:numPr>
        <w:tabs>
          <w:tab w:val="left" w:pos="1620"/>
        </w:tabs>
        <w:autoSpaceDE w:val="0"/>
        <w:autoSpaceDN w:val="0"/>
        <w:spacing w:before="160" w:line="240" w:lineRule="auto"/>
        <w:ind w:left="720"/>
      </w:pPr>
      <w:r>
        <w:rPr>
          <w:b/>
          <w:bCs/>
        </w:rPr>
        <w:t>Exposure:</w:t>
      </w:r>
      <w:r>
        <w:t xml:space="preserve"> the projected severity of climate hazards in the community (see Step 2.1)</w:t>
      </w:r>
    </w:p>
    <w:p w14:paraId="11FD9F88" w14:textId="0C7F621A" w:rsidR="00D249CA" w:rsidRPr="00D249CA" w:rsidRDefault="00D249CA">
      <w:pPr>
        <w:pStyle w:val="ListParagraph"/>
        <w:widowControl w:val="0"/>
        <w:numPr>
          <w:ilvl w:val="0"/>
          <w:numId w:val="33"/>
        </w:numPr>
        <w:tabs>
          <w:tab w:val="left" w:pos="1620"/>
        </w:tabs>
        <w:autoSpaceDE w:val="0"/>
        <w:autoSpaceDN w:val="0"/>
        <w:spacing w:before="160" w:line="240" w:lineRule="auto"/>
        <w:ind w:left="720"/>
      </w:pPr>
      <w:r>
        <w:rPr>
          <w:b/>
          <w:bCs/>
        </w:rPr>
        <w:t>Population and community assets:</w:t>
      </w:r>
      <w:r>
        <w:t xml:space="preserve"> the populations and assets associated with the potential climate hazard and its location(s) (see Step 2.2)</w:t>
      </w:r>
    </w:p>
    <w:p w14:paraId="49DDD256" w14:textId="17E7592C" w:rsidR="00D249CA" w:rsidRPr="00D249CA" w:rsidRDefault="00E0667B">
      <w:pPr>
        <w:pStyle w:val="ListParagraph"/>
        <w:widowControl w:val="0"/>
        <w:numPr>
          <w:ilvl w:val="0"/>
          <w:numId w:val="33"/>
        </w:numPr>
        <w:tabs>
          <w:tab w:val="left" w:pos="1620"/>
        </w:tabs>
        <w:autoSpaceDE w:val="0"/>
        <w:autoSpaceDN w:val="0"/>
        <w:spacing w:before="160" w:line="240" w:lineRule="auto"/>
        <w:ind w:left="720"/>
      </w:pPr>
      <w:r>
        <w:rPr>
          <w:b/>
          <w:bCs/>
        </w:rPr>
        <w:t xml:space="preserve">Vulnerability </w:t>
      </w:r>
      <w:r w:rsidR="00D249CA" w:rsidRPr="55DEB025">
        <w:rPr>
          <w:b/>
          <w:bCs/>
        </w:rPr>
        <w:t>and potential impact:</w:t>
      </w:r>
      <w:r w:rsidR="00D249CA">
        <w:t xml:space="preserve"> how the population and community assets might be affected by a climate hazard given the characteristics of the community (e.g., social vulnerability). Additionally, consider the implications for the community from the potential impacts of the climate hazard, including consequences for public safety, human health, ecosystem services, continuity of public services, costs to the local government or borne by the public, and other impacts identified in Step 2.2.</w:t>
      </w:r>
    </w:p>
    <w:p w14:paraId="1E897D6A" w14:textId="58AE21E6" w:rsidR="000022C8" w:rsidRDefault="00D249CA">
      <w:pPr>
        <w:pStyle w:val="ListParagraph"/>
        <w:widowControl w:val="0"/>
        <w:numPr>
          <w:ilvl w:val="0"/>
          <w:numId w:val="33"/>
        </w:numPr>
        <w:tabs>
          <w:tab w:val="left" w:pos="1620"/>
        </w:tabs>
        <w:autoSpaceDE w:val="0"/>
        <w:autoSpaceDN w:val="0"/>
        <w:spacing w:before="160" w:line="240" w:lineRule="auto"/>
        <w:ind w:left="720"/>
      </w:pPr>
      <w:r>
        <w:rPr>
          <w:b/>
          <w:bCs/>
        </w:rPr>
        <w:t>Adaptive capacity:</w:t>
      </w:r>
      <w:r>
        <w:t xml:space="preserve"> existing ability to manage the potential impacts of the climate hazard (see Step 2.3)</w:t>
      </w:r>
    </w:p>
    <w:p w14:paraId="4A31505F" w14:textId="59E7F9B5" w:rsidR="00894078" w:rsidRDefault="00E218B0" w:rsidP="00BB5ACB">
      <w:pPr>
        <w:spacing w:after="0" w:line="240" w:lineRule="auto"/>
      </w:pPr>
      <w:r>
        <w:rPr>
          <w:rFonts w:eastAsia="Century Gothic" w:cs="Century Gothic"/>
          <w:b/>
          <w:bCs/>
        </w:rPr>
        <w:t xml:space="preserve">Table </w:t>
      </w:r>
      <w:r>
        <w:rPr>
          <w:rFonts w:eastAsia="Century Gothic" w:cs="Century Gothic"/>
          <w:b/>
          <w:bCs/>
        </w:rPr>
        <w:fldChar w:fldCharType="begin"/>
      </w:r>
      <w:r>
        <w:rPr>
          <w:rFonts w:eastAsia="Century Gothic" w:cs="Century Gothic"/>
          <w:b/>
          <w:bCs/>
        </w:rPr>
        <w:instrText xml:space="preserve"> SEQ Table \* ARABIC </w:instrText>
      </w:r>
      <w:r>
        <w:rPr>
          <w:rFonts w:eastAsia="Century Gothic" w:cs="Century Gothic"/>
          <w:b/>
          <w:bCs/>
        </w:rPr>
        <w:fldChar w:fldCharType="separate"/>
      </w:r>
      <w:r w:rsidR="00517691">
        <w:rPr>
          <w:rFonts w:eastAsia="Century Gothic" w:cs="Century Gothic"/>
          <w:b/>
          <w:bCs/>
          <w:noProof/>
        </w:rPr>
        <w:t>11</w:t>
      </w:r>
      <w:r>
        <w:rPr>
          <w:rFonts w:eastAsia="Century Gothic" w:cs="Century Gothic"/>
          <w:b/>
          <w:bCs/>
        </w:rPr>
        <w:fldChar w:fldCharType="end"/>
      </w:r>
      <w:r>
        <w:rPr>
          <w:rFonts w:eastAsia="Century Gothic" w:cs="Century Gothic"/>
          <w:b/>
          <w:bCs/>
        </w:rPr>
        <w:t>. Example of extreme heat climate hazard in Sacramento, CA</w:t>
      </w:r>
    </w:p>
    <w:tbl>
      <w:tblPr>
        <w:tblStyle w:val="TableGrid"/>
        <w:tblW w:w="9810" w:type="dxa"/>
        <w:tblLook w:val="04A0" w:firstRow="1" w:lastRow="0" w:firstColumn="1" w:lastColumn="0" w:noHBand="0" w:noVBand="1"/>
        <w:tblDescription w:val="Example of looking into extreme heat as a climate hazard in Sacramento, CA. What is its exposure, sensitivity, and adaptive capacity?"/>
      </w:tblPr>
      <w:tblGrid>
        <w:gridCol w:w="3592"/>
        <w:gridCol w:w="6218"/>
      </w:tblGrid>
      <w:tr w:rsidR="00F35241" w14:paraId="306C4FAD" w14:textId="77777777" w:rsidTr="00035EAC">
        <w:trPr>
          <w:cantSplit/>
          <w:trHeight w:val="302"/>
          <w:tblHeader/>
        </w:trPr>
        <w:tc>
          <w:tcPr>
            <w:tcW w:w="3592" w:type="dxa"/>
            <w:shd w:val="clear" w:color="auto" w:fill="000000" w:themeFill="text1"/>
          </w:tcPr>
          <w:p w14:paraId="4973E764" w14:textId="04FDD786" w:rsidR="00280FB8" w:rsidRPr="00E218B0" w:rsidRDefault="00DB4747" w:rsidP="00BB5ACB">
            <w:pPr>
              <w:rPr>
                <w:rFonts w:eastAsia="Century Gothic" w:cs="Century Gothic"/>
                <w:b/>
                <w:bCs/>
              </w:rPr>
            </w:pPr>
            <w:r>
              <w:rPr>
                <w:rFonts w:eastAsia="Century Gothic" w:cs="Century Gothic"/>
                <w:b/>
                <w:bCs/>
              </w:rPr>
              <w:t>Exposure, Sensitivity, and Adaptive Capacity</w:t>
            </w:r>
          </w:p>
        </w:tc>
        <w:tc>
          <w:tcPr>
            <w:tcW w:w="6218" w:type="dxa"/>
            <w:shd w:val="clear" w:color="auto" w:fill="000000" w:themeFill="text1"/>
          </w:tcPr>
          <w:p w14:paraId="7E80C343" w14:textId="35634F82" w:rsidR="00280FB8" w:rsidRPr="005E6688" w:rsidRDefault="00DB4747" w:rsidP="00BB5ACB">
            <w:pPr>
              <w:rPr>
                <w:rFonts w:eastAsia="Century Gothic" w:cs="Century Gothic"/>
                <w:b/>
                <w:bCs/>
              </w:rPr>
            </w:pPr>
            <w:r>
              <w:rPr>
                <w:rFonts w:eastAsia="Century Gothic" w:cs="Century Gothic"/>
                <w:b/>
                <w:bCs/>
              </w:rPr>
              <w:t>Results</w:t>
            </w:r>
          </w:p>
        </w:tc>
      </w:tr>
      <w:tr w:rsidR="00952B29" w14:paraId="230586C1" w14:textId="77777777" w:rsidTr="00035EAC">
        <w:trPr>
          <w:cantSplit/>
          <w:trHeight w:val="302"/>
        </w:trPr>
        <w:tc>
          <w:tcPr>
            <w:tcW w:w="3592" w:type="dxa"/>
          </w:tcPr>
          <w:p w14:paraId="46396861" w14:textId="7E29C4D4" w:rsidR="00280FB8" w:rsidRPr="00E218B0" w:rsidRDefault="00280FB8" w:rsidP="00BB5ACB">
            <w:pPr>
              <w:rPr>
                <w:rFonts w:eastAsia="Century Gothic" w:cs="Century Gothic"/>
                <w:b/>
                <w:bCs/>
              </w:rPr>
            </w:pPr>
            <w:r>
              <w:rPr>
                <w:b/>
                <w:bCs/>
              </w:rPr>
              <w:t xml:space="preserve">Is this climate hazard present in the area of interest (Yes/No) now or in 2050? </w:t>
            </w:r>
          </w:p>
        </w:tc>
        <w:tc>
          <w:tcPr>
            <w:tcW w:w="6218" w:type="dxa"/>
          </w:tcPr>
          <w:p w14:paraId="2366247C" w14:textId="60A91DA2" w:rsidR="00280FB8" w:rsidRDefault="00280FB8" w:rsidP="00BB5ACB">
            <w:pPr>
              <w:rPr>
                <w:rFonts w:eastAsia="Century Gothic" w:cs="Century Gothic"/>
              </w:rPr>
            </w:pPr>
            <w:r>
              <w:rPr>
                <w:rFonts w:eastAsia="Times New Roman"/>
              </w:rPr>
              <w:t>Yes</w:t>
            </w:r>
          </w:p>
        </w:tc>
      </w:tr>
      <w:tr w:rsidR="00952B29" w14:paraId="1928E5E6" w14:textId="77777777" w:rsidTr="007107AC">
        <w:trPr>
          <w:cantSplit/>
          <w:trHeight w:val="773"/>
        </w:trPr>
        <w:tc>
          <w:tcPr>
            <w:tcW w:w="3592" w:type="dxa"/>
            <w:shd w:val="clear" w:color="auto" w:fill="D9D9D9" w:themeFill="background1" w:themeFillShade="D9"/>
          </w:tcPr>
          <w:p w14:paraId="260F6F9C" w14:textId="26452ED3" w:rsidR="00280FB8" w:rsidRPr="00E218B0" w:rsidRDefault="00280FB8" w:rsidP="00BB5ACB">
            <w:pPr>
              <w:rPr>
                <w:rFonts w:eastAsia="Century Gothic" w:cs="Century Gothic"/>
                <w:b/>
                <w:bCs/>
              </w:rPr>
            </w:pPr>
            <w:r>
              <w:rPr>
                <w:b/>
                <w:bCs/>
              </w:rPr>
              <w:t xml:space="preserve">What specific neighborhoods are affected in the current timeframe? </w:t>
            </w:r>
          </w:p>
        </w:tc>
        <w:tc>
          <w:tcPr>
            <w:tcW w:w="6218" w:type="dxa"/>
            <w:shd w:val="clear" w:color="auto" w:fill="D9D9D9" w:themeFill="background1" w:themeFillShade="D9"/>
          </w:tcPr>
          <w:p w14:paraId="393970D0" w14:textId="52E2C4D0" w:rsidR="00280FB8" w:rsidRDefault="00280FB8" w:rsidP="00BB5ACB">
            <w:pPr>
              <w:rPr>
                <w:rFonts w:eastAsia="Century Gothic" w:cs="Century Gothic"/>
              </w:rPr>
            </w:pPr>
            <w:r>
              <w:rPr>
                <w:rFonts w:eastAsia="Times New Roman"/>
              </w:rPr>
              <w:t>ALL</w:t>
            </w:r>
          </w:p>
        </w:tc>
      </w:tr>
      <w:tr w:rsidR="00952B29" w14:paraId="20676CB9" w14:textId="77777777" w:rsidTr="00035EAC">
        <w:trPr>
          <w:cantSplit/>
          <w:trHeight w:val="302"/>
        </w:trPr>
        <w:tc>
          <w:tcPr>
            <w:tcW w:w="3592" w:type="dxa"/>
          </w:tcPr>
          <w:p w14:paraId="51086F49" w14:textId="241DE9DA" w:rsidR="00280FB8" w:rsidRPr="00E218B0" w:rsidRDefault="00280FB8" w:rsidP="00BB5ACB">
            <w:pPr>
              <w:rPr>
                <w:rFonts w:eastAsia="Century Gothic" w:cs="Century Gothic"/>
                <w:b/>
                <w:bCs/>
              </w:rPr>
            </w:pPr>
            <w:r>
              <w:rPr>
                <w:b/>
                <w:bCs/>
              </w:rPr>
              <w:t xml:space="preserve">How are they affected? (HIGH Climate &amp; HIGH Social, MED Climate &amp; HIGH Social, etc.) </w:t>
            </w:r>
          </w:p>
        </w:tc>
        <w:tc>
          <w:tcPr>
            <w:tcW w:w="6218" w:type="dxa"/>
          </w:tcPr>
          <w:p w14:paraId="4BA22F57" w14:textId="35B0F2A1" w:rsidR="00280FB8" w:rsidRDefault="00280FB8" w:rsidP="00BB5ACB">
            <w:pPr>
              <w:rPr>
                <w:rFonts w:eastAsia="Century Gothic" w:cs="Century Gothic"/>
              </w:rPr>
            </w:pPr>
            <w:r>
              <w:rPr>
                <w:rFonts w:eastAsia="Times New Roman"/>
              </w:rPr>
              <w:t xml:space="preserve">Most of area has high heat hazard. The Lemon Hill, North Highlands, Diamond Springs, and Arden Arcade neighborhoods also have high social vulnerability to heat and therefore have the high-high vulnerability designation,  </w:t>
            </w:r>
          </w:p>
        </w:tc>
      </w:tr>
      <w:tr w:rsidR="00952B29" w14:paraId="24CE4C7A" w14:textId="77777777" w:rsidTr="007107AC">
        <w:trPr>
          <w:cantSplit/>
          <w:trHeight w:val="302"/>
        </w:trPr>
        <w:tc>
          <w:tcPr>
            <w:tcW w:w="3592" w:type="dxa"/>
            <w:shd w:val="clear" w:color="auto" w:fill="D9D9D9" w:themeFill="background1" w:themeFillShade="D9"/>
          </w:tcPr>
          <w:p w14:paraId="3AC2CB4D" w14:textId="58E227FA" w:rsidR="00280FB8" w:rsidRPr="00E218B0" w:rsidRDefault="00280FB8" w:rsidP="00BB5ACB">
            <w:pPr>
              <w:rPr>
                <w:rFonts w:eastAsia="Century Gothic" w:cs="Century Gothic"/>
                <w:b/>
                <w:bCs/>
              </w:rPr>
            </w:pPr>
            <w:r>
              <w:rPr>
                <w:b/>
                <w:bCs/>
              </w:rPr>
              <w:t xml:space="preserve">How does vulnerability change between now and 2050? </w:t>
            </w:r>
          </w:p>
        </w:tc>
        <w:tc>
          <w:tcPr>
            <w:tcW w:w="6218" w:type="dxa"/>
            <w:shd w:val="clear" w:color="auto" w:fill="D9D9D9" w:themeFill="background1" w:themeFillShade="D9"/>
          </w:tcPr>
          <w:p w14:paraId="5DFE177F" w14:textId="2B23CF33" w:rsidR="00280FB8" w:rsidRDefault="00280FB8" w:rsidP="00BB5ACB">
            <w:pPr>
              <w:rPr>
                <w:rFonts w:eastAsia="Century Gothic" w:cs="Century Gothic"/>
              </w:rPr>
            </w:pPr>
            <w:r>
              <w:rPr>
                <w:rFonts w:eastAsia="Times New Roman"/>
              </w:rPr>
              <w:t>Remains overall high, the few remaining medium areas are converted to high.</w:t>
            </w:r>
          </w:p>
        </w:tc>
      </w:tr>
      <w:tr w:rsidR="00952B29" w14:paraId="619FAD3E" w14:textId="77777777" w:rsidTr="00035EAC">
        <w:trPr>
          <w:cantSplit/>
          <w:trHeight w:val="302"/>
        </w:trPr>
        <w:tc>
          <w:tcPr>
            <w:tcW w:w="3592" w:type="dxa"/>
          </w:tcPr>
          <w:p w14:paraId="1958B7B8" w14:textId="3F73A74E" w:rsidR="00280FB8" w:rsidRPr="00E218B0" w:rsidRDefault="004E7298" w:rsidP="00BB5ACB">
            <w:pPr>
              <w:rPr>
                <w:rFonts w:eastAsia="Century Gothic" w:cs="Century Gothic"/>
                <w:b/>
                <w:bCs/>
              </w:rPr>
            </w:pPr>
            <w:r>
              <w:rPr>
                <w:b/>
                <w:bCs/>
              </w:rPr>
              <w:t>Detailed Climate Projections</w:t>
            </w:r>
          </w:p>
        </w:tc>
        <w:tc>
          <w:tcPr>
            <w:tcW w:w="6218" w:type="dxa"/>
          </w:tcPr>
          <w:p w14:paraId="0A565B25" w14:textId="27CE2D7E" w:rsidR="00D57BEF" w:rsidRPr="00913C5D" w:rsidRDefault="00D57BEF">
            <w:pPr>
              <w:pStyle w:val="ListParagraph"/>
              <w:numPr>
                <w:ilvl w:val="0"/>
                <w:numId w:val="37"/>
              </w:numPr>
              <w:ind w:left="434"/>
              <w:rPr>
                <w:rFonts w:eastAsia="Century Gothic" w:cs="Century Gothic"/>
              </w:rPr>
            </w:pPr>
            <w:r>
              <w:rPr>
                <w:rFonts w:eastAsia="Century Gothic" w:cs="Century Gothic"/>
              </w:rPr>
              <w:t>Average Max Temp (°F): increases from 74.1 in baseline to 79.3 in mid-century</w:t>
            </w:r>
          </w:p>
          <w:p w14:paraId="56903B9F" w14:textId="2955DB20" w:rsidR="00D57BEF" w:rsidRPr="00D132F6" w:rsidRDefault="00D57BEF">
            <w:pPr>
              <w:pStyle w:val="ListParagraph"/>
              <w:numPr>
                <w:ilvl w:val="0"/>
                <w:numId w:val="37"/>
              </w:numPr>
              <w:ind w:left="434"/>
              <w:rPr>
                <w:rFonts w:eastAsia="Century Gothic" w:cs="Century Gothic"/>
              </w:rPr>
            </w:pPr>
            <w:r>
              <w:rPr>
                <w:rFonts w:eastAsia="Century Gothic" w:cs="Century Gothic"/>
              </w:rPr>
              <w:t xml:space="preserve">Extreme Heat </w:t>
            </w:r>
            <w:r w:rsidR="00D26405">
              <w:rPr>
                <w:rFonts w:eastAsia="Century Gothic" w:cs="Century Gothic"/>
              </w:rPr>
              <w:t>D</w:t>
            </w:r>
            <w:r>
              <w:rPr>
                <w:rFonts w:eastAsia="Century Gothic" w:cs="Century Gothic"/>
              </w:rPr>
              <w:t>ays frequency (#days): Increases from 4 days in baseline to 22 days in mid-century</w:t>
            </w:r>
          </w:p>
          <w:p w14:paraId="7B8CC7AF" w14:textId="49DE7942" w:rsidR="00280FB8" w:rsidRPr="00D132F6" w:rsidRDefault="00D57BEF">
            <w:pPr>
              <w:pStyle w:val="ListParagraph"/>
              <w:numPr>
                <w:ilvl w:val="0"/>
                <w:numId w:val="37"/>
              </w:numPr>
              <w:ind w:left="434"/>
              <w:rPr>
                <w:rFonts w:eastAsia="Century Gothic" w:cs="Century Gothic"/>
              </w:rPr>
            </w:pPr>
            <w:r>
              <w:rPr>
                <w:rFonts w:eastAsia="Century Gothic" w:cs="Century Gothic"/>
              </w:rPr>
              <w:t xml:space="preserve">Extreme Heat </w:t>
            </w:r>
            <w:r w:rsidR="00D26405">
              <w:rPr>
                <w:rFonts w:eastAsia="Century Gothic" w:cs="Century Gothic"/>
              </w:rPr>
              <w:t>D</w:t>
            </w:r>
            <w:r>
              <w:rPr>
                <w:rFonts w:eastAsia="Century Gothic" w:cs="Century Gothic"/>
              </w:rPr>
              <w:t>ays duration (#days); Increases from 2 days in baseline to 7 days in mid-century</w:t>
            </w:r>
          </w:p>
        </w:tc>
      </w:tr>
      <w:tr w:rsidR="00952B29" w14:paraId="2ECF137C" w14:textId="77777777" w:rsidTr="007107AC">
        <w:trPr>
          <w:cantSplit/>
          <w:trHeight w:val="302"/>
        </w:trPr>
        <w:tc>
          <w:tcPr>
            <w:tcW w:w="3592" w:type="dxa"/>
            <w:shd w:val="clear" w:color="auto" w:fill="D9D9D9" w:themeFill="background1" w:themeFillShade="D9"/>
          </w:tcPr>
          <w:p w14:paraId="240FD261" w14:textId="62E3BFB2" w:rsidR="00280FB8" w:rsidRPr="00E218B0" w:rsidRDefault="00D56C06" w:rsidP="00BB5ACB">
            <w:pPr>
              <w:rPr>
                <w:b/>
                <w:bCs/>
              </w:rPr>
            </w:pPr>
            <w:r>
              <w:rPr>
                <w:b/>
                <w:bCs/>
              </w:rPr>
              <w:t>Secondary and Cascading Hazards</w:t>
            </w:r>
          </w:p>
        </w:tc>
        <w:tc>
          <w:tcPr>
            <w:tcW w:w="6218" w:type="dxa"/>
            <w:shd w:val="clear" w:color="auto" w:fill="D9D9D9" w:themeFill="background1" w:themeFillShade="D9"/>
          </w:tcPr>
          <w:p w14:paraId="61CB2F1E" w14:textId="1741097D" w:rsidR="00280FB8" w:rsidRPr="00D132F6" w:rsidRDefault="00C83F04">
            <w:pPr>
              <w:pStyle w:val="ListParagraph"/>
              <w:numPr>
                <w:ilvl w:val="0"/>
                <w:numId w:val="37"/>
              </w:numPr>
              <w:ind w:left="434"/>
              <w:rPr>
                <w:rFonts w:eastAsia="Century Gothic" w:cs="Century Gothic"/>
              </w:rPr>
            </w:pPr>
            <w:r>
              <w:rPr>
                <w:rFonts w:eastAsia="Times New Roman"/>
              </w:rPr>
              <w:t xml:space="preserve">Power outages; high demand for air conditioning and </w:t>
            </w:r>
            <w:r>
              <w:rPr>
                <w:rFonts w:eastAsia="Century Gothic" w:cs="Century Gothic"/>
              </w:rPr>
              <w:t>possible damage to electric infrastructure from heatwaves</w:t>
            </w:r>
          </w:p>
          <w:p w14:paraId="0E069D59" w14:textId="0B78DDA2" w:rsidR="00280FB8" w:rsidRDefault="005879D9">
            <w:pPr>
              <w:pStyle w:val="ListParagraph"/>
              <w:numPr>
                <w:ilvl w:val="0"/>
                <w:numId w:val="37"/>
              </w:numPr>
              <w:ind w:left="434"/>
              <w:rPr>
                <w:rFonts w:eastAsia="Times New Roman"/>
              </w:rPr>
            </w:pPr>
            <w:r>
              <w:rPr>
                <w:rFonts w:eastAsia="Century Gothic" w:cs="Century Gothic"/>
              </w:rPr>
              <w:t>Poor a</w:t>
            </w:r>
            <w:r>
              <w:rPr>
                <w:rFonts w:eastAsia="Times New Roman"/>
              </w:rPr>
              <w:t>ir quality; increased heat and stagnant air can trap pollution and elevate ground-level ozone.</w:t>
            </w:r>
          </w:p>
        </w:tc>
      </w:tr>
      <w:tr w:rsidR="00952B29" w14:paraId="59362378" w14:textId="77777777" w:rsidTr="00035EAC">
        <w:trPr>
          <w:cantSplit/>
          <w:trHeight w:val="302"/>
        </w:trPr>
        <w:tc>
          <w:tcPr>
            <w:tcW w:w="3592" w:type="dxa"/>
          </w:tcPr>
          <w:p w14:paraId="592B3FB5" w14:textId="72904980" w:rsidR="00280FB8" w:rsidRPr="00E218B0" w:rsidRDefault="004E7298" w:rsidP="00BB5ACB">
            <w:pPr>
              <w:rPr>
                <w:b/>
                <w:bCs/>
              </w:rPr>
            </w:pPr>
            <w:r>
              <w:rPr>
                <w:b/>
                <w:bCs/>
              </w:rPr>
              <w:t xml:space="preserve">What specific social factors are driving vulnerability in this area? </w:t>
            </w:r>
          </w:p>
        </w:tc>
        <w:tc>
          <w:tcPr>
            <w:tcW w:w="6218" w:type="dxa"/>
          </w:tcPr>
          <w:p w14:paraId="6B37DD6A" w14:textId="61E634CE" w:rsidR="00280FB8" w:rsidRDefault="004E7298" w:rsidP="00BB5ACB">
            <w:pPr>
              <w:textAlignment w:val="baseline"/>
              <w:rPr>
                <w:rFonts w:eastAsia="Times New Roman"/>
              </w:rPr>
            </w:pPr>
            <w:r>
              <w:rPr>
                <w:rFonts w:eastAsia="Times New Roman"/>
              </w:rPr>
              <w:t>Many limited English-speaking households in the Lemon Hill, Parkway, Florin, and Old North Sacramento neighborhoods (10-15%). Extreme heat health index is high in those neighborhoods as well as the Arden Arcade, Carmichael, Rancho Cordova, and North Highlands (60-80</w:t>
            </w:r>
            <w:r>
              <w:rPr>
                <w:rFonts w:eastAsia="Times New Roman"/>
                <w:vertAlign w:val="superscript"/>
              </w:rPr>
              <w:t>th</w:t>
            </w:r>
            <w:r>
              <w:rPr>
                <w:rFonts w:eastAsia="Times New Roman"/>
              </w:rPr>
              <w:t xml:space="preserve"> percentile). Percent of outdoor workers is also high in those areas (30-40%).</w:t>
            </w:r>
          </w:p>
        </w:tc>
      </w:tr>
      <w:tr w:rsidR="00952B29" w14:paraId="78E039BD" w14:textId="77777777" w:rsidTr="007107AC">
        <w:trPr>
          <w:cantSplit/>
          <w:trHeight w:val="302"/>
        </w:trPr>
        <w:tc>
          <w:tcPr>
            <w:tcW w:w="3592" w:type="dxa"/>
            <w:shd w:val="clear" w:color="auto" w:fill="D9D9D9" w:themeFill="background1" w:themeFillShade="D9"/>
          </w:tcPr>
          <w:p w14:paraId="0CFB8518" w14:textId="15256AF7" w:rsidR="00280FB8" w:rsidRPr="00E218B0" w:rsidRDefault="004E7298" w:rsidP="00BB5ACB">
            <w:pPr>
              <w:rPr>
                <w:b/>
                <w:bCs/>
              </w:rPr>
            </w:pPr>
            <w:r>
              <w:rPr>
                <w:b/>
                <w:bCs/>
              </w:rPr>
              <w:t>Exposed Assets and Impacts</w:t>
            </w:r>
          </w:p>
        </w:tc>
        <w:tc>
          <w:tcPr>
            <w:tcW w:w="6218" w:type="dxa"/>
            <w:shd w:val="clear" w:color="auto" w:fill="D9D9D9" w:themeFill="background1" w:themeFillShade="D9"/>
          </w:tcPr>
          <w:p w14:paraId="0C590217" w14:textId="45544968" w:rsidR="004E7298" w:rsidRPr="00D132F6" w:rsidRDefault="00840BF0">
            <w:pPr>
              <w:pStyle w:val="ListParagraph"/>
              <w:numPr>
                <w:ilvl w:val="0"/>
                <w:numId w:val="37"/>
              </w:numPr>
              <w:ind w:left="434"/>
              <w:rPr>
                <w:rFonts w:eastAsia="Century Gothic" w:cs="Century Gothic"/>
              </w:rPr>
            </w:pPr>
            <w:r>
              <w:rPr>
                <w:rFonts w:eastAsia="Times New Roman"/>
              </w:rPr>
              <w:t xml:space="preserve">Public Schools: Mark Twain elementary school, west </w:t>
            </w:r>
            <w:r>
              <w:rPr>
                <w:rFonts w:eastAsia="Century Gothic" w:cs="Century Gothic"/>
              </w:rPr>
              <w:t>campus high school, pacific elementary school</w:t>
            </w:r>
          </w:p>
          <w:p w14:paraId="773D3133" w14:textId="3BCB6DFA" w:rsidR="00E12CC0" w:rsidRDefault="00E12CC0">
            <w:pPr>
              <w:pStyle w:val="ListParagraph"/>
              <w:numPr>
                <w:ilvl w:val="0"/>
                <w:numId w:val="37"/>
              </w:numPr>
              <w:ind w:left="434"/>
              <w:rPr>
                <w:rFonts w:eastAsia="Times New Roman"/>
              </w:rPr>
            </w:pPr>
            <w:r>
              <w:rPr>
                <w:rFonts w:eastAsia="Century Gothic" w:cs="Century Gothic"/>
              </w:rPr>
              <w:t>Librar</w:t>
            </w:r>
            <w:r>
              <w:rPr>
                <w:rFonts w:eastAsia="Times New Roman"/>
              </w:rPr>
              <w:t>ies: Colonial Heights library, Southgate library, Arcade library</w:t>
            </w:r>
          </w:p>
          <w:p w14:paraId="282D9CAC" w14:textId="76C1A139" w:rsidR="00280FB8" w:rsidRDefault="00C641F2">
            <w:pPr>
              <w:pStyle w:val="ListParagraph"/>
              <w:numPr>
                <w:ilvl w:val="0"/>
                <w:numId w:val="37"/>
              </w:numPr>
              <w:ind w:left="434"/>
              <w:rPr>
                <w:rFonts w:eastAsia="Times New Roman"/>
              </w:rPr>
            </w:pPr>
            <w:r>
              <w:rPr>
                <w:rFonts w:eastAsia="Times New Roman"/>
              </w:rPr>
              <w:t xml:space="preserve">Community Clinics: </w:t>
            </w:r>
            <w:r>
              <w:rPr>
                <w:rFonts w:eastAsia="Century Gothic" w:cs="Century Gothic"/>
              </w:rPr>
              <w:t>Sacramento</w:t>
            </w:r>
            <w:r>
              <w:rPr>
                <w:rFonts w:eastAsia="Times New Roman"/>
              </w:rPr>
              <w:t xml:space="preserve"> Community Clinic, Refugee Health Clinic, One Community Health</w:t>
            </w:r>
          </w:p>
        </w:tc>
      </w:tr>
      <w:tr w:rsidR="00952B29" w14:paraId="08B09EAE" w14:textId="77777777" w:rsidTr="00035EAC">
        <w:trPr>
          <w:cantSplit/>
          <w:trHeight w:val="302"/>
        </w:trPr>
        <w:tc>
          <w:tcPr>
            <w:tcW w:w="3592" w:type="dxa"/>
          </w:tcPr>
          <w:p w14:paraId="4D13FDE6" w14:textId="6F1D7EFD" w:rsidR="00280FB8" w:rsidRPr="00E218B0" w:rsidRDefault="00A53DC0" w:rsidP="00BB5ACB">
            <w:pPr>
              <w:rPr>
                <w:b/>
                <w:bCs/>
              </w:rPr>
            </w:pPr>
            <w:r>
              <w:rPr>
                <w:b/>
                <w:bCs/>
              </w:rPr>
              <w:t>Adaptive Capacity Insights from Interviews</w:t>
            </w:r>
          </w:p>
        </w:tc>
        <w:tc>
          <w:tcPr>
            <w:tcW w:w="6218" w:type="dxa"/>
          </w:tcPr>
          <w:p w14:paraId="438034AE" w14:textId="20B04C3F" w:rsidR="00A53DC0" w:rsidRPr="00D132F6" w:rsidRDefault="00CB45B8">
            <w:pPr>
              <w:pStyle w:val="ListParagraph"/>
              <w:numPr>
                <w:ilvl w:val="0"/>
                <w:numId w:val="37"/>
              </w:numPr>
              <w:ind w:left="434"/>
              <w:rPr>
                <w:rFonts w:eastAsia="Century Gothic" w:cs="Century Gothic"/>
              </w:rPr>
            </w:pPr>
            <w:r>
              <w:rPr>
                <w:rFonts w:eastAsia="Times New Roman"/>
              </w:rPr>
              <w:t xml:space="preserve">Interviewee emphasized the need for shade at bus stops for low-income residents who are dependent on </w:t>
            </w:r>
            <w:r>
              <w:rPr>
                <w:rFonts w:eastAsia="Century Gothic" w:cs="Century Gothic"/>
              </w:rPr>
              <w:t>public transit.</w:t>
            </w:r>
          </w:p>
          <w:p w14:paraId="13002C4F" w14:textId="53D7403F" w:rsidR="00280FB8" w:rsidRDefault="00DD5D5E">
            <w:pPr>
              <w:pStyle w:val="ListParagraph"/>
              <w:numPr>
                <w:ilvl w:val="0"/>
                <w:numId w:val="37"/>
              </w:numPr>
              <w:ind w:left="434"/>
              <w:rPr>
                <w:rFonts w:eastAsia="Times New Roman"/>
              </w:rPr>
            </w:pPr>
            <w:r>
              <w:rPr>
                <w:rFonts w:eastAsia="Century Gothic" w:cs="Century Gothic"/>
              </w:rPr>
              <w:t>Inte</w:t>
            </w:r>
            <w:r>
              <w:rPr>
                <w:rFonts w:eastAsia="Times New Roman"/>
              </w:rPr>
              <w:t>rviewee mentions many people are unable to make it to cooling centers at libraries because they are inconveniently located and instead go to cafes or movie theaters to cool down on hot days.</w:t>
            </w:r>
          </w:p>
        </w:tc>
      </w:tr>
      <w:tr w:rsidR="00280FB8" w14:paraId="540474C8" w14:textId="77777777" w:rsidTr="007107AC">
        <w:trPr>
          <w:cantSplit/>
          <w:trHeight w:val="302"/>
        </w:trPr>
        <w:tc>
          <w:tcPr>
            <w:tcW w:w="3592" w:type="dxa"/>
            <w:shd w:val="clear" w:color="auto" w:fill="D9D9D9" w:themeFill="background1" w:themeFillShade="D9"/>
          </w:tcPr>
          <w:p w14:paraId="7AC433BA" w14:textId="5476E5E9" w:rsidR="00280FB8" w:rsidRPr="00E218B0" w:rsidRDefault="002A5F83" w:rsidP="00BB5ACB">
            <w:pPr>
              <w:rPr>
                <w:b/>
                <w:bCs/>
              </w:rPr>
            </w:pPr>
            <w:r>
              <w:rPr>
                <w:b/>
                <w:bCs/>
              </w:rPr>
              <w:t>Adaptive Capacity Insights from Document Review</w:t>
            </w:r>
          </w:p>
        </w:tc>
        <w:tc>
          <w:tcPr>
            <w:tcW w:w="6218" w:type="dxa"/>
            <w:shd w:val="clear" w:color="auto" w:fill="D9D9D9" w:themeFill="background1" w:themeFillShade="D9"/>
          </w:tcPr>
          <w:p w14:paraId="1C1BAC07" w14:textId="79C3549C" w:rsidR="00A53DC0" w:rsidRDefault="004A053D" w:rsidP="00BB5ACB">
            <w:pPr>
              <w:textAlignment w:val="baseline"/>
              <w:rPr>
                <w:rFonts w:eastAsia="Times New Roman"/>
              </w:rPr>
            </w:pPr>
            <w:r>
              <w:rPr>
                <w:rFonts w:eastAsia="Times New Roman"/>
              </w:rPr>
              <w:t>Sacramento Climate Action and Adaptation Plan</w:t>
            </w:r>
          </w:p>
          <w:p w14:paraId="3568B6B0" w14:textId="25273D9A" w:rsidR="004A053D" w:rsidRDefault="00063A73">
            <w:pPr>
              <w:pStyle w:val="ListParagraph"/>
              <w:numPr>
                <w:ilvl w:val="0"/>
                <w:numId w:val="37"/>
              </w:numPr>
              <w:ind w:left="434"/>
              <w:rPr>
                <w:rFonts w:eastAsia="Times New Roman"/>
              </w:rPr>
            </w:pPr>
            <w:r>
              <w:rPr>
                <w:rFonts w:eastAsia="Times New Roman"/>
              </w:rPr>
              <w:t>Cool Libraries. The City shall work with the Sacramento Public Library (SPL) to facilitate the incorporation of cooling techniques into neighborhood library facilities.</w:t>
            </w:r>
          </w:p>
          <w:p w14:paraId="1A1C6F4B" w14:textId="7BB00D1E" w:rsidR="00063A73" w:rsidRDefault="00C92D81">
            <w:pPr>
              <w:pStyle w:val="ListParagraph"/>
              <w:numPr>
                <w:ilvl w:val="0"/>
                <w:numId w:val="37"/>
              </w:numPr>
              <w:ind w:left="434"/>
              <w:rPr>
                <w:rFonts w:eastAsia="Times New Roman"/>
              </w:rPr>
            </w:pPr>
            <w:r>
              <w:rPr>
                <w:rFonts w:eastAsia="Times New Roman"/>
              </w:rPr>
              <w:t>Tree Canopy Expansion. The City should strive to achieve a 25 percent urban tree canopy cover by 2030 and 35 percent by 2045.</w:t>
            </w:r>
          </w:p>
          <w:p w14:paraId="54016174" w14:textId="56432F93" w:rsidR="00280FB8" w:rsidRDefault="00A46A3A">
            <w:pPr>
              <w:pStyle w:val="ListParagraph"/>
              <w:numPr>
                <w:ilvl w:val="0"/>
                <w:numId w:val="37"/>
              </w:numPr>
              <w:ind w:left="434"/>
              <w:rPr>
                <w:rFonts w:eastAsia="Times New Roman"/>
              </w:rPr>
            </w:pPr>
            <w:r>
              <w:rPr>
                <w:rFonts w:eastAsia="Times New Roman"/>
              </w:rPr>
              <w:t>Bus Shelter Design – The City shall encourage Sacramento Regional Transit District (</w:t>
            </w:r>
            <w:proofErr w:type="spellStart"/>
            <w:r>
              <w:rPr>
                <w:rFonts w:eastAsia="Times New Roman"/>
              </w:rPr>
              <w:t>SacRT</w:t>
            </w:r>
            <w:proofErr w:type="spellEnd"/>
            <w:r>
              <w:rPr>
                <w:rFonts w:eastAsia="Times New Roman"/>
              </w:rPr>
              <w:t>) to study the feasibility of designing and installing bus shelters that are designed to offer protection and relief from heat, including the incorporation of shade trees.</w:t>
            </w:r>
          </w:p>
        </w:tc>
      </w:tr>
    </w:tbl>
    <w:p w14:paraId="7ABBE499" w14:textId="77777777" w:rsidR="000022C8" w:rsidRDefault="000022C8" w:rsidP="000D2CF0">
      <w:pPr>
        <w:spacing w:before="160" w:line="240" w:lineRule="auto"/>
      </w:pPr>
    </w:p>
    <w:p w14:paraId="2B06BB13" w14:textId="267100F4" w:rsidR="00D249CA" w:rsidRPr="00DB6FB1" w:rsidRDefault="00596628" w:rsidP="000D2CF0">
      <w:pPr>
        <w:pStyle w:val="Heading3"/>
        <w:spacing w:after="160" w:line="240" w:lineRule="auto"/>
      </w:pPr>
      <w:bookmarkStart w:id="131" w:name="_Toc235802703"/>
      <w:r>
        <w:t>Step 2.4B: Prioritization</w:t>
      </w:r>
      <w:bookmarkEnd w:id="131"/>
    </w:p>
    <w:p w14:paraId="57F9AA38" w14:textId="1122D8EE" w:rsidR="00CF71BD" w:rsidRPr="00B17CBE" w:rsidRDefault="00CF71BD" w:rsidP="000D2CF0">
      <w:pPr>
        <w:spacing w:before="160" w:line="240" w:lineRule="auto"/>
      </w:pPr>
      <w:r>
        <w:t xml:space="preserve">One strategy that can be used to prioritize climate vulnerabilities is </w:t>
      </w:r>
      <w:r>
        <w:rPr>
          <w:b/>
          <w:bCs/>
        </w:rPr>
        <w:t>vulnerability scoring</w:t>
      </w:r>
      <w:r>
        <w:t>. Vulnerability scores are based on the combination of potential impact and adaptive capacity and help identify the major climate vulnerabilities to address.</w:t>
      </w:r>
    </w:p>
    <w:p w14:paraId="2004091A" w14:textId="5315AA2B" w:rsidR="00CF71BD" w:rsidRDefault="00CF71BD" w:rsidP="000D2CF0">
      <w:pPr>
        <w:spacing w:before="160" w:line="240" w:lineRule="auto"/>
      </w:pPr>
      <w:r>
        <w:t>Although this step discusses a quantitative scoring process, it is possible to use qualitative approaches for prioritization. For example, some organizations may find it beneficial to instead convene partner groups and identify key priorities through facilitated discussion. This approach may be appropriate for situations where partner input is particularly emphasized, where assessments need to be completed quickly, or where the information available is simply not conducive to a more systematic scoring approach.</w:t>
      </w:r>
    </w:p>
    <w:p w14:paraId="3CF2C4FB" w14:textId="2E529CF0" w:rsidR="00517E7C" w:rsidRPr="00CF71BD" w:rsidRDefault="00517E7C" w:rsidP="000D2CF0">
      <w:pPr>
        <w:spacing w:before="160" w:line="240" w:lineRule="auto"/>
      </w:pPr>
      <w:r>
        <w:t xml:space="preserve">While quantitative data and mapping tools provide valuable insights, they should not be viewed as neutral or fully representative of community experiences. Combining quantitative analysis with qualitative information can provide a more complete understanding of community needs. </w:t>
      </w:r>
    </w:p>
    <w:p w14:paraId="55DDED5B" w14:textId="57C63F28" w:rsidR="00CF71BD" w:rsidRPr="00B17CBE" w:rsidRDefault="00B0776D" w:rsidP="00BB5ACB">
      <w:pPr>
        <w:spacing w:line="240" w:lineRule="auto"/>
      </w:pPr>
      <w:r>
        <w:rPr>
          <w:b/>
        </w:rPr>
        <w:t xml:space="preserve">Step 2.4A produced tables for each climate hazard and the related populations and assets at risk. </w:t>
      </w:r>
      <w:r>
        <w:rPr>
          <w:bCs/>
        </w:rPr>
        <w:t>Step 2.4B uses potential impact and adaptive capacity to produce vulnerability scores. It is ultimately up to what the planning team decides to focus on – they might evaluate and score each population or asset depending on the goals of the assessment</w:t>
      </w:r>
      <w:r>
        <w:t xml:space="preserve">. This scoring can help clarify which </w:t>
      </w:r>
      <w:r>
        <w:rPr>
          <w:bCs/>
        </w:rPr>
        <w:t xml:space="preserve">climate impacts </w:t>
      </w:r>
      <w:r>
        <w:t>pose the greatest threats and should be prioritized in adaptation planning.</w:t>
      </w:r>
    </w:p>
    <w:p w14:paraId="62323A00" w14:textId="6820F8B6" w:rsidR="005E03F5" w:rsidRDefault="00CF71BD" w:rsidP="00BB5ACB">
      <w:pPr>
        <w:spacing w:line="240" w:lineRule="auto"/>
      </w:pPr>
      <w:r>
        <w:t xml:space="preserve">To score potential impact and adaptive capacity, use the rubric in </w:t>
      </w:r>
      <w:r w:rsidRPr="009650B1">
        <w:rPr>
          <w:u w:val="single"/>
        </w:rPr>
        <w:fldChar w:fldCharType="begin"/>
      </w:r>
      <w:r w:rsidRPr="009650B1">
        <w:rPr>
          <w:u w:val="single"/>
        </w:rPr>
        <w:instrText xml:space="preserve"> REF _Ref229739927 \h  \* MERGEFORMAT </w:instrText>
      </w:r>
      <w:r w:rsidRPr="009650B1">
        <w:rPr>
          <w:u w:val="single"/>
        </w:rPr>
      </w:r>
      <w:r w:rsidRPr="009650B1">
        <w:rPr>
          <w:u w:val="single"/>
        </w:rPr>
        <w:fldChar w:fldCharType="separate"/>
      </w:r>
      <w:r w:rsidR="00517691" w:rsidRPr="00517691">
        <w:rPr>
          <w:u w:val="single"/>
        </w:rPr>
        <w:t xml:space="preserve">Table </w:t>
      </w:r>
      <w:r w:rsidR="00517691">
        <w:rPr>
          <w:b/>
          <w:bCs/>
          <w:noProof/>
        </w:rPr>
        <w:t>12</w:t>
      </w:r>
      <w:r w:rsidRPr="009650B1">
        <w:rPr>
          <w:u w:val="single"/>
        </w:rPr>
        <w:fldChar w:fldCharType="end"/>
      </w:r>
      <w:r>
        <w:t xml:space="preserve"> as a guide, but adjust the scoring system to the circumstances. For example, if using three scoring levels is not enough, the system can expand to four, five, or more levels. Criteria can be customized to reflect the community's specific goals, including quantifiable metrics related to safety, costs, or other factors. Different inputs can help with the scoring process, depending on the planning team’s capacity and partner engagement. The scoring process is based on the team’s judgment, so it is a good idea to seek a broad range of inputs, including those of community members and any scientific studies that assess climate change impacts.</w:t>
      </w:r>
    </w:p>
    <w:p w14:paraId="234FA4C7" w14:textId="77777777" w:rsidR="005B7911" w:rsidRDefault="005B7911" w:rsidP="00BB5ACB">
      <w:pPr>
        <w:spacing w:line="240" w:lineRule="auto"/>
      </w:pPr>
    </w:p>
    <w:p w14:paraId="2CCAF729" w14:textId="77777777" w:rsidR="005B7911" w:rsidRDefault="005B7911" w:rsidP="00BB5ACB">
      <w:pPr>
        <w:spacing w:line="240" w:lineRule="auto"/>
      </w:pPr>
    </w:p>
    <w:p w14:paraId="48F2CE6F" w14:textId="77777777" w:rsidR="005B7911" w:rsidRDefault="005B7911" w:rsidP="00BB5ACB">
      <w:pPr>
        <w:spacing w:line="240" w:lineRule="auto"/>
      </w:pPr>
    </w:p>
    <w:p w14:paraId="6F83484B" w14:textId="77777777" w:rsidR="005B7911" w:rsidRDefault="005B7911" w:rsidP="00BB5ACB">
      <w:pPr>
        <w:spacing w:line="240" w:lineRule="auto"/>
      </w:pPr>
    </w:p>
    <w:p w14:paraId="1BD576C1" w14:textId="77777777" w:rsidR="005B7911" w:rsidRDefault="005B7911" w:rsidP="00BB5ACB">
      <w:pPr>
        <w:spacing w:line="240" w:lineRule="auto"/>
      </w:pPr>
    </w:p>
    <w:p w14:paraId="799C3CA5" w14:textId="0D20D0EC" w:rsidR="00CF71BD" w:rsidRPr="002D2026" w:rsidRDefault="008E08B3" w:rsidP="00BB5ACB">
      <w:pPr>
        <w:spacing w:after="0" w:line="240" w:lineRule="auto"/>
        <w:rPr>
          <w:b/>
          <w:bCs/>
        </w:rPr>
      </w:pPr>
      <w:bookmarkStart w:id="132" w:name="_Ref229739927"/>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12</w:t>
      </w:r>
      <w:r>
        <w:rPr>
          <w:b/>
          <w:bCs/>
        </w:rPr>
        <w:fldChar w:fldCharType="end"/>
      </w:r>
      <w:bookmarkEnd w:id="132"/>
      <w:r>
        <w:rPr>
          <w:b/>
          <w:bCs/>
        </w:rPr>
        <w:t>. Potential impact and adaptive capacity scoring rubric</w:t>
      </w:r>
    </w:p>
    <w:tbl>
      <w:tblPr>
        <w:tblStyle w:val="TableGrid"/>
        <w:tblW w:w="9350" w:type="dxa"/>
        <w:tblLook w:val="06A0" w:firstRow="1" w:lastRow="0" w:firstColumn="1" w:lastColumn="0" w:noHBand="1" w:noVBand="1"/>
        <w:tblDescription w:val="Descriptions of low, medium, and high potential and low, medium, and high adaptive capacity."/>
      </w:tblPr>
      <w:tblGrid>
        <w:gridCol w:w="1410"/>
        <w:gridCol w:w="4275"/>
        <w:gridCol w:w="3665"/>
      </w:tblGrid>
      <w:tr w:rsidR="00CF71BD" w:rsidRPr="00B17CBE" w14:paraId="15ABC7C4" w14:textId="77777777" w:rsidTr="007107AC">
        <w:trPr>
          <w:trHeight w:val="300"/>
        </w:trPr>
        <w:tc>
          <w:tcPr>
            <w:tcW w:w="1410" w:type="dxa"/>
            <w:shd w:val="clear" w:color="auto" w:fill="000000" w:themeFill="text1"/>
          </w:tcPr>
          <w:p w14:paraId="79CF7AFA" w14:textId="77777777" w:rsidR="00CF71BD" w:rsidRPr="000A49F5" w:rsidRDefault="00CF71BD" w:rsidP="00BB5ACB">
            <w:pPr>
              <w:rPr>
                <w:b/>
                <w:bCs/>
              </w:rPr>
            </w:pPr>
            <w:r>
              <w:rPr>
                <w:b/>
                <w:bCs/>
              </w:rPr>
              <w:t>Score</w:t>
            </w:r>
          </w:p>
        </w:tc>
        <w:tc>
          <w:tcPr>
            <w:tcW w:w="4275" w:type="dxa"/>
            <w:shd w:val="clear" w:color="auto" w:fill="000000" w:themeFill="text1"/>
          </w:tcPr>
          <w:p w14:paraId="27ADBE89" w14:textId="77777777" w:rsidR="00CF71BD" w:rsidRPr="000A49F5" w:rsidRDefault="00CF71BD" w:rsidP="00BB5ACB">
            <w:pPr>
              <w:rPr>
                <w:b/>
                <w:bCs/>
              </w:rPr>
            </w:pPr>
            <w:r>
              <w:rPr>
                <w:b/>
                <w:bCs/>
              </w:rPr>
              <w:t>Potential</w:t>
            </w:r>
          </w:p>
        </w:tc>
        <w:tc>
          <w:tcPr>
            <w:tcW w:w="3665" w:type="dxa"/>
            <w:shd w:val="clear" w:color="auto" w:fill="000000" w:themeFill="text1"/>
          </w:tcPr>
          <w:p w14:paraId="4F734F08" w14:textId="1854F7CC" w:rsidR="00CF71BD" w:rsidRPr="000A49F5" w:rsidRDefault="00CF71BD" w:rsidP="00BB5ACB">
            <w:pPr>
              <w:rPr>
                <w:b/>
                <w:bCs/>
              </w:rPr>
            </w:pPr>
            <w:r>
              <w:rPr>
                <w:b/>
                <w:bCs/>
              </w:rPr>
              <w:t>Adaptive Capacity</w:t>
            </w:r>
          </w:p>
        </w:tc>
      </w:tr>
      <w:tr w:rsidR="00CF71BD" w:rsidRPr="00B17CBE" w14:paraId="704BB71C" w14:textId="77777777">
        <w:trPr>
          <w:trHeight w:val="300"/>
        </w:trPr>
        <w:tc>
          <w:tcPr>
            <w:tcW w:w="1410" w:type="dxa"/>
          </w:tcPr>
          <w:p w14:paraId="7A1B6638" w14:textId="77777777" w:rsidR="00CF71BD" w:rsidRPr="00B17CBE" w:rsidRDefault="00CF71BD" w:rsidP="00BB5ACB">
            <w:r>
              <w:t>Low</w:t>
            </w:r>
          </w:p>
        </w:tc>
        <w:tc>
          <w:tcPr>
            <w:tcW w:w="4275" w:type="dxa"/>
          </w:tcPr>
          <w:p w14:paraId="082D5F25" w14:textId="472042D0" w:rsidR="00CF71BD" w:rsidRPr="00B17CBE" w:rsidRDefault="00CF71BD" w:rsidP="00BB5ACB">
            <w:r>
              <w:t>Impact is unlikely based on projected exposure; would result in minor consequences to public health, safety, and/or other metrics of concern.</w:t>
            </w:r>
          </w:p>
        </w:tc>
        <w:tc>
          <w:tcPr>
            <w:tcW w:w="3665" w:type="dxa"/>
          </w:tcPr>
          <w:p w14:paraId="4FA7B807" w14:textId="5DEA4842" w:rsidR="00CF71BD" w:rsidRPr="00B17CBE" w:rsidRDefault="00CF71BD" w:rsidP="00BB5ACB">
            <w:r>
              <w:t>The population or asset lacks capacity to manage climate impact; major changes would be required.</w:t>
            </w:r>
          </w:p>
        </w:tc>
      </w:tr>
      <w:tr w:rsidR="00CF71BD" w:rsidRPr="00B17CBE" w14:paraId="50742415" w14:textId="77777777" w:rsidTr="007107AC">
        <w:trPr>
          <w:trHeight w:val="300"/>
        </w:trPr>
        <w:tc>
          <w:tcPr>
            <w:tcW w:w="1410" w:type="dxa"/>
            <w:shd w:val="clear" w:color="auto" w:fill="D9D9D9" w:themeFill="background1" w:themeFillShade="D9"/>
          </w:tcPr>
          <w:p w14:paraId="23BCB3D2" w14:textId="77777777" w:rsidR="00CF71BD" w:rsidRPr="00B17CBE" w:rsidRDefault="00CF71BD" w:rsidP="00BB5ACB">
            <w:r>
              <w:t>Medium</w:t>
            </w:r>
          </w:p>
        </w:tc>
        <w:tc>
          <w:tcPr>
            <w:tcW w:w="4275" w:type="dxa"/>
            <w:shd w:val="clear" w:color="auto" w:fill="D9D9D9" w:themeFill="background1" w:themeFillShade="D9"/>
          </w:tcPr>
          <w:p w14:paraId="7742FFB7" w14:textId="0385CB09" w:rsidR="00CF71BD" w:rsidRPr="00B17CBE" w:rsidRDefault="00CF71BD" w:rsidP="00BB5ACB">
            <w:r>
              <w:t>Impact is somewhat likely based on projected exposure; would result in some consequences to public health, safety, and/or other metrics of concern.</w:t>
            </w:r>
          </w:p>
        </w:tc>
        <w:tc>
          <w:tcPr>
            <w:tcW w:w="3665" w:type="dxa"/>
            <w:shd w:val="clear" w:color="auto" w:fill="D9D9D9" w:themeFill="background1" w:themeFillShade="D9"/>
          </w:tcPr>
          <w:p w14:paraId="6058F9CD" w14:textId="79C25E5A" w:rsidR="00CF71BD" w:rsidRPr="00B17CBE" w:rsidRDefault="00CF71BD" w:rsidP="00BB5ACB">
            <w:r>
              <w:t>The population or asset has some capacity to manage climate impact; some changes would be required.</w:t>
            </w:r>
          </w:p>
        </w:tc>
      </w:tr>
      <w:tr w:rsidR="00CF71BD" w:rsidRPr="00B17CBE" w14:paraId="014284B5" w14:textId="77777777">
        <w:trPr>
          <w:trHeight w:val="300"/>
        </w:trPr>
        <w:tc>
          <w:tcPr>
            <w:tcW w:w="1410" w:type="dxa"/>
          </w:tcPr>
          <w:p w14:paraId="12992814" w14:textId="6608857A" w:rsidR="00CF71BD" w:rsidRPr="00B17CBE" w:rsidRDefault="00CF71BD" w:rsidP="00BB5ACB">
            <w:r>
              <w:t>High</w:t>
            </w:r>
          </w:p>
        </w:tc>
        <w:tc>
          <w:tcPr>
            <w:tcW w:w="4275" w:type="dxa"/>
          </w:tcPr>
          <w:p w14:paraId="18A330B4" w14:textId="6905FABF" w:rsidR="00CF71BD" w:rsidRPr="00B17CBE" w:rsidRDefault="00CF71BD" w:rsidP="00BB5ACB">
            <w:r>
              <w:t>Impact is highly likely based on projected exposure; would result in substantial consequences to public health, safety, and/or other metrics of concern.</w:t>
            </w:r>
          </w:p>
        </w:tc>
        <w:tc>
          <w:tcPr>
            <w:tcW w:w="3665" w:type="dxa"/>
          </w:tcPr>
          <w:p w14:paraId="47902E06" w14:textId="4E53DC7E" w:rsidR="00CF71BD" w:rsidRPr="00B17CBE" w:rsidRDefault="00CF71BD" w:rsidP="00BB5ACB">
            <w:r>
              <w:t>The population or asset has high capacity to manage climate impact; minimal to no changes are required.</w:t>
            </w:r>
          </w:p>
        </w:tc>
      </w:tr>
    </w:tbl>
    <w:p w14:paraId="78C8FA5E" w14:textId="6D898960" w:rsidR="008E5484" w:rsidRDefault="00CF71BD" w:rsidP="000963B2">
      <w:pPr>
        <w:spacing w:before="160" w:line="240" w:lineRule="auto"/>
      </w:pPr>
      <w:r>
        <w:t xml:space="preserve">After scoring the potential impact and adaptive capacity for each population and asset for the relevant climate hazards, use the matrix in </w:t>
      </w:r>
      <w:r>
        <w:rPr>
          <w:u w:val="single"/>
        </w:rPr>
        <w:fldChar w:fldCharType="begin"/>
      </w:r>
      <w:r>
        <w:rPr>
          <w:u w:val="single"/>
        </w:rPr>
        <w:instrText xml:space="preserve"> REF _Ref230268232 \h  \* MERGEFORMAT </w:instrText>
      </w:r>
      <w:r>
        <w:rPr>
          <w:u w:val="single"/>
        </w:rPr>
      </w:r>
      <w:r>
        <w:rPr>
          <w:u w:val="single"/>
        </w:rPr>
        <w:fldChar w:fldCharType="separate"/>
      </w:r>
      <w:r w:rsidR="00517691" w:rsidRPr="00517691">
        <w:rPr>
          <w:u w:val="single"/>
        </w:rPr>
        <w:t xml:space="preserve">Table </w:t>
      </w:r>
      <w:r w:rsidR="00517691">
        <w:rPr>
          <w:b/>
          <w:bCs/>
          <w:noProof/>
        </w:rPr>
        <w:t>13</w:t>
      </w:r>
      <w:r>
        <w:rPr>
          <w:u w:val="single"/>
        </w:rPr>
        <w:fldChar w:fldCharType="end"/>
      </w:r>
      <w:r>
        <w:t>.</w:t>
      </w:r>
    </w:p>
    <w:p w14:paraId="5139E50E" w14:textId="739E2EAD" w:rsidR="00CF71BD" w:rsidRPr="00994070" w:rsidRDefault="00D02A16" w:rsidP="00BB5ACB">
      <w:pPr>
        <w:spacing w:after="0" w:line="240" w:lineRule="auto"/>
        <w:rPr>
          <w:b/>
          <w:bCs/>
        </w:rPr>
      </w:pPr>
      <w:bookmarkStart w:id="133" w:name="_Ref230268232"/>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13</w:t>
      </w:r>
      <w:r>
        <w:rPr>
          <w:b/>
          <w:bCs/>
        </w:rPr>
        <w:fldChar w:fldCharType="end"/>
      </w:r>
      <w:bookmarkEnd w:id="133"/>
      <w:r>
        <w:rPr>
          <w:b/>
          <w:bCs/>
        </w:rPr>
        <w:t>. Vulnerability score matrix example</w:t>
      </w:r>
    </w:p>
    <w:tbl>
      <w:tblPr>
        <w:tblStyle w:val="TableGrid"/>
        <w:tblW w:w="9339" w:type="dxa"/>
        <w:tblInd w:w="-5" w:type="dxa"/>
        <w:tblLook w:val="06A0" w:firstRow="1" w:lastRow="0" w:firstColumn="1" w:lastColumn="0" w:noHBand="1" w:noVBand="1"/>
        <w:tblDescription w:val="Example of how one might score adaptive capacity vs potential impacts"/>
      </w:tblPr>
      <w:tblGrid>
        <w:gridCol w:w="3240"/>
        <w:gridCol w:w="1879"/>
        <w:gridCol w:w="2351"/>
        <w:gridCol w:w="1869"/>
      </w:tblGrid>
      <w:tr w:rsidR="008F1633" w:rsidRPr="00B17CBE" w14:paraId="27E9C296" w14:textId="77777777" w:rsidTr="007107AC">
        <w:trPr>
          <w:trHeight w:val="576"/>
        </w:trPr>
        <w:tc>
          <w:tcPr>
            <w:tcW w:w="3240" w:type="dxa"/>
            <w:shd w:val="clear" w:color="auto" w:fill="000000" w:themeFill="text1"/>
          </w:tcPr>
          <w:p w14:paraId="44FE8224" w14:textId="77777777" w:rsidR="00EE4E95" w:rsidRPr="00B17CBE" w:rsidRDefault="00EE4E95" w:rsidP="00BB5ACB">
            <w:pPr>
              <w:jc w:val="center"/>
            </w:pPr>
          </w:p>
        </w:tc>
        <w:tc>
          <w:tcPr>
            <w:tcW w:w="1879" w:type="dxa"/>
            <w:shd w:val="clear" w:color="auto" w:fill="000000" w:themeFill="text1"/>
            <w:vAlign w:val="center"/>
          </w:tcPr>
          <w:p w14:paraId="72D37FCF" w14:textId="6C14C7C6" w:rsidR="00EE4E95" w:rsidRPr="00EE4E95" w:rsidRDefault="00EE4E95" w:rsidP="00BB5ACB">
            <w:pPr>
              <w:jc w:val="center"/>
              <w:rPr>
                <w:b/>
                <w:bCs/>
              </w:rPr>
            </w:pPr>
            <w:r>
              <w:rPr>
                <w:b/>
                <w:bCs/>
              </w:rPr>
              <w:t>High Adaptive Capacity</w:t>
            </w:r>
          </w:p>
        </w:tc>
        <w:tc>
          <w:tcPr>
            <w:tcW w:w="2351" w:type="dxa"/>
            <w:shd w:val="clear" w:color="auto" w:fill="000000" w:themeFill="text1"/>
            <w:vAlign w:val="center"/>
          </w:tcPr>
          <w:p w14:paraId="36DB1525" w14:textId="13FF21C4" w:rsidR="00EE4E95" w:rsidRPr="00EE4E95" w:rsidRDefault="00EE4E95" w:rsidP="00BB5ACB">
            <w:pPr>
              <w:jc w:val="center"/>
              <w:rPr>
                <w:b/>
                <w:bCs/>
              </w:rPr>
            </w:pPr>
            <w:r>
              <w:rPr>
                <w:b/>
                <w:bCs/>
              </w:rPr>
              <w:t>Medium Adaptive Capacity</w:t>
            </w:r>
          </w:p>
        </w:tc>
        <w:tc>
          <w:tcPr>
            <w:tcW w:w="1869" w:type="dxa"/>
            <w:shd w:val="clear" w:color="auto" w:fill="000000" w:themeFill="text1"/>
            <w:vAlign w:val="center"/>
          </w:tcPr>
          <w:p w14:paraId="0DC70A7B" w14:textId="5AC2C08B" w:rsidR="00EE4E95" w:rsidRPr="00EE4E95" w:rsidRDefault="00EE4E95" w:rsidP="00BB5ACB">
            <w:pPr>
              <w:jc w:val="center"/>
              <w:rPr>
                <w:b/>
                <w:bCs/>
              </w:rPr>
            </w:pPr>
            <w:r>
              <w:rPr>
                <w:b/>
                <w:bCs/>
              </w:rPr>
              <w:t>Low Adaptive Capacity</w:t>
            </w:r>
          </w:p>
        </w:tc>
      </w:tr>
      <w:tr w:rsidR="00EE4E95" w:rsidRPr="00B17CBE" w14:paraId="7DA1BD01" w14:textId="77777777" w:rsidTr="00F02178">
        <w:trPr>
          <w:trHeight w:val="432"/>
        </w:trPr>
        <w:tc>
          <w:tcPr>
            <w:tcW w:w="3240" w:type="dxa"/>
            <w:vAlign w:val="center"/>
          </w:tcPr>
          <w:p w14:paraId="5E02265C" w14:textId="7433EA39" w:rsidR="00EE4E95" w:rsidRPr="00EE4E95" w:rsidRDefault="005945C9" w:rsidP="00BB5ACB">
            <w:pPr>
              <w:jc w:val="center"/>
              <w:rPr>
                <w:b/>
                <w:bCs/>
              </w:rPr>
            </w:pPr>
            <w:r>
              <w:rPr>
                <w:b/>
                <w:bCs/>
              </w:rPr>
              <w:t>High Potential Impacts</w:t>
            </w:r>
          </w:p>
        </w:tc>
        <w:tc>
          <w:tcPr>
            <w:tcW w:w="1879" w:type="dxa"/>
            <w:vAlign w:val="center"/>
          </w:tcPr>
          <w:p w14:paraId="13868425" w14:textId="77777777" w:rsidR="00EE4E95" w:rsidRPr="00B17CBE" w:rsidRDefault="00EE4E95" w:rsidP="00BB5ACB">
            <w:pPr>
              <w:jc w:val="center"/>
            </w:pPr>
            <w:r>
              <w:t>3</w:t>
            </w:r>
          </w:p>
        </w:tc>
        <w:tc>
          <w:tcPr>
            <w:tcW w:w="2351" w:type="dxa"/>
            <w:vAlign w:val="center"/>
          </w:tcPr>
          <w:p w14:paraId="2A88486C" w14:textId="77777777" w:rsidR="00EE4E95" w:rsidRPr="00B17CBE" w:rsidRDefault="00EE4E95" w:rsidP="00BB5ACB">
            <w:pPr>
              <w:jc w:val="center"/>
            </w:pPr>
            <w:r>
              <w:t>4</w:t>
            </w:r>
          </w:p>
        </w:tc>
        <w:tc>
          <w:tcPr>
            <w:tcW w:w="1869" w:type="dxa"/>
            <w:vAlign w:val="center"/>
          </w:tcPr>
          <w:p w14:paraId="494F2DED" w14:textId="77777777" w:rsidR="00EE4E95" w:rsidRPr="00B17CBE" w:rsidRDefault="00EE4E95" w:rsidP="00BB5ACB">
            <w:pPr>
              <w:jc w:val="center"/>
            </w:pPr>
            <w:r>
              <w:t>5</w:t>
            </w:r>
          </w:p>
        </w:tc>
      </w:tr>
      <w:tr w:rsidR="008F1633" w:rsidRPr="00B17CBE" w14:paraId="74AF5D57" w14:textId="77777777" w:rsidTr="007107AC">
        <w:trPr>
          <w:trHeight w:val="432"/>
        </w:trPr>
        <w:tc>
          <w:tcPr>
            <w:tcW w:w="3240" w:type="dxa"/>
            <w:shd w:val="clear" w:color="auto" w:fill="D9D9D9" w:themeFill="background1" w:themeFillShade="D9"/>
            <w:vAlign w:val="center"/>
          </w:tcPr>
          <w:p w14:paraId="6F33E087" w14:textId="4723E515" w:rsidR="00EE4E95" w:rsidRPr="00EE4E95" w:rsidRDefault="005945C9" w:rsidP="00F02178">
            <w:pPr>
              <w:ind w:left="-111" w:right="-107"/>
              <w:jc w:val="center"/>
              <w:rPr>
                <w:b/>
                <w:bCs/>
              </w:rPr>
            </w:pPr>
            <w:r>
              <w:rPr>
                <w:b/>
                <w:bCs/>
              </w:rPr>
              <w:t>Medium Potential Impacts</w:t>
            </w:r>
          </w:p>
        </w:tc>
        <w:tc>
          <w:tcPr>
            <w:tcW w:w="1879" w:type="dxa"/>
            <w:shd w:val="clear" w:color="auto" w:fill="D9D9D9" w:themeFill="background1" w:themeFillShade="D9"/>
            <w:vAlign w:val="center"/>
          </w:tcPr>
          <w:p w14:paraId="34398E95" w14:textId="77777777" w:rsidR="00EE4E95" w:rsidRPr="00B17CBE" w:rsidRDefault="00EE4E95" w:rsidP="00BB5ACB">
            <w:pPr>
              <w:jc w:val="center"/>
            </w:pPr>
            <w:r>
              <w:t>2</w:t>
            </w:r>
          </w:p>
        </w:tc>
        <w:tc>
          <w:tcPr>
            <w:tcW w:w="2351" w:type="dxa"/>
            <w:shd w:val="clear" w:color="auto" w:fill="D9D9D9" w:themeFill="background1" w:themeFillShade="D9"/>
            <w:vAlign w:val="center"/>
          </w:tcPr>
          <w:p w14:paraId="1F1FC791" w14:textId="77777777" w:rsidR="00EE4E95" w:rsidRPr="00B17CBE" w:rsidRDefault="00EE4E95" w:rsidP="00BB5ACB">
            <w:pPr>
              <w:jc w:val="center"/>
            </w:pPr>
            <w:r>
              <w:t>3</w:t>
            </w:r>
          </w:p>
        </w:tc>
        <w:tc>
          <w:tcPr>
            <w:tcW w:w="1869" w:type="dxa"/>
            <w:shd w:val="clear" w:color="auto" w:fill="D9D9D9" w:themeFill="background1" w:themeFillShade="D9"/>
            <w:vAlign w:val="center"/>
          </w:tcPr>
          <w:p w14:paraId="2137CC8F" w14:textId="77777777" w:rsidR="00EE4E95" w:rsidRPr="00B17CBE" w:rsidRDefault="00EE4E95" w:rsidP="00BB5ACB">
            <w:pPr>
              <w:jc w:val="center"/>
            </w:pPr>
            <w:r>
              <w:t>4</w:t>
            </w:r>
          </w:p>
        </w:tc>
      </w:tr>
      <w:tr w:rsidR="00EE4E95" w:rsidRPr="00B17CBE" w14:paraId="090159B1" w14:textId="77777777" w:rsidTr="00F02178">
        <w:trPr>
          <w:trHeight w:val="432"/>
        </w:trPr>
        <w:tc>
          <w:tcPr>
            <w:tcW w:w="3240" w:type="dxa"/>
            <w:vAlign w:val="center"/>
          </w:tcPr>
          <w:p w14:paraId="4A4475E1" w14:textId="50878368" w:rsidR="00EE4E95" w:rsidRPr="00EE4E95" w:rsidRDefault="00EE4E95" w:rsidP="00BB5ACB">
            <w:pPr>
              <w:jc w:val="center"/>
              <w:rPr>
                <w:b/>
                <w:bCs/>
              </w:rPr>
            </w:pPr>
            <w:r>
              <w:rPr>
                <w:b/>
                <w:bCs/>
              </w:rPr>
              <w:t>Low Potential Impacts</w:t>
            </w:r>
          </w:p>
        </w:tc>
        <w:tc>
          <w:tcPr>
            <w:tcW w:w="1879" w:type="dxa"/>
            <w:vAlign w:val="center"/>
          </w:tcPr>
          <w:p w14:paraId="3F6B0D1C" w14:textId="199F990B" w:rsidR="00EE4E95" w:rsidRPr="00B17CBE" w:rsidRDefault="00EE4E95" w:rsidP="00BB5ACB">
            <w:pPr>
              <w:jc w:val="center"/>
            </w:pPr>
            <w:r>
              <w:t>1</w:t>
            </w:r>
          </w:p>
        </w:tc>
        <w:tc>
          <w:tcPr>
            <w:tcW w:w="2351" w:type="dxa"/>
            <w:vAlign w:val="center"/>
          </w:tcPr>
          <w:p w14:paraId="08E2B2E2" w14:textId="2AA03D71" w:rsidR="00EE4E95" w:rsidRPr="00B17CBE" w:rsidRDefault="00EE4E95" w:rsidP="00BB5ACB">
            <w:pPr>
              <w:jc w:val="center"/>
            </w:pPr>
            <w:r>
              <w:t>2</w:t>
            </w:r>
          </w:p>
        </w:tc>
        <w:tc>
          <w:tcPr>
            <w:tcW w:w="1869" w:type="dxa"/>
            <w:vAlign w:val="center"/>
          </w:tcPr>
          <w:p w14:paraId="7BF5350E" w14:textId="556D32BB" w:rsidR="00EE4E95" w:rsidRPr="00B17CBE" w:rsidRDefault="00EE4E95" w:rsidP="00BB5ACB">
            <w:pPr>
              <w:jc w:val="center"/>
            </w:pPr>
            <w:r>
              <w:t>3</w:t>
            </w:r>
          </w:p>
        </w:tc>
      </w:tr>
    </w:tbl>
    <w:p w14:paraId="4492A3B9" w14:textId="04EBE901" w:rsidR="00CF71BD" w:rsidRDefault="00CF71BD" w:rsidP="000963B2">
      <w:pPr>
        <w:spacing w:before="160" w:line="240" w:lineRule="auto"/>
      </w:pPr>
      <w:r>
        <w:t>Record a description of each population and asset and the associated potential impact, adaptive capacity, and vulnerability scores in a table such as the one below.</w:t>
      </w:r>
    </w:p>
    <w:p w14:paraId="489FB750" w14:textId="4272978A" w:rsidR="00CF71BD" w:rsidRPr="00994070" w:rsidRDefault="00D02A16" w:rsidP="00BB5ACB">
      <w:pPr>
        <w:spacing w:after="0" w:line="240" w:lineRule="auto"/>
        <w:rPr>
          <w:b/>
          <w:bCs/>
        </w:rPr>
      </w:pPr>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14</w:t>
      </w:r>
      <w:r>
        <w:rPr>
          <w:b/>
          <w:bCs/>
        </w:rPr>
        <w:fldChar w:fldCharType="end"/>
      </w:r>
      <w:r>
        <w:rPr>
          <w:b/>
          <w:bCs/>
        </w:rPr>
        <w:t>. Vulnerability scoring worksheet example</w:t>
      </w:r>
    </w:p>
    <w:tbl>
      <w:tblPr>
        <w:tblStyle w:val="TableGrid"/>
        <w:tblW w:w="9355" w:type="dxa"/>
        <w:tblLook w:val="06A0" w:firstRow="1" w:lastRow="0" w:firstColumn="1" w:lastColumn="0" w:noHBand="1" w:noVBand="1"/>
        <w:tblCaption w:val="vulnerability scoring worksheet"/>
        <w:tblDescription w:val="Example of 2 vulnerability descriptions with their associated potential impact score, adaptive capacity score, and overall vulnerability score"/>
      </w:tblPr>
      <w:tblGrid>
        <w:gridCol w:w="3955"/>
        <w:gridCol w:w="1244"/>
        <w:gridCol w:w="1384"/>
        <w:gridCol w:w="2772"/>
      </w:tblGrid>
      <w:tr w:rsidR="00EA4DD7" w:rsidRPr="00B17CBE" w14:paraId="11C7042D" w14:textId="77777777" w:rsidTr="009650B1">
        <w:trPr>
          <w:trHeight w:val="300"/>
        </w:trPr>
        <w:tc>
          <w:tcPr>
            <w:tcW w:w="3955" w:type="dxa"/>
            <w:shd w:val="clear" w:color="auto" w:fill="000000" w:themeFill="text1"/>
            <w:vAlign w:val="center"/>
          </w:tcPr>
          <w:p w14:paraId="4EDFF703" w14:textId="3DA265E5" w:rsidR="00EA4DD7" w:rsidRPr="00B17CBE" w:rsidRDefault="00EA4DD7" w:rsidP="00BB5ACB">
            <w:pPr>
              <w:pStyle w:val="TableParagraph"/>
              <w:jc w:val="center"/>
            </w:pPr>
            <w:r>
              <w:rPr>
                <w:b/>
                <w:bCs/>
              </w:rPr>
              <w:t>Vulnerability Description</w:t>
            </w:r>
          </w:p>
        </w:tc>
        <w:tc>
          <w:tcPr>
            <w:tcW w:w="1244" w:type="dxa"/>
            <w:shd w:val="clear" w:color="auto" w:fill="000000" w:themeFill="text1"/>
            <w:vAlign w:val="center"/>
          </w:tcPr>
          <w:p w14:paraId="011415B8" w14:textId="1A2BE27A" w:rsidR="00EA4DD7" w:rsidRPr="00B17CBE" w:rsidRDefault="00EA4DD7" w:rsidP="00F02178">
            <w:pPr>
              <w:jc w:val="center"/>
            </w:pPr>
            <w:r>
              <w:rPr>
                <w:b/>
                <w:bCs/>
              </w:rPr>
              <w:t>Potential Impact Score</w:t>
            </w:r>
          </w:p>
        </w:tc>
        <w:tc>
          <w:tcPr>
            <w:tcW w:w="1384" w:type="dxa"/>
            <w:shd w:val="clear" w:color="auto" w:fill="000000" w:themeFill="text1"/>
            <w:vAlign w:val="center"/>
          </w:tcPr>
          <w:p w14:paraId="7A91EF55" w14:textId="209C2575" w:rsidR="00EA4DD7" w:rsidRPr="00B17CBE" w:rsidRDefault="00EA4DD7" w:rsidP="00F02178">
            <w:pPr>
              <w:jc w:val="center"/>
            </w:pPr>
            <w:r>
              <w:rPr>
                <w:b/>
                <w:bCs/>
              </w:rPr>
              <w:t>Adaptive Capacity Score</w:t>
            </w:r>
          </w:p>
        </w:tc>
        <w:tc>
          <w:tcPr>
            <w:tcW w:w="2772" w:type="dxa"/>
            <w:shd w:val="clear" w:color="auto" w:fill="000000" w:themeFill="text1"/>
            <w:vAlign w:val="center"/>
          </w:tcPr>
          <w:p w14:paraId="4B9798A0" w14:textId="2155C9C1" w:rsidR="00EA4DD7" w:rsidRPr="00B17CBE" w:rsidRDefault="00EA4DD7" w:rsidP="00F02178">
            <w:pPr>
              <w:jc w:val="center"/>
            </w:pPr>
            <w:r>
              <w:rPr>
                <w:b/>
                <w:bCs/>
              </w:rPr>
              <w:t>Overall Vulnerability Score</w:t>
            </w:r>
          </w:p>
        </w:tc>
      </w:tr>
      <w:tr w:rsidR="00CF71BD" w:rsidRPr="00B17CBE" w14:paraId="3B5C1ACD" w14:textId="77777777" w:rsidTr="009650B1">
        <w:trPr>
          <w:trHeight w:val="300"/>
        </w:trPr>
        <w:tc>
          <w:tcPr>
            <w:tcW w:w="3955" w:type="dxa"/>
          </w:tcPr>
          <w:p w14:paraId="699D24EC" w14:textId="2ED5434B" w:rsidR="00CF71BD" w:rsidRPr="00B17CBE" w:rsidRDefault="00CF71BD" w:rsidP="000A6984">
            <w:pPr>
              <w:pStyle w:val="TableParagraph"/>
              <w:ind w:left="-30"/>
            </w:pPr>
            <w:r>
              <w:t>Flooding preventing entry to emergency operations center</w:t>
            </w:r>
          </w:p>
        </w:tc>
        <w:tc>
          <w:tcPr>
            <w:tcW w:w="1244" w:type="dxa"/>
            <w:vAlign w:val="center"/>
          </w:tcPr>
          <w:p w14:paraId="704A521F" w14:textId="77777777" w:rsidR="00CF71BD" w:rsidRPr="00B17CBE" w:rsidRDefault="00CF71BD" w:rsidP="00F02178">
            <w:pPr>
              <w:pStyle w:val="TableParagraph"/>
              <w:ind w:left="0"/>
              <w:jc w:val="center"/>
            </w:pPr>
            <w:r>
              <w:t>Medium</w:t>
            </w:r>
          </w:p>
        </w:tc>
        <w:tc>
          <w:tcPr>
            <w:tcW w:w="1384" w:type="dxa"/>
            <w:vAlign w:val="center"/>
          </w:tcPr>
          <w:p w14:paraId="462EF6E0" w14:textId="77777777" w:rsidR="00CF71BD" w:rsidRPr="00B17CBE" w:rsidRDefault="00CF71BD" w:rsidP="00F02178">
            <w:pPr>
              <w:pStyle w:val="TableParagraph"/>
              <w:ind w:left="0"/>
              <w:jc w:val="center"/>
            </w:pPr>
            <w:r>
              <w:t>Medium</w:t>
            </w:r>
          </w:p>
        </w:tc>
        <w:tc>
          <w:tcPr>
            <w:tcW w:w="2772" w:type="dxa"/>
            <w:vAlign w:val="center"/>
          </w:tcPr>
          <w:p w14:paraId="2CFB2F8E" w14:textId="77777777" w:rsidR="00CF71BD" w:rsidRPr="00B17CBE" w:rsidRDefault="00CF71BD" w:rsidP="00F02178">
            <w:pPr>
              <w:pStyle w:val="TableParagraph"/>
              <w:ind w:left="0"/>
              <w:jc w:val="center"/>
            </w:pPr>
            <w:r>
              <w:t>3</w:t>
            </w:r>
          </w:p>
        </w:tc>
      </w:tr>
      <w:tr w:rsidR="00CF71BD" w:rsidRPr="00B17CBE" w14:paraId="1EB6E7BB" w14:textId="77777777" w:rsidTr="009650B1">
        <w:trPr>
          <w:trHeight w:val="300"/>
        </w:trPr>
        <w:tc>
          <w:tcPr>
            <w:tcW w:w="3955" w:type="dxa"/>
            <w:shd w:val="clear" w:color="auto" w:fill="D9D9D9" w:themeFill="background1" w:themeFillShade="D9"/>
          </w:tcPr>
          <w:p w14:paraId="577CF77F" w14:textId="159E38F6" w:rsidR="00CF71BD" w:rsidRPr="00B17CBE" w:rsidRDefault="00CF71BD" w:rsidP="000A6984">
            <w:pPr>
              <w:pStyle w:val="TableParagraph"/>
              <w:ind w:left="-30"/>
            </w:pPr>
            <w:r>
              <w:t>Wildfire inhibiting provision of key public services</w:t>
            </w:r>
          </w:p>
        </w:tc>
        <w:tc>
          <w:tcPr>
            <w:tcW w:w="1244" w:type="dxa"/>
            <w:shd w:val="clear" w:color="auto" w:fill="D9D9D9" w:themeFill="background1" w:themeFillShade="D9"/>
            <w:vAlign w:val="center"/>
          </w:tcPr>
          <w:p w14:paraId="702FB8D9" w14:textId="77777777" w:rsidR="00CF71BD" w:rsidRPr="00B17CBE" w:rsidRDefault="00CF71BD" w:rsidP="00F02178">
            <w:pPr>
              <w:pStyle w:val="TableParagraph"/>
              <w:ind w:left="0"/>
              <w:jc w:val="center"/>
            </w:pPr>
            <w:r>
              <w:t>High</w:t>
            </w:r>
          </w:p>
        </w:tc>
        <w:tc>
          <w:tcPr>
            <w:tcW w:w="1384" w:type="dxa"/>
            <w:shd w:val="clear" w:color="auto" w:fill="D9D9D9" w:themeFill="background1" w:themeFillShade="D9"/>
            <w:vAlign w:val="center"/>
          </w:tcPr>
          <w:p w14:paraId="71D34461" w14:textId="77777777" w:rsidR="00CF71BD" w:rsidRPr="00B17CBE" w:rsidRDefault="00CF71BD" w:rsidP="00F02178">
            <w:pPr>
              <w:pStyle w:val="TableParagraph"/>
              <w:ind w:left="0"/>
              <w:jc w:val="center"/>
            </w:pPr>
            <w:r>
              <w:t>Low</w:t>
            </w:r>
          </w:p>
        </w:tc>
        <w:tc>
          <w:tcPr>
            <w:tcW w:w="2772" w:type="dxa"/>
            <w:shd w:val="clear" w:color="auto" w:fill="D9D9D9" w:themeFill="background1" w:themeFillShade="D9"/>
            <w:vAlign w:val="center"/>
          </w:tcPr>
          <w:p w14:paraId="50F33EA4" w14:textId="77777777" w:rsidR="00CF71BD" w:rsidRPr="00B17CBE" w:rsidRDefault="00CF71BD" w:rsidP="00F02178">
            <w:pPr>
              <w:pStyle w:val="TableParagraph"/>
              <w:ind w:left="0"/>
              <w:jc w:val="center"/>
            </w:pPr>
            <w:r>
              <w:t>5</w:t>
            </w:r>
          </w:p>
        </w:tc>
      </w:tr>
    </w:tbl>
    <w:p w14:paraId="69E4B5B7" w14:textId="11970C6B" w:rsidR="000422BB" w:rsidRDefault="00CF71BD" w:rsidP="006254FD">
      <w:pPr>
        <w:spacing w:before="160" w:line="240" w:lineRule="auto"/>
      </w:pPr>
      <w:r>
        <w:t>These scores will be used to determine which vulnerabilities are most pressing and should be prioritized for designing adaptation strategies in Phase 3.</w:t>
      </w:r>
    </w:p>
    <w:tbl>
      <w:tblPr>
        <w:tblStyle w:val="TableGrid"/>
        <w:tblW w:w="0" w:type="auto"/>
        <w:tblLook w:val="04A0" w:firstRow="1" w:lastRow="0" w:firstColumn="1" w:lastColumn="0" w:noHBand="0" w:noVBand="1"/>
      </w:tblPr>
      <w:tblGrid>
        <w:gridCol w:w="9360"/>
      </w:tblGrid>
      <w:tr w:rsidR="00C07E0C" w:rsidRPr="00C07E0C" w14:paraId="11C0C397" w14:textId="77777777" w:rsidTr="001A275F">
        <w:trPr>
          <w:trHeight w:val="576"/>
        </w:trPr>
        <w:tc>
          <w:tcPr>
            <w:tcW w:w="9360" w:type="dxa"/>
            <w:tcBorders>
              <w:top w:val="nil"/>
              <w:left w:val="nil"/>
              <w:bottom w:val="nil"/>
              <w:right w:val="nil"/>
            </w:tcBorders>
            <w:shd w:val="clear" w:color="auto" w:fill="14581C"/>
            <w:vAlign w:val="center"/>
          </w:tcPr>
          <w:p w14:paraId="12F66657" w14:textId="7DA30309" w:rsidR="00C07E0C" w:rsidRPr="00C07E0C" w:rsidRDefault="004846BD" w:rsidP="00BB5ACB">
            <w:pPr>
              <w:rPr>
                <w:b/>
                <w:bCs/>
                <w:color w:val="FFFFFF" w:themeColor="background1"/>
              </w:rPr>
            </w:pPr>
            <w:r>
              <w:rPr>
                <w:b/>
                <w:color w:val="FFFFFF" w:themeColor="background1"/>
              </w:rPr>
              <w:t>Put It into Practice</w:t>
            </w:r>
          </w:p>
        </w:tc>
      </w:tr>
      <w:tr w:rsidR="00A22A81" w14:paraId="3C153BB3" w14:textId="77777777" w:rsidTr="00505542">
        <w:trPr>
          <w:trHeight w:val="2880"/>
        </w:trPr>
        <w:tc>
          <w:tcPr>
            <w:tcW w:w="9360" w:type="dxa"/>
            <w:tcBorders>
              <w:top w:val="nil"/>
              <w:left w:val="nil"/>
              <w:bottom w:val="nil"/>
              <w:right w:val="nil"/>
            </w:tcBorders>
            <w:shd w:val="clear" w:color="auto" w:fill="C1F0C7" w:themeFill="accent3" w:themeFillTint="33"/>
          </w:tcPr>
          <w:p w14:paraId="4B3D0296" w14:textId="3830BDC8" w:rsidR="005C79CB" w:rsidRDefault="00F0567B" w:rsidP="00074535">
            <w:pPr>
              <w:spacing w:before="120" w:after="160"/>
              <w:rPr>
                <w:rFonts w:eastAsia="Century Gothic" w:cs="Century Gothic"/>
                <w:color w:val="000000" w:themeColor="text1"/>
              </w:rPr>
            </w:pPr>
            <w:r>
              <w:rPr>
                <w:rFonts w:eastAsia="Century Gothic" w:cs="Century Gothic"/>
                <w:color w:val="000000" w:themeColor="text1"/>
              </w:rPr>
              <w:t xml:space="preserve">See </w:t>
            </w:r>
            <w:r>
              <w:rPr>
                <w:rFonts w:eastAsia="Century Gothic" w:cs="Century Gothic"/>
                <w:b/>
                <w:bCs/>
                <w:color w:val="000000" w:themeColor="text1"/>
              </w:rPr>
              <w:t xml:space="preserve">Appendix C – </w:t>
            </w:r>
            <w:r>
              <w:rPr>
                <w:rFonts w:eastAsia="Century Gothic" w:cs="Century Gothic"/>
                <w:b/>
                <w:bCs/>
                <w:color w:val="000000" w:themeColor="text1"/>
              </w:rPr>
              <w:fldChar w:fldCharType="begin"/>
            </w:r>
            <w:r>
              <w:rPr>
                <w:rFonts w:eastAsia="Century Gothic" w:cs="Century Gothic"/>
                <w:b/>
                <w:bCs/>
                <w:color w:val="000000" w:themeColor="text1"/>
              </w:rPr>
              <w:instrText xml:space="preserve"> REF _Ref230258739 \h  \* MERGEFORMAT </w:instrText>
            </w:r>
            <w:r>
              <w:rPr>
                <w:rFonts w:eastAsia="Century Gothic" w:cs="Century Gothic"/>
                <w:b/>
                <w:bCs/>
                <w:color w:val="000000" w:themeColor="text1"/>
              </w:rPr>
            </w:r>
            <w:r>
              <w:rPr>
                <w:rFonts w:eastAsia="Century Gothic" w:cs="Century Gothic"/>
                <w:b/>
                <w:bCs/>
                <w:color w:val="000000" w:themeColor="text1"/>
              </w:rPr>
              <w:fldChar w:fldCharType="separate"/>
            </w:r>
            <w:r w:rsidR="00517691" w:rsidRPr="00517691">
              <w:rPr>
                <w:b/>
                <w:bCs/>
              </w:rPr>
              <w:t>Prioritize Climate Vulnerability</w:t>
            </w:r>
            <w:r>
              <w:rPr>
                <w:rFonts w:eastAsia="Century Gothic" w:cs="Century Gothic"/>
                <w:b/>
                <w:bCs/>
                <w:color w:val="000000" w:themeColor="text1"/>
              </w:rPr>
              <w:fldChar w:fldCharType="end"/>
            </w:r>
          </w:p>
          <w:p w14:paraId="13173CB8" w14:textId="0FF85109" w:rsidR="00F3381D" w:rsidRDefault="00F3381D" w:rsidP="00DD2E47">
            <w:pPr>
              <w:spacing w:before="120" w:after="160"/>
              <w:rPr>
                <w:rFonts w:eastAsia="Century Gothic" w:cs="Century Gothic"/>
              </w:rPr>
            </w:pPr>
            <w:r>
              <w:rPr>
                <w:rFonts w:eastAsia="Century Gothic" w:cs="Century Gothic"/>
                <w:color w:val="000000" w:themeColor="text1"/>
              </w:rPr>
              <w:t>Use the table below to describe vulnerabilities, assign them a Potential Impact Score and Adaptive Capacity Score, and then combine those scores to create an Overall Vulnerability Score.</w:t>
            </w:r>
          </w:p>
          <w:tbl>
            <w:tblPr>
              <w:tblStyle w:val="TableGrid"/>
              <w:tblW w:w="9153" w:type="dxa"/>
              <w:tblLook w:val="04A0" w:firstRow="1" w:lastRow="0" w:firstColumn="1" w:lastColumn="0" w:noHBand="0" w:noVBand="1"/>
              <w:tblCaption w:val="vulnerability score"/>
              <w:tblDescription w:val="fillable table for vulnerability descriptions and their respective potential impact score, adaptive capacity score, and overall vulnerability score."/>
            </w:tblPr>
            <w:tblGrid>
              <w:gridCol w:w="2671"/>
              <w:gridCol w:w="1890"/>
              <w:gridCol w:w="2070"/>
              <w:gridCol w:w="2522"/>
            </w:tblGrid>
            <w:tr w:rsidR="00F3381D" w14:paraId="32BC4199" w14:textId="77777777" w:rsidTr="00F3381D">
              <w:tc>
                <w:tcPr>
                  <w:tcW w:w="2671" w:type="dxa"/>
                  <w:vAlign w:val="center"/>
                </w:tcPr>
                <w:p w14:paraId="7D810CD9" w14:textId="77777777" w:rsidR="00F3381D" w:rsidRPr="00026CF0" w:rsidRDefault="00F3381D" w:rsidP="00BB5ACB">
                  <w:pPr>
                    <w:jc w:val="center"/>
                    <w:rPr>
                      <w:b/>
                      <w:bCs/>
                    </w:rPr>
                  </w:pPr>
                  <w:r>
                    <w:rPr>
                      <w:b/>
                      <w:bCs/>
                    </w:rPr>
                    <w:t>Vulnerability Description</w:t>
                  </w:r>
                </w:p>
              </w:tc>
              <w:tc>
                <w:tcPr>
                  <w:tcW w:w="1890" w:type="dxa"/>
                  <w:vAlign w:val="center"/>
                </w:tcPr>
                <w:p w14:paraId="5AD6CEE6" w14:textId="77777777" w:rsidR="00F3381D" w:rsidRPr="00026CF0" w:rsidRDefault="00F3381D" w:rsidP="00BB5ACB">
                  <w:pPr>
                    <w:jc w:val="center"/>
                    <w:rPr>
                      <w:b/>
                      <w:bCs/>
                    </w:rPr>
                  </w:pPr>
                  <w:r>
                    <w:rPr>
                      <w:b/>
                      <w:bCs/>
                    </w:rPr>
                    <w:t>Potential Impact Score</w:t>
                  </w:r>
                </w:p>
              </w:tc>
              <w:tc>
                <w:tcPr>
                  <w:tcW w:w="2070" w:type="dxa"/>
                  <w:vAlign w:val="center"/>
                </w:tcPr>
                <w:p w14:paraId="7DCC474F" w14:textId="77777777" w:rsidR="00F3381D" w:rsidRPr="00026CF0" w:rsidRDefault="00F3381D" w:rsidP="00BB5ACB">
                  <w:pPr>
                    <w:jc w:val="center"/>
                    <w:rPr>
                      <w:b/>
                      <w:bCs/>
                    </w:rPr>
                  </w:pPr>
                  <w:r>
                    <w:rPr>
                      <w:b/>
                      <w:bCs/>
                    </w:rPr>
                    <w:t>Adaptive Capacity Score</w:t>
                  </w:r>
                </w:p>
              </w:tc>
              <w:tc>
                <w:tcPr>
                  <w:tcW w:w="2522" w:type="dxa"/>
                  <w:vAlign w:val="center"/>
                </w:tcPr>
                <w:p w14:paraId="20D8A846" w14:textId="77777777" w:rsidR="00F3381D" w:rsidRPr="00026CF0" w:rsidRDefault="00F3381D" w:rsidP="00BB5ACB">
                  <w:pPr>
                    <w:jc w:val="center"/>
                    <w:rPr>
                      <w:b/>
                      <w:bCs/>
                    </w:rPr>
                  </w:pPr>
                  <w:r>
                    <w:rPr>
                      <w:b/>
                      <w:bCs/>
                    </w:rPr>
                    <w:t>Overall Vulnerability Score</w:t>
                  </w:r>
                </w:p>
              </w:tc>
            </w:tr>
            <w:tr w:rsidR="00F3381D" w14:paraId="61B3BED2" w14:textId="77777777" w:rsidTr="00505542">
              <w:trPr>
                <w:trHeight w:val="288"/>
              </w:trPr>
              <w:tc>
                <w:tcPr>
                  <w:tcW w:w="2671" w:type="dxa"/>
                </w:tcPr>
                <w:p w14:paraId="7B2D5EF3" w14:textId="77777777" w:rsidR="00F3381D" w:rsidRDefault="00F3381D" w:rsidP="00BB5ACB"/>
              </w:tc>
              <w:tc>
                <w:tcPr>
                  <w:tcW w:w="1890" w:type="dxa"/>
                </w:tcPr>
                <w:p w14:paraId="16A07E5A" w14:textId="77777777" w:rsidR="00F3381D" w:rsidRDefault="00F3381D" w:rsidP="00BB5ACB"/>
              </w:tc>
              <w:tc>
                <w:tcPr>
                  <w:tcW w:w="2070" w:type="dxa"/>
                </w:tcPr>
                <w:p w14:paraId="261BEFBB" w14:textId="77777777" w:rsidR="00F3381D" w:rsidRDefault="00F3381D" w:rsidP="00BB5ACB"/>
              </w:tc>
              <w:tc>
                <w:tcPr>
                  <w:tcW w:w="2522" w:type="dxa"/>
                </w:tcPr>
                <w:p w14:paraId="18C892C8" w14:textId="77777777" w:rsidR="00F3381D" w:rsidRDefault="00F3381D" w:rsidP="00BB5ACB"/>
              </w:tc>
            </w:tr>
            <w:tr w:rsidR="00F3381D" w14:paraId="05EEDBA2" w14:textId="77777777" w:rsidTr="00505542">
              <w:trPr>
                <w:trHeight w:val="288"/>
              </w:trPr>
              <w:tc>
                <w:tcPr>
                  <w:tcW w:w="2671" w:type="dxa"/>
                </w:tcPr>
                <w:p w14:paraId="47AC7905" w14:textId="77777777" w:rsidR="00F3381D" w:rsidRDefault="00F3381D" w:rsidP="00BB5ACB"/>
              </w:tc>
              <w:tc>
                <w:tcPr>
                  <w:tcW w:w="1890" w:type="dxa"/>
                </w:tcPr>
                <w:p w14:paraId="3EABA2E3" w14:textId="77777777" w:rsidR="00F3381D" w:rsidRDefault="00F3381D" w:rsidP="00BB5ACB"/>
              </w:tc>
              <w:tc>
                <w:tcPr>
                  <w:tcW w:w="2070" w:type="dxa"/>
                </w:tcPr>
                <w:p w14:paraId="5994B1C9" w14:textId="77777777" w:rsidR="00F3381D" w:rsidRDefault="00F3381D" w:rsidP="00BB5ACB"/>
              </w:tc>
              <w:tc>
                <w:tcPr>
                  <w:tcW w:w="2522" w:type="dxa"/>
                </w:tcPr>
                <w:p w14:paraId="38754543" w14:textId="77777777" w:rsidR="00F3381D" w:rsidRDefault="00F3381D" w:rsidP="00BB5ACB"/>
              </w:tc>
            </w:tr>
          </w:tbl>
          <w:p w14:paraId="54618417" w14:textId="5E1FED23" w:rsidR="00A22A81" w:rsidRPr="00515A45" w:rsidRDefault="00515A45" w:rsidP="00BB5ACB">
            <w:pPr>
              <w:rPr>
                <w:color w:val="000000" w:themeColor="text1"/>
                <w:sz w:val="12"/>
                <w:szCs w:val="12"/>
              </w:rPr>
            </w:pPr>
            <w:r>
              <w:rPr>
                <w:color w:val="000000" w:themeColor="text1"/>
                <w:sz w:val="12"/>
                <w:szCs w:val="12"/>
              </w:rPr>
              <w:t xml:space="preserve">  </w:t>
            </w:r>
          </w:p>
        </w:tc>
      </w:tr>
    </w:tbl>
    <w:p w14:paraId="75DF432B" w14:textId="36C4226E" w:rsidR="000963B2" w:rsidRDefault="00801DAF" w:rsidP="000963B2">
      <w:pPr>
        <w:spacing w:before="160" w:line="240" w:lineRule="auto"/>
      </w:pPr>
      <w:r>
        <w:t>Here are two case studies highlighting prioritization efforts by regional and county governments in California.</w:t>
      </w:r>
    </w:p>
    <w:tbl>
      <w:tblPr>
        <w:tblStyle w:val="TableGrid"/>
        <w:tblW w:w="0" w:type="auto"/>
        <w:tblLook w:val="04A0" w:firstRow="1" w:lastRow="0" w:firstColumn="1" w:lastColumn="0" w:noHBand="0" w:noVBand="1"/>
      </w:tblPr>
      <w:tblGrid>
        <w:gridCol w:w="9360"/>
      </w:tblGrid>
      <w:tr w:rsidR="00276814" w:rsidRPr="00276814" w14:paraId="771BC75E" w14:textId="77777777" w:rsidTr="00276814">
        <w:trPr>
          <w:trHeight w:val="576"/>
        </w:trPr>
        <w:tc>
          <w:tcPr>
            <w:tcW w:w="9360" w:type="dxa"/>
            <w:tcBorders>
              <w:top w:val="nil"/>
              <w:left w:val="nil"/>
              <w:bottom w:val="nil"/>
              <w:right w:val="nil"/>
            </w:tcBorders>
            <w:shd w:val="clear" w:color="auto" w:fill="1F5485"/>
            <w:vAlign w:val="center"/>
          </w:tcPr>
          <w:p w14:paraId="1641D883" w14:textId="19FA8D37" w:rsidR="00E63D49" w:rsidRPr="00276814" w:rsidRDefault="00E63D49" w:rsidP="00BB5ACB">
            <w:pPr>
              <w:rPr>
                <w:i/>
                <w:color w:val="FFFFFF" w:themeColor="background1"/>
              </w:rPr>
            </w:pPr>
            <w:r>
              <w:rPr>
                <w:b/>
                <w:color w:val="FFFFFF" w:themeColor="background1"/>
              </w:rPr>
              <w:t>Case</w:t>
            </w:r>
            <w:r>
              <w:rPr>
                <w:b/>
                <w:bCs/>
                <w:color w:val="FFFFFF" w:themeColor="background1"/>
              </w:rPr>
              <w:t xml:space="preserve"> </w:t>
            </w:r>
            <w:r>
              <w:rPr>
                <w:b/>
                <w:color w:val="FFFFFF" w:themeColor="background1"/>
              </w:rPr>
              <w:t>Study:</w:t>
            </w:r>
            <w:r>
              <w:rPr>
                <w:b/>
                <w:bCs/>
                <w:color w:val="FFFFFF" w:themeColor="background1"/>
              </w:rPr>
              <w:t xml:space="preserve"> </w:t>
            </w:r>
            <w:r>
              <w:rPr>
                <w:b/>
                <w:color w:val="FFFFFF" w:themeColor="background1"/>
              </w:rPr>
              <w:t>Western</w:t>
            </w:r>
            <w:r>
              <w:rPr>
                <w:b/>
                <w:bCs/>
                <w:color w:val="FFFFFF" w:themeColor="background1"/>
              </w:rPr>
              <w:t xml:space="preserve"> </w:t>
            </w:r>
            <w:r>
              <w:rPr>
                <w:b/>
                <w:color w:val="FFFFFF" w:themeColor="background1"/>
              </w:rPr>
              <w:t>Riverside</w:t>
            </w:r>
            <w:r>
              <w:rPr>
                <w:b/>
                <w:bCs/>
                <w:color w:val="FFFFFF" w:themeColor="background1"/>
              </w:rPr>
              <w:t xml:space="preserve"> </w:t>
            </w:r>
            <w:r>
              <w:rPr>
                <w:b/>
                <w:color w:val="FFFFFF" w:themeColor="background1"/>
              </w:rPr>
              <w:t>Council</w:t>
            </w:r>
            <w:r>
              <w:rPr>
                <w:b/>
                <w:bCs/>
                <w:color w:val="FFFFFF" w:themeColor="background1"/>
              </w:rPr>
              <w:t xml:space="preserve"> </w:t>
            </w:r>
            <w:r>
              <w:rPr>
                <w:b/>
                <w:color w:val="FFFFFF" w:themeColor="background1"/>
              </w:rPr>
              <w:t>of</w:t>
            </w:r>
            <w:r>
              <w:rPr>
                <w:b/>
                <w:bCs/>
                <w:color w:val="FFFFFF" w:themeColor="background1"/>
              </w:rPr>
              <w:t xml:space="preserve"> </w:t>
            </w:r>
            <w:r>
              <w:rPr>
                <w:b/>
                <w:color w:val="FFFFFF" w:themeColor="background1"/>
              </w:rPr>
              <w:t>Governments</w:t>
            </w:r>
            <w:r>
              <w:rPr>
                <w:b/>
                <w:bCs/>
                <w:color w:val="FFFFFF" w:themeColor="background1"/>
              </w:rPr>
              <w:t xml:space="preserve"> </w:t>
            </w:r>
            <w:r>
              <w:rPr>
                <w:b/>
                <w:color w:val="FFFFFF" w:themeColor="background1"/>
              </w:rPr>
              <w:t>(WRCOG)</w:t>
            </w:r>
          </w:p>
        </w:tc>
      </w:tr>
      <w:tr w:rsidR="007E1858" w14:paraId="6FF1FFDC" w14:textId="77777777" w:rsidTr="000F0461">
        <w:trPr>
          <w:trHeight w:val="990"/>
        </w:trPr>
        <w:tc>
          <w:tcPr>
            <w:tcW w:w="9360" w:type="dxa"/>
            <w:tcBorders>
              <w:top w:val="nil"/>
              <w:left w:val="nil"/>
              <w:bottom w:val="nil"/>
              <w:right w:val="nil"/>
            </w:tcBorders>
            <w:shd w:val="clear" w:color="auto" w:fill="DCEAF7"/>
          </w:tcPr>
          <w:p w14:paraId="5D5DD892" w14:textId="03F08DBF" w:rsidR="00286F1A" w:rsidRDefault="007E1858" w:rsidP="00DC24E7">
            <w:pPr>
              <w:spacing w:before="120" w:after="120"/>
            </w:pPr>
            <w:r>
              <w:rPr>
                <w:color w:val="000000" w:themeColor="text1"/>
              </w:rPr>
              <w:t xml:space="preserve">The Southern California Association of Governments (SCAG) created the </w:t>
            </w:r>
            <w:hyperlink r:id="rId208">
              <w:r>
                <w:rPr>
                  <w:rStyle w:val="Hyperlink"/>
                  <w:rFonts w:eastAsia="Century Gothic" w:cs="Century Gothic"/>
                  <w:i/>
                </w:rPr>
                <w:t>Southern California Climate Adaptation Planning Guide</w:t>
              </w:r>
            </w:hyperlink>
            <w:r>
              <w:rPr>
                <w:color w:val="000000" w:themeColor="text1"/>
              </w:rPr>
              <w:t xml:space="preserve"> in October 2020. The Western Riverside Council of Governments (WRCOG) utilized SCAG’s Vulnerability Scoring process to create </w:t>
            </w:r>
            <w:r>
              <w:t>impact and adaptive capacity scoring tables (</w:t>
            </w:r>
            <w:r>
              <w:rPr>
                <w:u w:val="single"/>
              </w:rPr>
              <w:fldChar w:fldCharType="begin"/>
            </w:r>
            <w:r>
              <w:rPr>
                <w:u w:val="single"/>
              </w:rPr>
              <w:instrText xml:space="preserve"> REF _Ref230965884 \h  \* MERGEFORMAT </w:instrText>
            </w:r>
            <w:r>
              <w:rPr>
                <w:u w:val="single"/>
              </w:rPr>
            </w:r>
            <w:r>
              <w:rPr>
                <w:u w:val="single"/>
              </w:rPr>
              <w:fldChar w:fldCharType="separate"/>
            </w:r>
            <w:r w:rsidR="00517691" w:rsidRPr="00517691">
              <w:rPr>
                <w:u w:val="single"/>
              </w:rPr>
              <w:t xml:space="preserve">Table </w:t>
            </w:r>
            <w:r w:rsidR="00517691" w:rsidRPr="00517691">
              <w:rPr>
                <w:noProof/>
                <w:u w:val="single"/>
              </w:rPr>
              <w:t>15</w:t>
            </w:r>
            <w:r>
              <w:rPr>
                <w:u w:val="single"/>
              </w:rPr>
              <w:fldChar w:fldCharType="end"/>
            </w:r>
            <w:r>
              <w:t xml:space="preserve"> and </w:t>
            </w:r>
            <w:r>
              <w:fldChar w:fldCharType="begin"/>
            </w:r>
            <w:r>
              <w:instrText xml:space="preserve"> REF _Ref234232605 \h </w:instrText>
            </w:r>
            <w:r w:rsidRPr="00586228">
              <w:instrText xml:space="preserve"> \* MERGEFORMAT </w:instrText>
            </w:r>
            <w:r>
              <w:fldChar w:fldCharType="separate"/>
            </w:r>
            <w:r w:rsidR="00517691" w:rsidRPr="00517691">
              <w:t xml:space="preserve">Table </w:t>
            </w:r>
            <w:r w:rsidR="00517691" w:rsidRPr="00517691">
              <w:rPr>
                <w:noProof/>
              </w:rPr>
              <w:t>16</w:t>
            </w:r>
            <w:r>
              <w:fldChar w:fldCharType="end"/>
            </w:r>
            <w:r>
              <w:t>, respectively)</w:t>
            </w:r>
            <w:r>
              <w:rPr>
                <w:color w:val="000000" w:themeColor="text1"/>
              </w:rPr>
              <w:t xml:space="preserve"> in their </w:t>
            </w:r>
            <w:hyperlink r:id="rId209" w:history="1">
              <w:r>
                <w:rPr>
                  <w:rStyle w:val="Hyperlink"/>
                  <w:i/>
                  <w:iCs/>
                </w:rPr>
                <w:t>2025 Western Riverside Adaptation and Resiliency Strategy: Part 1, Vulnerability Assessment</w:t>
              </w:r>
            </w:hyperlink>
            <w:r>
              <w:t>.</w:t>
            </w:r>
          </w:p>
          <w:p w14:paraId="42BD36F4" w14:textId="01FD15C1" w:rsidR="00D1333F" w:rsidRPr="00286F1A" w:rsidRDefault="007C08E6" w:rsidP="00DC24E7">
            <w:pPr>
              <w:spacing w:before="120" w:after="120"/>
            </w:pPr>
            <w:r>
              <w:t>First, WRCOG developed their own impact scoring table, building on the framework below. </w:t>
            </w:r>
          </w:p>
        </w:tc>
      </w:tr>
    </w:tbl>
    <w:p w14:paraId="2BABD1ED" w14:textId="77777777" w:rsidR="007E1858" w:rsidRDefault="007E1858">
      <w:r>
        <w:br w:type="page"/>
      </w:r>
    </w:p>
    <w:tbl>
      <w:tblPr>
        <w:tblStyle w:val="TableGrid"/>
        <w:tblW w:w="0" w:type="auto"/>
        <w:tblLook w:val="04A0" w:firstRow="1" w:lastRow="0" w:firstColumn="1" w:lastColumn="0" w:noHBand="0" w:noVBand="1"/>
      </w:tblPr>
      <w:tblGrid>
        <w:gridCol w:w="9360"/>
      </w:tblGrid>
      <w:tr w:rsidR="00531E7C" w14:paraId="72F610DB" w14:textId="77777777" w:rsidTr="00531E7C">
        <w:trPr>
          <w:trHeight w:val="720"/>
        </w:trPr>
        <w:tc>
          <w:tcPr>
            <w:tcW w:w="9360" w:type="dxa"/>
            <w:tcBorders>
              <w:top w:val="nil"/>
              <w:left w:val="nil"/>
              <w:bottom w:val="nil"/>
              <w:right w:val="nil"/>
            </w:tcBorders>
            <w:shd w:val="clear" w:color="auto" w:fill="DCEAF7"/>
          </w:tcPr>
          <w:p w14:paraId="34F85443" w14:textId="39076B84" w:rsidR="00E63D49" w:rsidRPr="004E35A5" w:rsidRDefault="00E63D49" w:rsidP="00DC24E7">
            <w:pPr>
              <w:spacing w:before="120"/>
              <w:rPr>
                <w:b/>
                <w:bCs/>
              </w:rPr>
            </w:pPr>
            <w:bookmarkStart w:id="134" w:name="_Ref230965884"/>
            <w:r>
              <w:rPr>
                <w:b/>
              </w:rPr>
              <w:t>Table</w:t>
            </w:r>
            <w:r>
              <w:rPr>
                <w:b/>
                <w:bCs/>
              </w:rPr>
              <w:t xml:space="preserve"> </w:t>
            </w:r>
            <w:r>
              <w:rPr>
                <w:b/>
              </w:rPr>
              <w:fldChar w:fldCharType="begin"/>
            </w:r>
            <w:r>
              <w:rPr>
                <w:b/>
              </w:rPr>
              <w:instrText xml:space="preserve"> SEQ Table \* ARABIC </w:instrText>
            </w:r>
            <w:r>
              <w:rPr>
                <w:b/>
              </w:rPr>
              <w:fldChar w:fldCharType="separate"/>
            </w:r>
            <w:r w:rsidR="00517691">
              <w:rPr>
                <w:b/>
                <w:noProof/>
              </w:rPr>
              <w:t>15</w:t>
            </w:r>
            <w:r>
              <w:rPr>
                <w:b/>
              </w:rPr>
              <w:fldChar w:fldCharType="end"/>
            </w:r>
            <w:bookmarkEnd w:id="134"/>
            <w:r>
              <w:rPr>
                <w:b/>
                <w:bCs/>
              </w:rPr>
              <w:t>. Impact (IM) scoring table developed by WRCOG</w:t>
            </w:r>
          </w:p>
          <w:tbl>
            <w:tblPr>
              <w:tblStyle w:val="TableGrid"/>
              <w:tblW w:w="8978" w:type="dxa"/>
              <w:tblLook w:val="04A0" w:firstRow="1" w:lastRow="0" w:firstColumn="1" w:lastColumn="0" w:noHBand="0" w:noVBand="1"/>
              <w:tblDescription w:val="Description of impact (IM) scores ranging from IM0 to IM4 with summaries of different asset types that are impacted."/>
            </w:tblPr>
            <w:tblGrid>
              <w:gridCol w:w="837"/>
              <w:gridCol w:w="3844"/>
              <w:gridCol w:w="4297"/>
            </w:tblGrid>
            <w:tr w:rsidR="00E63D49" w:rsidRPr="00B17CBE" w14:paraId="2F127611" w14:textId="77777777" w:rsidTr="009650B1">
              <w:trPr>
                <w:tblHeader/>
              </w:trPr>
              <w:tc>
                <w:tcPr>
                  <w:tcW w:w="837" w:type="dxa"/>
                  <w:shd w:val="clear" w:color="auto" w:fill="000000" w:themeFill="text1"/>
                  <w:vAlign w:val="center"/>
                </w:tcPr>
                <w:p w14:paraId="35C55705" w14:textId="699B0EA4" w:rsidR="00E63D49" w:rsidRPr="0075163D" w:rsidRDefault="00E63D49" w:rsidP="007435CD">
                  <w:pPr>
                    <w:ind w:left="-42" w:right="-107"/>
                    <w:jc w:val="center"/>
                    <w:rPr>
                      <w:b/>
                      <w:bCs/>
                    </w:rPr>
                  </w:pPr>
                  <w:r>
                    <w:rPr>
                      <w:b/>
                      <w:bCs/>
                    </w:rPr>
                    <w:t>IM Score</w:t>
                  </w:r>
                </w:p>
              </w:tc>
              <w:tc>
                <w:tcPr>
                  <w:tcW w:w="3844" w:type="dxa"/>
                  <w:shd w:val="clear" w:color="auto" w:fill="000000" w:themeFill="text1"/>
                  <w:vAlign w:val="center"/>
                </w:tcPr>
                <w:p w14:paraId="6EA83BFF" w14:textId="6E469B83" w:rsidR="00E63D49" w:rsidRPr="0075163D" w:rsidRDefault="00E63D49" w:rsidP="00BB5ACB">
                  <w:pPr>
                    <w:rPr>
                      <w:b/>
                      <w:bCs/>
                    </w:rPr>
                  </w:pPr>
                  <w:r>
                    <w:rPr>
                      <w:b/>
                      <w:bCs/>
                    </w:rPr>
                    <w:t>Summary (Buildings and Infrastructure, Economic Assets, Community Services)</w:t>
                  </w:r>
                </w:p>
              </w:tc>
              <w:tc>
                <w:tcPr>
                  <w:tcW w:w="4297" w:type="dxa"/>
                  <w:shd w:val="clear" w:color="auto" w:fill="000000" w:themeFill="text1"/>
                  <w:vAlign w:val="center"/>
                </w:tcPr>
                <w:p w14:paraId="47129607" w14:textId="52306940" w:rsidR="00E63D49" w:rsidRPr="0075163D" w:rsidRDefault="00E63D49" w:rsidP="00BB5ACB">
                  <w:pPr>
                    <w:rPr>
                      <w:b/>
                      <w:bCs/>
                    </w:rPr>
                  </w:pPr>
                  <w:r>
                    <w:rPr>
                      <w:b/>
                      <w:bCs/>
                    </w:rPr>
                    <w:t>Summary (Populations and Biological Resources)</w:t>
                  </w:r>
                </w:p>
              </w:tc>
            </w:tr>
            <w:tr w:rsidR="00E63D49" w:rsidRPr="00B17CBE" w14:paraId="7E451BA8" w14:textId="77777777" w:rsidTr="009650B1">
              <w:tc>
                <w:tcPr>
                  <w:tcW w:w="837" w:type="dxa"/>
                  <w:shd w:val="clear" w:color="auto" w:fill="FFFFFF" w:themeFill="background1"/>
                </w:tcPr>
                <w:p w14:paraId="724836C0" w14:textId="77777777" w:rsidR="00E63D49" w:rsidRPr="00B17CBE" w:rsidRDefault="00E63D49" w:rsidP="00ED327C">
                  <w:pPr>
                    <w:jc w:val="center"/>
                  </w:pPr>
                  <w:r>
                    <w:t>IM0</w:t>
                  </w:r>
                </w:p>
              </w:tc>
              <w:tc>
                <w:tcPr>
                  <w:tcW w:w="3844" w:type="dxa"/>
                  <w:shd w:val="clear" w:color="auto" w:fill="FFFFFF" w:themeFill="background1"/>
                </w:tcPr>
                <w:p w14:paraId="57695604" w14:textId="001F139B" w:rsidR="00E63D49" w:rsidRPr="00B17CBE" w:rsidRDefault="00E63D49" w:rsidP="00BB5ACB">
                  <w:r>
                    <w:t>Impacts are minimal. There are no service disruptions that community members are aware of.</w:t>
                  </w:r>
                </w:p>
              </w:tc>
              <w:tc>
                <w:tcPr>
                  <w:tcW w:w="4297" w:type="dxa"/>
                  <w:shd w:val="clear" w:color="auto" w:fill="FFFFFF" w:themeFill="background1"/>
                </w:tcPr>
                <w:p w14:paraId="7F15B170" w14:textId="7CDF7B9E" w:rsidR="00E63D49" w:rsidRPr="00B17CBE" w:rsidRDefault="00E63D49" w:rsidP="00BB5ACB">
                  <w:r>
                    <w:t>All impacts are minimal. Community members may not notice effects.</w:t>
                  </w:r>
                </w:p>
              </w:tc>
            </w:tr>
            <w:tr w:rsidR="00E63D49" w:rsidRPr="00B17CBE" w14:paraId="7DB11B4A" w14:textId="77777777" w:rsidTr="009650B1">
              <w:tc>
                <w:tcPr>
                  <w:tcW w:w="837" w:type="dxa"/>
                  <w:shd w:val="clear" w:color="auto" w:fill="D9D9D9" w:themeFill="background1" w:themeFillShade="D9"/>
                </w:tcPr>
                <w:p w14:paraId="3C42F38B" w14:textId="77777777" w:rsidR="00E63D49" w:rsidRPr="00B17CBE" w:rsidRDefault="00E63D49" w:rsidP="00ED327C">
                  <w:pPr>
                    <w:jc w:val="center"/>
                  </w:pPr>
                  <w:r>
                    <w:t>IM1</w:t>
                  </w:r>
                </w:p>
              </w:tc>
              <w:tc>
                <w:tcPr>
                  <w:tcW w:w="3844" w:type="dxa"/>
                  <w:shd w:val="clear" w:color="auto" w:fill="D9D9D9" w:themeFill="background1" w:themeFillShade="D9"/>
                </w:tcPr>
                <w:p w14:paraId="6F85EA8B" w14:textId="429BFA55" w:rsidR="00E63D49" w:rsidRPr="00B17CBE" w:rsidRDefault="00E63D49" w:rsidP="00BB5ACB">
                  <w:r>
                    <w:t>Performance or services may be somewhat degraded on occasion.</w:t>
                  </w:r>
                </w:p>
              </w:tc>
              <w:tc>
                <w:tcPr>
                  <w:tcW w:w="4297" w:type="dxa"/>
                  <w:shd w:val="clear" w:color="auto" w:fill="D9D9D9" w:themeFill="background1" w:themeFillShade="D9"/>
                </w:tcPr>
                <w:p w14:paraId="7F83C889" w14:textId="053945F2" w:rsidR="00E63D49" w:rsidRPr="00B17CBE" w:rsidRDefault="00E63D49" w:rsidP="00BB5ACB">
                  <w:r>
                    <w:t xml:space="preserve">Community members notice minor impacts. There may be mild disruptions to some behaviors or actions. </w:t>
                  </w:r>
                </w:p>
              </w:tc>
            </w:tr>
            <w:tr w:rsidR="00E63D49" w:rsidRPr="00B17CBE" w14:paraId="2814303C" w14:textId="77777777" w:rsidTr="009650B1">
              <w:tc>
                <w:tcPr>
                  <w:tcW w:w="837" w:type="dxa"/>
                  <w:shd w:val="clear" w:color="auto" w:fill="FFFFFF" w:themeFill="background1"/>
                </w:tcPr>
                <w:p w14:paraId="0E70D8E7" w14:textId="77777777" w:rsidR="00E63D49" w:rsidRPr="00B17CBE" w:rsidRDefault="00E63D49" w:rsidP="00ED327C">
                  <w:pPr>
                    <w:jc w:val="center"/>
                  </w:pPr>
                  <w:r>
                    <w:t>IM2</w:t>
                  </w:r>
                </w:p>
              </w:tc>
              <w:tc>
                <w:tcPr>
                  <w:tcW w:w="3844" w:type="dxa"/>
                  <w:shd w:val="clear" w:color="auto" w:fill="FFFFFF" w:themeFill="background1"/>
                </w:tcPr>
                <w:p w14:paraId="1A3DC281" w14:textId="11DBE455" w:rsidR="00E63D49" w:rsidRPr="00B17CBE" w:rsidRDefault="00E63D49" w:rsidP="00BB5ACB">
                  <w:r>
                    <w:t>The asset is likely to experience chronic stress, limiting the ability to reliably function. Effectiveness may be entirely disrupted on occasion.</w:t>
                  </w:r>
                </w:p>
              </w:tc>
              <w:tc>
                <w:tcPr>
                  <w:tcW w:w="4297" w:type="dxa"/>
                  <w:shd w:val="clear" w:color="auto" w:fill="FFFFFF" w:themeFill="background1"/>
                </w:tcPr>
                <w:p w14:paraId="4E5B8543" w14:textId="29217CCA" w:rsidR="00E63D49" w:rsidRPr="00B17CBE" w:rsidRDefault="00E63D49" w:rsidP="00BB5ACB">
                  <w:r>
                    <w:t>There is a marked decline in overall quality of life. Reductions to health, public safety, and/or community viability are likely.</w:t>
                  </w:r>
                </w:p>
              </w:tc>
            </w:tr>
            <w:tr w:rsidR="00E63D49" w:rsidRPr="00B17CBE" w14:paraId="5181B4E6" w14:textId="77777777" w:rsidTr="009650B1">
              <w:tc>
                <w:tcPr>
                  <w:tcW w:w="837" w:type="dxa"/>
                  <w:shd w:val="clear" w:color="auto" w:fill="D9D9D9" w:themeFill="background1" w:themeFillShade="D9"/>
                </w:tcPr>
                <w:p w14:paraId="298B3FEC" w14:textId="77777777" w:rsidR="00E63D49" w:rsidRPr="00B17CBE" w:rsidRDefault="00E63D49" w:rsidP="00ED327C">
                  <w:pPr>
                    <w:jc w:val="center"/>
                  </w:pPr>
                  <w:r>
                    <w:t>IM3</w:t>
                  </w:r>
                </w:p>
              </w:tc>
              <w:tc>
                <w:tcPr>
                  <w:tcW w:w="3844" w:type="dxa"/>
                  <w:shd w:val="clear" w:color="auto" w:fill="D9D9D9" w:themeFill="background1" w:themeFillShade="D9"/>
                </w:tcPr>
                <w:p w14:paraId="5E1FF735" w14:textId="143C4D59" w:rsidR="00E63D49" w:rsidRPr="00B17CBE" w:rsidRDefault="00E63D49" w:rsidP="00BB5ACB">
                  <w:r>
                    <w:t>The asset may only function in a limited way. It may frequently or always be unable to meet community needs</w:t>
                  </w:r>
                </w:p>
              </w:tc>
              <w:tc>
                <w:tcPr>
                  <w:tcW w:w="4297" w:type="dxa"/>
                  <w:shd w:val="clear" w:color="auto" w:fill="D9D9D9" w:themeFill="background1" w:themeFillShade="D9"/>
                </w:tcPr>
                <w:p w14:paraId="0B5B881F" w14:textId="1BAB35B8" w:rsidR="00E63D49" w:rsidRPr="00B17CBE" w:rsidRDefault="00E63D49" w:rsidP="00BB5ACB">
                  <w:r>
                    <w:t xml:space="preserve">There is a substantial drop in the well-being of communities. Current lifestyles/habitat may no longer be viable. </w:t>
                  </w:r>
                </w:p>
              </w:tc>
            </w:tr>
            <w:tr w:rsidR="00E63D49" w:rsidRPr="00B17CBE" w14:paraId="76ACA791" w14:textId="77777777" w:rsidTr="009650B1">
              <w:tc>
                <w:tcPr>
                  <w:tcW w:w="837" w:type="dxa"/>
                  <w:shd w:val="clear" w:color="auto" w:fill="FFFFFF" w:themeFill="background1"/>
                </w:tcPr>
                <w:p w14:paraId="7805B8C3" w14:textId="77777777" w:rsidR="00E63D49" w:rsidRPr="00B17CBE" w:rsidRDefault="00E63D49" w:rsidP="00ED327C">
                  <w:pPr>
                    <w:jc w:val="center"/>
                  </w:pPr>
                  <w:r>
                    <w:t>IM4</w:t>
                  </w:r>
                </w:p>
              </w:tc>
              <w:tc>
                <w:tcPr>
                  <w:tcW w:w="3844" w:type="dxa"/>
                  <w:shd w:val="clear" w:color="auto" w:fill="FFFFFF" w:themeFill="background1"/>
                </w:tcPr>
                <w:p w14:paraId="0E8E0F8C" w14:textId="0F819102" w:rsidR="00E63D49" w:rsidRPr="00B17CBE" w:rsidRDefault="00E63D49" w:rsidP="00BB5ACB">
                  <w:r>
                    <w:t>The ability of the asset to provide beneficial service is destroyed.</w:t>
                  </w:r>
                </w:p>
              </w:tc>
              <w:tc>
                <w:tcPr>
                  <w:tcW w:w="4297" w:type="dxa"/>
                  <w:shd w:val="clear" w:color="auto" w:fill="FFFFFF" w:themeFill="background1"/>
                </w:tcPr>
                <w:p w14:paraId="7AF72753" w14:textId="65BBFFC1" w:rsidR="00E63D49" w:rsidRPr="00B17CBE" w:rsidRDefault="00E63D49" w:rsidP="00BB5ACB">
                  <w:r>
                    <w:t xml:space="preserve">There is a severe risk of injury or death in human populations and of major habitat shifts or degradation for biological communities. </w:t>
                  </w:r>
                </w:p>
              </w:tc>
            </w:tr>
          </w:tbl>
          <w:p w14:paraId="69607B7B" w14:textId="61279724" w:rsidR="00E63D49" w:rsidRDefault="004E7017" w:rsidP="00516F5D">
            <w:pPr>
              <w:spacing w:before="160"/>
            </w:pPr>
            <w:r>
              <w:t>Next, WRCOG developed their own adaptive capacity scoring table, building on the framework below. </w:t>
            </w:r>
          </w:p>
          <w:p w14:paraId="6937DE07" w14:textId="77777777" w:rsidR="004E7017" w:rsidRPr="004B29B8" w:rsidRDefault="004E7017" w:rsidP="00516F5D">
            <w:pPr>
              <w:spacing w:before="160"/>
            </w:pPr>
          </w:p>
          <w:p w14:paraId="7F421DEB" w14:textId="47C267AB" w:rsidR="00DC24E7" w:rsidRPr="00D54BB8" w:rsidRDefault="00DC24E7" w:rsidP="00DC24E7">
            <w:pPr>
              <w:rPr>
                <w:b/>
                <w:bCs/>
              </w:rPr>
            </w:pPr>
            <w:bookmarkStart w:id="135" w:name="_Ref234232605"/>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16</w:t>
            </w:r>
            <w:r>
              <w:rPr>
                <w:b/>
                <w:bCs/>
              </w:rPr>
              <w:fldChar w:fldCharType="end"/>
            </w:r>
            <w:bookmarkEnd w:id="135"/>
            <w:r>
              <w:rPr>
                <w:b/>
                <w:bCs/>
              </w:rPr>
              <w:t>. Adaptive capacity (AC) scoring table developed by WRCOG</w:t>
            </w:r>
          </w:p>
          <w:tbl>
            <w:tblPr>
              <w:tblStyle w:val="TableGrid"/>
              <w:tblW w:w="8978" w:type="dxa"/>
              <w:tblLook w:val="04A0" w:firstRow="1" w:lastRow="0" w:firstColumn="1" w:lastColumn="0" w:noHBand="0" w:noVBand="1"/>
              <w:tblDescription w:val="Summary of each adaptive capacity (AC) score, ranging from AC4 to AC0."/>
            </w:tblPr>
            <w:tblGrid>
              <w:gridCol w:w="1301"/>
              <w:gridCol w:w="7677"/>
            </w:tblGrid>
            <w:tr w:rsidR="00DC24E7" w:rsidRPr="00B17CBE" w14:paraId="158173F3" w14:textId="77777777" w:rsidTr="009650B1">
              <w:trPr>
                <w:tblHeader/>
              </w:trPr>
              <w:tc>
                <w:tcPr>
                  <w:tcW w:w="1301" w:type="dxa"/>
                  <w:shd w:val="clear" w:color="auto" w:fill="000000" w:themeFill="text1"/>
                </w:tcPr>
                <w:p w14:paraId="2682C585" w14:textId="3D536597" w:rsidR="00DC24E7" w:rsidRPr="00D54BB8" w:rsidRDefault="00DC24E7" w:rsidP="00DC24E7">
                  <w:pPr>
                    <w:jc w:val="center"/>
                    <w:rPr>
                      <w:b/>
                      <w:bCs/>
                    </w:rPr>
                  </w:pPr>
                  <w:r>
                    <w:rPr>
                      <w:b/>
                      <w:bCs/>
                    </w:rPr>
                    <w:t>AC Score</w:t>
                  </w:r>
                </w:p>
              </w:tc>
              <w:tc>
                <w:tcPr>
                  <w:tcW w:w="7677" w:type="dxa"/>
                  <w:shd w:val="clear" w:color="auto" w:fill="000000" w:themeFill="text1"/>
                  <w:vAlign w:val="center"/>
                </w:tcPr>
                <w:p w14:paraId="01E0509E" w14:textId="77777777" w:rsidR="00DC24E7" w:rsidRPr="00D54BB8" w:rsidRDefault="00DC24E7" w:rsidP="00DC24E7">
                  <w:pPr>
                    <w:jc w:val="center"/>
                    <w:rPr>
                      <w:b/>
                      <w:bCs/>
                    </w:rPr>
                  </w:pPr>
                  <w:r>
                    <w:rPr>
                      <w:b/>
                      <w:bCs/>
                    </w:rPr>
                    <w:t>Summary</w:t>
                  </w:r>
                </w:p>
              </w:tc>
            </w:tr>
            <w:tr w:rsidR="00DC24E7" w:rsidRPr="00B17CBE" w14:paraId="752EC095" w14:textId="77777777" w:rsidTr="009650B1">
              <w:tc>
                <w:tcPr>
                  <w:tcW w:w="1301" w:type="dxa"/>
                  <w:shd w:val="clear" w:color="auto" w:fill="FFFFFF" w:themeFill="background1"/>
                </w:tcPr>
                <w:p w14:paraId="2249EDC0" w14:textId="77777777" w:rsidR="00DC24E7" w:rsidRPr="00B17CBE" w:rsidRDefault="00DC24E7" w:rsidP="00DC24E7">
                  <w:pPr>
                    <w:jc w:val="center"/>
                  </w:pPr>
                  <w:r>
                    <w:t>AC4</w:t>
                  </w:r>
                </w:p>
              </w:tc>
              <w:tc>
                <w:tcPr>
                  <w:tcW w:w="7677" w:type="dxa"/>
                  <w:shd w:val="clear" w:color="auto" w:fill="FFFFFF" w:themeFill="background1"/>
                </w:tcPr>
                <w:p w14:paraId="09329946" w14:textId="77777777" w:rsidR="00DC24E7" w:rsidRPr="00B17CBE" w:rsidRDefault="00DC24E7" w:rsidP="00DC24E7">
                  <w:r>
                    <w:t>Assets and populations can adapt with little or no effort. Overall quality of life may improve as a result.</w:t>
                  </w:r>
                </w:p>
              </w:tc>
            </w:tr>
            <w:tr w:rsidR="00DC24E7" w:rsidRPr="00B17CBE" w14:paraId="3EC4FA9B" w14:textId="77777777" w:rsidTr="009650B1">
              <w:tc>
                <w:tcPr>
                  <w:tcW w:w="1301" w:type="dxa"/>
                  <w:shd w:val="clear" w:color="auto" w:fill="D9D9D9" w:themeFill="background1" w:themeFillShade="D9"/>
                </w:tcPr>
                <w:p w14:paraId="1D9F1023" w14:textId="77777777" w:rsidR="00DC24E7" w:rsidRPr="00B17CBE" w:rsidRDefault="00DC24E7" w:rsidP="00DC24E7">
                  <w:pPr>
                    <w:jc w:val="center"/>
                  </w:pPr>
                  <w:r>
                    <w:t>AC3</w:t>
                  </w:r>
                </w:p>
              </w:tc>
              <w:tc>
                <w:tcPr>
                  <w:tcW w:w="7677" w:type="dxa"/>
                  <w:shd w:val="clear" w:color="auto" w:fill="D9D9D9" w:themeFill="background1" w:themeFillShade="D9"/>
                </w:tcPr>
                <w:p w14:paraId="7A3AD9DD" w14:textId="77777777" w:rsidR="00DC24E7" w:rsidRPr="00B17CBE" w:rsidRDefault="00DC24E7" w:rsidP="00DC24E7">
                  <w:r>
                    <w:t>Adaptive solutions are feasible for most or all sensitivities. Some sensitivities may face limited challenges.</w:t>
                  </w:r>
                </w:p>
              </w:tc>
            </w:tr>
            <w:tr w:rsidR="00DC24E7" w:rsidRPr="00B17CBE" w14:paraId="10253C17" w14:textId="77777777" w:rsidTr="009650B1">
              <w:tc>
                <w:tcPr>
                  <w:tcW w:w="1301" w:type="dxa"/>
                  <w:shd w:val="clear" w:color="auto" w:fill="FFFFFF" w:themeFill="background1"/>
                </w:tcPr>
                <w:p w14:paraId="25CEE7F3" w14:textId="77777777" w:rsidR="00DC24E7" w:rsidRPr="00B17CBE" w:rsidRDefault="00DC24E7" w:rsidP="00DC24E7">
                  <w:pPr>
                    <w:jc w:val="center"/>
                  </w:pPr>
                  <w:r>
                    <w:t>AC2</w:t>
                  </w:r>
                </w:p>
              </w:tc>
              <w:tc>
                <w:tcPr>
                  <w:tcW w:w="7677" w:type="dxa"/>
                  <w:shd w:val="clear" w:color="auto" w:fill="FFFFFF" w:themeFill="background1"/>
                </w:tcPr>
                <w:p w14:paraId="0DA50E60" w14:textId="77777777" w:rsidR="00DC24E7" w:rsidRPr="00B17CBE" w:rsidRDefault="00DC24E7" w:rsidP="00DC24E7">
                  <w:r>
                    <w:t xml:space="preserve">Threats can be reduced or mitigated, but solutions are only feasible for some assets. Many assets are likely to face substantive difficulties in adapting. </w:t>
                  </w:r>
                </w:p>
              </w:tc>
            </w:tr>
            <w:tr w:rsidR="00DC24E7" w:rsidRPr="00B17CBE" w14:paraId="2C553404" w14:textId="77777777" w:rsidTr="009650B1">
              <w:tc>
                <w:tcPr>
                  <w:tcW w:w="1301" w:type="dxa"/>
                  <w:shd w:val="clear" w:color="auto" w:fill="D9D9D9" w:themeFill="background1" w:themeFillShade="D9"/>
                </w:tcPr>
                <w:p w14:paraId="7F7EEF35" w14:textId="77777777" w:rsidR="00DC24E7" w:rsidRPr="00B17CBE" w:rsidRDefault="00DC24E7" w:rsidP="00DC24E7">
                  <w:pPr>
                    <w:jc w:val="center"/>
                  </w:pPr>
                  <w:r>
                    <w:t>AC1</w:t>
                  </w:r>
                </w:p>
              </w:tc>
              <w:tc>
                <w:tcPr>
                  <w:tcW w:w="7677" w:type="dxa"/>
                  <w:shd w:val="clear" w:color="auto" w:fill="D9D9D9" w:themeFill="background1" w:themeFillShade="D9"/>
                </w:tcPr>
                <w:p w14:paraId="43ABAE94" w14:textId="77777777" w:rsidR="00DC24E7" w:rsidRPr="00B17CBE" w:rsidRDefault="00DC24E7" w:rsidP="00DC24E7">
                  <w:r>
                    <w:t>Adaptive solutions are expensive and/or technologically difficult, but feasible. Approach may require politically unpopular actions or widespread lifestyle changes.</w:t>
                  </w:r>
                </w:p>
              </w:tc>
            </w:tr>
            <w:tr w:rsidR="00DC24E7" w:rsidRPr="00B17CBE" w14:paraId="30916DAD" w14:textId="77777777" w:rsidTr="009650B1">
              <w:tc>
                <w:tcPr>
                  <w:tcW w:w="1301" w:type="dxa"/>
                  <w:shd w:val="clear" w:color="auto" w:fill="FFFFFF" w:themeFill="background1"/>
                </w:tcPr>
                <w:p w14:paraId="5BB94588" w14:textId="77777777" w:rsidR="00DC24E7" w:rsidRPr="00B17CBE" w:rsidRDefault="00DC24E7" w:rsidP="00DC24E7">
                  <w:pPr>
                    <w:jc w:val="center"/>
                  </w:pPr>
                  <w:r>
                    <w:t>AC0</w:t>
                  </w:r>
                </w:p>
              </w:tc>
              <w:tc>
                <w:tcPr>
                  <w:tcW w:w="7677" w:type="dxa"/>
                  <w:shd w:val="clear" w:color="auto" w:fill="FFFFFF" w:themeFill="background1"/>
                </w:tcPr>
                <w:p w14:paraId="6DAD6891" w14:textId="77777777" w:rsidR="00DC24E7" w:rsidRPr="00B17CBE" w:rsidRDefault="00DC24E7" w:rsidP="00DC24E7">
                  <w:r>
                    <w:t>No method of adapting is currently feasible, although solutions may be possible in the future.</w:t>
                  </w:r>
                </w:p>
              </w:tc>
            </w:tr>
          </w:tbl>
          <w:p w14:paraId="42B69EC7" w14:textId="62DDD34B" w:rsidR="006058CD" w:rsidRPr="00516F5D" w:rsidRDefault="00516F5D" w:rsidP="00516F5D">
            <w:pPr>
              <w:rPr>
                <w:sz w:val="12"/>
                <w:szCs w:val="12"/>
              </w:rPr>
            </w:pPr>
            <w:r>
              <w:rPr>
                <w:sz w:val="12"/>
                <w:szCs w:val="12"/>
              </w:rPr>
              <w:t xml:space="preserve">   </w:t>
            </w:r>
          </w:p>
        </w:tc>
      </w:tr>
      <w:tr w:rsidR="008774FA" w14:paraId="1DDE030A" w14:textId="77777777" w:rsidTr="000F0461">
        <w:trPr>
          <w:trHeight w:val="990"/>
        </w:trPr>
        <w:tc>
          <w:tcPr>
            <w:tcW w:w="9360" w:type="dxa"/>
            <w:tcBorders>
              <w:top w:val="nil"/>
              <w:left w:val="nil"/>
              <w:bottom w:val="nil"/>
              <w:right w:val="nil"/>
            </w:tcBorders>
            <w:shd w:val="clear" w:color="auto" w:fill="DCEAF7"/>
          </w:tcPr>
          <w:p w14:paraId="33A7C0C4" w14:textId="19188338" w:rsidR="00783AC7" w:rsidRDefault="00783AC7" w:rsidP="00516F5D">
            <w:pPr>
              <w:spacing w:before="120" w:after="160"/>
            </w:pPr>
            <w:r>
              <w:t>Finally, WRCOG applied their scoring tables to climate hazards for key populations. The vulnerability score is determined from the impact and adaptive capacity scores; high impact and low adaptive capacity equate to a high vulnerability score. For example, they evaluated the vulnerability of unhoused persons to extreme heat using their rubric and produced the vulnerability scoring below, where impact (IM4) and adaptive capacity (AC1) equated to a vulnerability score of V5.</w:t>
            </w:r>
          </w:p>
          <w:p w14:paraId="153FD432" w14:textId="299EB171" w:rsidR="004F5D4F" w:rsidRPr="00E63D49" w:rsidRDefault="004F5D4F" w:rsidP="004F5D4F">
            <w:pPr>
              <w:spacing w:before="120"/>
              <w:rPr>
                <w:b/>
                <w:bCs/>
              </w:rPr>
            </w:pPr>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17</w:t>
            </w:r>
            <w:r>
              <w:rPr>
                <w:b/>
                <w:bCs/>
              </w:rPr>
              <w:fldChar w:fldCharType="end"/>
            </w:r>
            <w:r>
              <w:rPr>
                <w:b/>
                <w:bCs/>
              </w:rPr>
              <w:t>. Example of vulnerability scores applied to climate hazards for key populations in WRCOG</w:t>
            </w:r>
          </w:p>
          <w:tbl>
            <w:tblPr>
              <w:tblStyle w:val="TableGrid"/>
              <w:tblW w:w="0" w:type="auto"/>
              <w:tblLook w:val="04A0" w:firstRow="1" w:lastRow="0" w:firstColumn="1" w:lastColumn="0" w:noHBand="0" w:noVBand="1"/>
              <w:tblDescription w:val="Example of unhoused folks and their associated vulnerability, impact, and adaptive capacity with associated scores."/>
            </w:tblPr>
            <w:tblGrid>
              <w:gridCol w:w="2680"/>
              <w:gridCol w:w="6390"/>
            </w:tblGrid>
            <w:tr w:rsidR="004F5D4F" w14:paraId="2AC52505" w14:textId="77777777" w:rsidTr="007107AC">
              <w:tc>
                <w:tcPr>
                  <w:tcW w:w="2680" w:type="dxa"/>
                  <w:shd w:val="clear" w:color="auto" w:fill="000000" w:themeFill="text1"/>
                </w:tcPr>
                <w:p w14:paraId="4CBC3C3C" w14:textId="77777777" w:rsidR="004F5D4F" w:rsidRPr="00D132F6" w:rsidRDefault="004F5D4F" w:rsidP="004F5D4F">
                  <w:pPr>
                    <w:rPr>
                      <w:b/>
                    </w:rPr>
                  </w:pPr>
                  <w:r>
                    <w:rPr>
                      <w:b/>
                      <w:bCs/>
                    </w:rPr>
                    <w:t>Vulnerability Score</w:t>
                  </w:r>
                </w:p>
              </w:tc>
              <w:tc>
                <w:tcPr>
                  <w:tcW w:w="6390" w:type="dxa"/>
                  <w:shd w:val="clear" w:color="auto" w:fill="000000" w:themeFill="text1"/>
                </w:tcPr>
                <w:p w14:paraId="6C5F9ADE" w14:textId="77777777" w:rsidR="004F5D4F" w:rsidRPr="007107AC" w:rsidRDefault="004F5D4F" w:rsidP="004F5D4F">
                  <w:pPr>
                    <w:rPr>
                      <w:b/>
                      <w:bCs/>
                    </w:rPr>
                  </w:pPr>
                  <w:r>
                    <w:rPr>
                      <w:b/>
                      <w:bCs/>
                    </w:rPr>
                    <w:t>V5</w:t>
                  </w:r>
                </w:p>
              </w:tc>
            </w:tr>
            <w:tr w:rsidR="004F5D4F" w14:paraId="09E3777E" w14:textId="77777777" w:rsidTr="007107AC">
              <w:tc>
                <w:tcPr>
                  <w:tcW w:w="2680" w:type="dxa"/>
                  <w:shd w:val="clear" w:color="auto" w:fill="FFFFFF" w:themeFill="background1"/>
                </w:tcPr>
                <w:p w14:paraId="6829F9B8" w14:textId="77777777" w:rsidR="004F5D4F" w:rsidRPr="00D132F6" w:rsidRDefault="004F5D4F" w:rsidP="004F5D4F">
                  <w:pPr>
                    <w:rPr>
                      <w:b/>
                    </w:rPr>
                  </w:pPr>
                  <w:r>
                    <w:rPr>
                      <w:b/>
                      <w:bCs/>
                    </w:rPr>
                    <w:t>Sensitivity</w:t>
                  </w:r>
                </w:p>
              </w:tc>
              <w:tc>
                <w:tcPr>
                  <w:tcW w:w="6390" w:type="dxa"/>
                  <w:shd w:val="clear" w:color="auto" w:fill="FFFFFF" w:themeFill="background1"/>
                </w:tcPr>
                <w:p w14:paraId="2D5DFDEF" w14:textId="47184047" w:rsidR="004F5D4F" w:rsidRDefault="00330F55" w:rsidP="004F5D4F">
                  <w:r>
                    <w:t>Unhoused Persons</w:t>
                  </w:r>
                </w:p>
              </w:tc>
            </w:tr>
            <w:tr w:rsidR="004F5D4F" w14:paraId="280421C2" w14:textId="77777777" w:rsidTr="007107AC">
              <w:tc>
                <w:tcPr>
                  <w:tcW w:w="2680" w:type="dxa"/>
                  <w:shd w:val="clear" w:color="auto" w:fill="D9D9D9" w:themeFill="background1" w:themeFillShade="D9"/>
                </w:tcPr>
                <w:p w14:paraId="766BE30E" w14:textId="77777777" w:rsidR="004F5D4F" w:rsidRPr="00D132F6" w:rsidRDefault="004F5D4F" w:rsidP="004F5D4F">
                  <w:pPr>
                    <w:rPr>
                      <w:b/>
                    </w:rPr>
                  </w:pPr>
                  <w:r>
                    <w:rPr>
                      <w:b/>
                      <w:bCs/>
                    </w:rPr>
                    <w:t>Sensitivity Type</w:t>
                  </w:r>
                </w:p>
              </w:tc>
              <w:tc>
                <w:tcPr>
                  <w:tcW w:w="6390" w:type="dxa"/>
                  <w:shd w:val="clear" w:color="auto" w:fill="D9D9D9" w:themeFill="background1" w:themeFillShade="D9"/>
                </w:tcPr>
                <w:p w14:paraId="23F27877" w14:textId="77777777" w:rsidR="004F5D4F" w:rsidRDefault="004F5D4F" w:rsidP="004F5D4F">
                  <w:r>
                    <w:t>Population</w:t>
                  </w:r>
                </w:p>
              </w:tc>
            </w:tr>
            <w:tr w:rsidR="004F5D4F" w14:paraId="772AA9F9" w14:textId="77777777" w:rsidTr="007107AC">
              <w:tc>
                <w:tcPr>
                  <w:tcW w:w="2680" w:type="dxa"/>
                  <w:shd w:val="clear" w:color="auto" w:fill="FFFFFF" w:themeFill="background1"/>
                </w:tcPr>
                <w:p w14:paraId="418FCF9E" w14:textId="77777777" w:rsidR="004F5D4F" w:rsidRPr="00D132F6" w:rsidRDefault="004F5D4F" w:rsidP="004F5D4F">
                  <w:pPr>
                    <w:rPr>
                      <w:b/>
                    </w:rPr>
                  </w:pPr>
                  <w:r>
                    <w:rPr>
                      <w:b/>
                      <w:bCs/>
                    </w:rPr>
                    <w:t>Impact</w:t>
                  </w:r>
                </w:p>
              </w:tc>
              <w:tc>
                <w:tcPr>
                  <w:tcW w:w="6390" w:type="dxa"/>
                  <w:shd w:val="clear" w:color="auto" w:fill="FFFFFF" w:themeFill="background1"/>
                </w:tcPr>
                <w:p w14:paraId="451CA675" w14:textId="0503A48F" w:rsidR="004F5D4F" w:rsidRDefault="00330F55" w:rsidP="004F5D4F">
                  <w:r>
                    <w:t>Unhoused persons lack permanent, and often temporary, shelter, which leaves them more exposed to extreme heat. Dehydration is common among persons experiencing homelessness, which can complicate existing medical conditions. Unhoused persons are more likely to suffer from respiratory and other illnesses, which can be exacerbated during periods of extreme heat. Unhoused persons often lack access to water, sunscreen, or protective clothing such as hats, further increasing their exposure to extreme heat events.</w:t>
                  </w:r>
                </w:p>
              </w:tc>
            </w:tr>
            <w:tr w:rsidR="004F5D4F" w14:paraId="63FBABF4" w14:textId="77777777" w:rsidTr="007107AC">
              <w:tc>
                <w:tcPr>
                  <w:tcW w:w="2680" w:type="dxa"/>
                  <w:shd w:val="clear" w:color="auto" w:fill="D9D9D9" w:themeFill="background1" w:themeFillShade="D9"/>
                </w:tcPr>
                <w:p w14:paraId="3AC79CA2" w14:textId="77777777" w:rsidR="004F5D4F" w:rsidRPr="00D132F6" w:rsidRDefault="004F5D4F" w:rsidP="004F5D4F">
                  <w:pPr>
                    <w:rPr>
                      <w:b/>
                    </w:rPr>
                  </w:pPr>
                  <w:r>
                    <w:rPr>
                      <w:b/>
                      <w:bCs/>
                    </w:rPr>
                    <w:t>Impact Score</w:t>
                  </w:r>
                </w:p>
              </w:tc>
              <w:tc>
                <w:tcPr>
                  <w:tcW w:w="6390" w:type="dxa"/>
                  <w:shd w:val="clear" w:color="auto" w:fill="D9D9D9" w:themeFill="background1" w:themeFillShade="D9"/>
                </w:tcPr>
                <w:p w14:paraId="16D0D157" w14:textId="77777777" w:rsidR="004F5D4F" w:rsidRDefault="004F5D4F" w:rsidP="004F5D4F">
                  <w:r>
                    <w:t>IM4</w:t>
                  </w:r>
                </w:p>
              </w:tc>
            </w:tr>
            <w:tr w:rsidR="004F5D4F" w14:paraId="64BACB14" w14:textId="77777777" w:rsidTr="007107AC">
              <w:tc>
                <w:tcPr>
                  <w:tcW w:w="2680" w:type="dxa"/>
                  <w:shd w:val="clear" w:color="auto" w:fill="FFFFFF" w:themeFill="background1"/>
                </w:tcPr>
                <w:p w14:paraId="49009611" w14:textId="77777777" w:rsidR="004F5D4F" w:rsidRPr="00D132F6" w:rsidRDefault="004F5D4F" w:rsidP="004F5D4F">
                  <w:pPr>
                    <w:rPr>
                      <w:b/>
                    </w:rPr>
                  </w:pPr>
                  <w:r>
                    <w:rPr>
                      <w:b/>
                      <w:bCs/>
                    </w:rPr>
                    <w:t>Adaptive Capacity</w:t>
                  </w:r>
                </w:p>
              </w:tc>
              <w:tc>
                <w:tcPr>
                  <w:tcW w:w="6390" w:type="dxa"/>
                  <w:shd w:val="clear" w:color="auto" w:fill="FFFFFF" w:themeFill="background1"/>
                </w:tcPr>
                <w:p w14:paraId="3689EFA1" w14:textId="5A293017" w:rsidR="004F5D4F" w:rsidRDefault="004F5D4F" w:rsidP="004F5D4F">
                  <w:r>
                    <w:t>Persons experiencing homelessness do not have regular access to cool indoor location. Riverside has various unhoused shelter locations that can provide shelter from extreme heat conditions. However, unhoused persons may not have adequate communication to know about them or may be unable to travel to these locations.</w:t>
                  </w:r>
                </w:p>
              </w:tc>
            </w:tr>
            <w:tr w:rsidR="004F5D4F" w14:paraId="0787783D" w14:textId="77777777" w:rsidTr="007107AC">
              <w:tc>
                <w:tcPr>
                  <w:tcW w:w="2680" w:type="dxa"/>
                  <w:shd w:val="clear" w:color="auto" w:fill="D9D9D9" w:themeFill="background1" w:themeFillShade="D9"/>
                </w:tcPr>
                <w:p w14:paraId="6D0DA511" w14:textId="77777777" w:rsidR="004F5D4F" w:rsidRPr="00D132F6" w:rsidRDefault="004F5D4F" w:rsidP="004F5D4F">
                  <w:pPr>
                    <w:rPr>
                      <w:b/>
                    </w:rPr>
                  </w:pPr>
                  <w:r>
                    <w:rPr>
                      <w:b/>
                      <w:bCs/>
                    </w:rPr>
                    <w:t>Adaptive Capacity Score</w:t>
                  </w:r>
                </w:p>
              </w:tc>
              <w:tc>
                <w:tcPr>
                  <w:tcW w:w="6390" w:type="dxa"/>
                  <w:shd w:val="clear" w:color="auto" w:fill="D9D9D9" w:themeFill="background1" w:themeFillShade="D9"/>
                </w:tcPr>
                <w:p w14:paraId="3F825F1B" w14:textId="77777777" w:rsidR="004F5D4F" w:rsidRDefault="004F5D4F" w:rsidP="004F5D4F">
                  <w:r>
                    <w:t>AC1</w:t>
                  </w:r>
                </w:p>
              </w:tc>
            </w:tr>
          </w:tbl>
          <w:p w14:paraId="46CF6838" w14:textId="30FCE804" w:rsidR="008774FA" w:rsidRPr="007B0856" w:rsidRDefault="007B0856" w:rsidP="007B0856">
            <w:pPr>
              <w:rPr>
                <w:color w:val="000000" w:themeColor="text1"/>
                <w:sz w:val="12"/>
                <w:szCs w:val="12"/>
              </w:rPr>
            </w:pPr>
            <w:r>
              <w:rPr>
                <w:color w:val="000000" w:themeColor="text1"/>
                <w:sz w:val="12"/>
                <w:szCs w:val="12"/>
              </w:rPr>
              <w:t xml:space="preserve">  </w:t>
            </w:r>
          </w:p>
        </w:tc>
      </w:tr>
    </w:tbl>
    <w:p w14:paraId="78467CC0" w14:textId="6956408C" w:rsidR="00FA1904" w:rsidRDefault="00FA1904" w:rsidP="00CB420F">
      <w:pPr>
        <w:spacing w:after="0"/>
      </w:pPr>
    </w:p>
    <w:p w14:paraId="2C70DE21" w14:textId="77777777" w:rsidR="00FA1904" w:rsidRDefault="00FA1904">
      <w:r>
        <w:br w:type="page"/>
      </w:r>
    </w:p>
    <w:tbl>
      <w:tblPr>
        <w:tblStyle w:val="TableGrid"/>
        <w:tblW w:w="9360" w:type="dxa"/>
        <w:tblLook w:val="04A0" w:firstRow="1" w:lastRow="0" w:firstColumn="1" w:lastColumn="0" w:noHBand="0" w:noVBand="1"/>
      </w:tblPr>
      <w:tblGrid>
        <w:gridCol w:w="9360"/>
      </w:tblGrid>
      <w:tr w:rsidR="00292C7F" w:rsidRPr="00776902" w14:paraId="15E0CCB4" w14:textId="77777777" w:rsidTr="00C352BA">
        <w:trPr>
          <w:trHeight w:val="864"/>
        </w:trPr>
        <w:tc>
          <w:tcPr>
            <w:tcW w:w="9360" w:type="dxa"/>
            <w:tcBorders>
              <w:top w:val="nil"/>
              <w:left w:val="nil"/>
              <w:bottom w:val="nil"/>
              <w:right w:val="nil"/>
            </w:tcBorders>
            <w:shd w:val="clear" w:color="auto" w:fill="1F5383"/>
            <w:vAlign w:val="center"/>
          </w:tcPr>
          <w:p w14:paraId="49F6A33A" w14:textId="180D90DA" w:rsidR="00292C7F" w:rsidRPr="00D132F6" w:rsidDel="00D15976" w:rsidRDefault="00292C7F" w:rsidP="00BB5ACB">
            <w:pPr>
              <w:pStyle w:val="CalloutBoxTitle"/>
              <w:rPr>
                <w:color w:val="FFFFFF" w:themeColor="background1"/>
              </w:rPr>
            </w:pPr>
            <w:r>
              <w:rPr>
                <w:color w:val="FFFFFF" w:themeColor="background1"/>
              </w:rPr>
              <w:t>Case Study: San Diego County’s Vulnerability Assessment and Adaptation Report</w:t>
            </w:r>
          </w:p>
        </w:tc>
      </w:tr>
      <w:tr w:rsidR="00292C7F" w14:paraId="49F4212E" w14:textId="77777777" w:rsidTr="00292C7F">
        <w:trPr>
          <w:trHeight w:val="1440"/>
        </w:trPr>
        <w:tc>
          <w:tcPr>
            <w:tcW w:w="9360" w:type="dxa"/>
            <w:tcBorders>
              <w:top w:val="nil"/>
              <w:left w:val="nil"/>
              <w:bottom w:val="nil"/>
              <w:right w:val="nil"/>
            </w:tcBorders>
            <w:shd w:val="clear" w:color="auto" w:fill="DCEAF7"/>
          </w:tcPr>
          <w:p w14:paraId="75072A6C" w14:textId="186F8500" w:rsidR="00292C7F" w:rsidRDefault="00292C7F" w:rsidP="003132ED">
            <w:pPr>
              <w:pStyle w:val="CalloutBoxTitle"/>
              <w:spacing w:before="120" w:after="160"/>
              <w:rPr>
                <w:color w:val="000000" w:themeColor="text1"/>
              </w:rPr>
            </w:pPr>
            <w:r>
              <w:rPr>
                <w:b w:val="0"/>
                <w:bCs/>
              </w:rPr>
              <w:t xml:space="preserve">The 2021 </w:t>
            </w:r>
            <w:hyperlink r:id="rId210" w:history="1">
              <w:r>
                <w:rPr>
                  <w:rStyle w:val="Hyperlink"/>
                  <w:b w:val="0"/>
                  <w:bCs/>
                  <w:i/>
                  <w:iCs/>
                </w:rPr>
                <w:t>County of San Diego Vulnerability Assessment and Adaptation Report</w:t>
              </w:r>
            </w:hyperlink>
            <w:r>
              <w:rPr>
                <w:b w:val="0"/>
                <w:bCs/>
                <w:color w:val="000000" w:themeColor="text1"/>
              </w:rPr>
              <w:t xml:space="preserve"> </w:t>
            </w:r>
            <w:r>
              <w:rPr>
                <w:b w:val="0"/>
                <w:color w:val="000000" w:themeColor="text1"/>
              </w:rPr>
              <w:t>used</w:t>
            </w:r>
            <w:r>
              <w:rPr>
                <w:b w:val="0"/>
                <w:bCs/>
                <w:color w:val="000000" w:themeColor="text1"/>
              </w:rPr>
              <w:t xml:space="preserve"> </w:t>
            </w:r>
            <w:r>
              <w:rPr>
                <w:b w:val="0"/>
                <w:color w:val="000000" w:themeColor="text1"/>
              </w:rPr>
              <w:t>vulnerability</w:t>
            </w:r>
            <w:r>
              <w:rPr>
                <w:b w:val="0"/>
                <w:bCs/>
                <w:color w:val="000000" w:themeColor="text1"/>
              </w:rPr>
              <w:t xml:space="preserve"> </w:t>
            </w:r>
            <w:r>
              <w:rPr>
                <w:b w:val="0"/>
                <w:color w:val="000000" w:themeColor="text1"/>
              </w:rPr>
              <w:t>scoring</w:t>
            </w:r>
            <w:hyperlink r:id="rId211">
              <w:r>
                <w:rPr>
                  <w:rStyle w:val="Hyperlink"/>
                  <w:rFonts w:eastAsia="Century Gothic" w:cs="Century Gothic"/>
                  <w:b w:val="0"/>
                </w:rPr>
                <w:t>.</w:t>
              </w:r>
            </w:hyperlink>
            <w:r>
              <w:rPr>
                <w:b w:val="0"/>
                <w:bCs/>
                <w:color w:val="000000" w:themeColor="text1"/>
              </w:rPr>
              <w:t xml:space="preserve"> </w:t>
            </w:r>
            <w:r>
              <w:rPr>
                <w:b w:val="0"/>
                <w:color w:val="000000" w:themeColor="text1"/>
              </w:rPr>
              <w:t>See</w:t>
            </w:r>
            <w:r>
              <w:rPr>
                <w:b w:val="0"/>
                <w:bCs/>
                <w:color w:val="000000" w:themeColor="text1"/>
              </w:rPr>
              <w:t xml:space="preserve"> </w:t>
            </w:r>
            <w:r>
              <w:rPr>
                <w:b w:val="0"/>
                <w:color w:val="000000" w:themeColor="text1"/>
              </w:rPr>
              <w:t>an</w:t>
            </w:r>
            <w:r>
              <w:rPr>
                <w:b w:val="0"/>
                <w:bCs/>
                <w:color w:val="000000" w:themeColor="text1"/>
              </w:rPr>
              <w:t xml:space="preserve"> </w:t>
            </w:r>
            <w:r>
              <w:rPr>
                <w:b w:val="0"/>
                <w:color w:val="000000" w:themeColor="text1"/>
              </w:rPr>
              <w:t>example</w:t>
            </w:r>
            <w:r>
              <w:rPr>
                <w:b w:val="0"/>
                <w:bCs/>
                <w:color w:val="000000" w:themeColor="text1"/>
              </w:rPr>
              <w:t xml:space="preserve"> </w:t>
            </w:r>
            <w:r>
              <w:rPr>
                <w:b w:val="0"/>
                <w:color w:val="000000" w:themeColor="text1"/>
              </w:rPr>
              <w:t>of</w:t>
            </w:r>
            <w:r>
              <w:rPr>
                <w:b w:val="0"/>
                <w:bCs/>
                <w:color w:val="000000" w:themeColor="text1"/>
              </w:rPr>
              <w:t xml:space="preserve"> </w:t>
            </w:r>
            <w:r>
              <w:rPr>
                <w:b w:val="0"/>
                <w:color w:val="000000" w:themeColor="text1"/>
              </w:rPr>
              <w:t>one</w:t>
            </w:r>
            <w:r>
              <w:rPr>
                <w:b w:val="0"/>
                <w:bCs/>
                <w:color w:val="000000" w:themeColor="text1"/>
              </w:rPr>
              <w:t xml:space="preserve"> </w:t>
            </w:r>
            <w:r>
              <w:rPr>
                <w:b w:val="0"/>
                <w:color w:val="000000" w:themeColor="text1"/>
              </w:rPr>
              <w:t>of</w:t>
            </w:r>
            <w:r>
              <w:rPr>
                <w:b w:val="0"/>
                <w:bCs/>
                <w:color w:val="000000" w:themeColor="text1"/>
              </w:rPr>
              <w:t xml:space="preserve"> </w:t>
            </w:r>
            <w:r>
              <w:rPr>
                <w:b w:val="0"/>
                <w:color w:val="000000" w:themeColor="text1"/>
              </w:rPr>
              <w:t>their</w:t>
            </w:r>
            <w:r>
              <w:rPr>
                <w:b w:val="0"/>
                <w:bCs/>
                <w:color w:val="000000" w:themeColor="text1"/>
              </w:rPr>
              <w:t xml:space="preserve"> </w:t>
            </w:r>
            <w:r>
              <w:rPr>
                <w:b w:val="0"/>
                <w:color w:val="000000" w:themeColor="text1"/>
              </w:rPr>
              <w:t>vulnerability</w:t>
            </w:r>
            <w:r>
              <w:rPr>
                <w:b w:val="0"/>
                <w:bCs/>
                <w:color w:val="000000" w:themeColor="text1"/>
              </w:rPr>
              <w:t xml:space="preserve"> </w:t>
            </w:r>
            <w:r>
              <w:rPr>
                <w:b w:val="0"/>
                <w:color w:val="000000" w:themeColor="text1"/>
              </w:rPr>
              <w:t>score</w:t>
            </w:r>
            <w:r>
              <w:rPr>
                <w:b w:val="0"/>
                <w:bCs/>
                <w:color w:val="000000" w:themeColor="text1"/>
              </w:rPr>
              <w:t xml:space="preserve"> </w:t>
            </w:r>
            <w:r>
              <w:rPr>
                <w:b w:val="0"/>
                <w:color w:val="000000" w:themeColor="text1"/>
              </w:rPr>
              <w:t>tables</w:t>
            </w:r>
            <w:r>
              <w:rPr>
                <w:b w:val="0"/>
                <w:bCs/>
                <w:color w:val="000000" w:themeColor="text1"/>
              </w:rPr>
              <w:t xml:space="preserve"> </w:t>
            </w:r>
            <w:r>
              <w:rPr>
                <w:b w:val="0"/>
                <w:color w:val="000000" w:themeColor="text1"/>
              </w:rPr>
              <w:t>below</w:t>
            </w:r>
            <w:r>
              <w:rPr>
                <w:b w:val="0"/>
                <w:bCs/>
                <w:color w:val="000000" w:themeColor="text1"/>
              </w:rPr>
              <w:t xml:space="preserve"> </w:t>
            </w:r>
            <w:r>
              <w:rPr>
                <w:b w:val="0"/>
                <w:color w:val="000000" w:themeColor="text1"/>
              </w:rPr>
              <w:t>focused</w:t>
            </w:r>
            <w:r>
              <w:rPr>
                <w:b w:val="0"/>
                <w:bCs/>
                <w:color w:val="000000" w:themeColor="text1"/>
              </w:rPr>
              <w:t xml:space="preserve"> </w:t>
            </w:r>
            <w:r>
              <w:rPr>
                <w:b w:val="0"/>
                <w:color w:val="000000" w:themeColor="text1"/>
              </w:rPr>
              <w:t>on</w:t>
            </w:r>
            <w:r>
              <w:rPr>
                <w:b w:val="0"/>
                <w:bCs/>
                <w:color w:val="000000" w:themeColor="text1"/>
              </w:rPr>
              <w:t xml:space="preserve"> </w:t>
            </w:r>
            <w:r>
              <w:rPr>
                <w:b w:val="0"/>
                <w:color w:val="000000" w:themeColor="text1"/>
              </w:rPr>
              <w:t>population</w:t>
            </w:r>
            <w:r>
              <w:rPr>
                <w:b w:val="0"/>
                <w:bCs/>
                <w:color w:val="000000" w:themeColor="text1"/>
              </w:rPr>
              <w:t xml:space="preserve"> </w:t>
            </w:r>
            <w:r>
              <w:rPr>
                <w:b w:val="0"/>
                <w:color w:val="000000" w:themeColor="text1"/>
              </w:rPr>
              <w:t>impacts.</w:t>
            </w:r>
          </w:p>
          <w:p w14:paraId="2EF361EE" w14:textId="586D686C" w:rsidR="00292C7F" w:rsidRPr="00C53B39" w:rsidRDefault="00292C7F" w:rsidP="00BB5ACB">
            <w:pPr>
              <w:rPr>
                <w:b/>
                <w:bCs/>
              </w:rPr>
            </w:pPr>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18</w:t>
            </w:r>
            <w:r>
              <w:rPr>
                <w:b/>
                <w:bCs/>
              </w:rPr>
              <w:fldChar w:fldCharType="end"/>
            </w:r>
            <w:r>
              <w:rPr>
                <w:b/>
                <w:bCs/>
              </w:rPr>
              <w:t>. Example of vulnerability score table focused on population impacts in San Diego County</w:t>
            </w:r>
          </w:p>
          <w:tbl>
            <w:tblPr>
              <w:tblStyle w:val="TableGrid"/>
              <w:tblW w:w="9103" w:type="dxa"/>
              <w:tblLook w:val="04A0" w:firstRow="1" w:lastRow="0" w:firstColumn="1" w:lastColumn="0" w:noHBand="0" w:noVBand="1"/>
              <w:tblDescription w:val="7 identified vulnerabilities and their associated potential impact, adaptive capacity, and vulnerability scores"/>
            </w:tblPr>
            <w:tblGrid>
              <w:gridCol w:w="4820"/>
              <w:gridCol w:w="1321"/>
              <w:gridCol w:w="1301"/>
              <w:gridCol w:w="1661"/>
            </w:tblGrid>
            <w:tr w:rsidR="00292C7F" w:rsidRPr="00B17CBE" w14:paraId="1B7A2010" w14:textId="77777777" w:rsidTr="007107AC">
              <w:trPr>
                <w:tblHeader/>
              </w:trPr>
              <w:tc>
                <w:tcPr>
                  <w:tcW w:w="4820" w:type="dxa"/>
                  <w:shd w:val="clear" w:color="auto" w:fill="000000" w:themeFill="text1"/>
                  <w:vAlign w:val="center"/>
                </w:tcPr>
                <w:p w14:paraId="4A00A221" w14:textId="35A85E42" w:rsidR="00292C7F" w:rsidRPr="006B7366" w:rsidRDefault="00292C7F" w:rsidP="00BB5ACB">
                  <w:pPr>
                    <w:rPr>
                      <w:b/>
                      <w:bCs/>
                    </w:rPr>
                  </w:pPr>
                  <w:r>
                    <w:rPr>
                      <w:b/>
                      <w:bCs/>
                    </w:rPr>
                    <w:t>Vulnerability Description</w:t>
                  </w:r>
                </w:p>
              </w:tc>
              <w:tc>
                <w:tcPr>
                  <w:tcW w:w="1321" w:type="dxa"/>
                  <w:shd w:val="clear" w:color="auto" w:fill="000000" w:themeFill="text1"/>
                  <w:vAlign w:val="center"/>
                </w:tcPr>
                <w:p w14:paraId="1558AE72" w14:textId="634E2F03" w:rsidR="00292C7F" w:rsidRPr="006B7366" w:rsidRDefault="00292C7F" w:rsidP="00BB5ACB">
                  <w:pPr>
                    <w:jc w:val="center"/>
                    <w:rPr>
                      <w:b/>
                      <w:bCs/>
                    </w:rPr>
                  </w:pPr>
                  <w:r>
                    <w:rPr>
                      <w:b/>
                      <w:bCs/>
                    </w:rPr>
                    <w:t>Potential Impact</w:t>
                  </w:r>
                </w:p>
              </w:tc>
              <w:tc>
                <w:tcPr>
                  <w:tcW w:w="1301" w:type="dxa"/>
                  <w:shd w:val="clear" w:color="auto" w:fill="000000" w:themeFill="text1"/>
                  <w:vAlign w:val="center"/>
                </w:tcPr>
                <w:p w14:paraId="062918D2" w14:textId="2DDB372C" w:rsidR="00292C7F" w:rsidRPr="006B7366" w:rsidRDefault="00292C7F" w:rsidP="00BB5ACB">
                  <w:pPr>
                    <w:jc w:val="center"/>
                    <w:rPr>
                      <w:b/>
                      <w:bCs/>
                    </w:rPr>
                  </w:pPr>
                  <w:r>
                    <w:rPr>
                      <w:b/>
                      <w:bCs/>
                    </w:rPr>
                    <w:t>Adaptive Capacity</w:t>
                  </w:r>
                </w:p>
              </w:tc>
              <w:tc>
                <w:tcPr>
                  <w:tcW w:w="1661" w:type="dxa"/>
                  <w:shd w:val="clear" w:color="auto" w:fill="000000" w:themeFill="text1"/>
                  <w:vAlign w:val="center"/>
                </w:tcPr>
                <w:p w14:paraId="71A9D5C0" w14:textId="77777777" w:rsidR="00292C7F" w:rsidRPr="006B7366" w:rsidRDefault="00292C7F" w:rsidP="00BB5ACB">
                  <w:pPr>
                    <w:jc w:val="center"/>
                    <w:rPr>
                      <w:b/>
                      <w:bCs/>
                    </w:rPr>
                  </w:pPr>
                  <w:r>
                    <w:rPr>
                      <w:b/>
                      <w:bCs/>
                    </w:rPr>
                    <w:t>Vulnerability</w:t>
                  </w:r>
                </w:p>
              </w:tc>
            </w:tr>
            <w:tr w:rsidR="00292C7F" w:rsidRPr="00B17CBE" w14:paraId="71C600DE" w14:textId="77777777" w:rsidTr="007107AC">
              <w:tc>
                <w:tcPr>
                  <w:tcW w:w="4820" w:type="dxa"/>
                  <w:shd w:val="clear" w:color="auto" w:fill="FFFFFF" w:themeFill="background1"/>
                </w:tcPr>
                <w:p w14:paraId="372CBC49" w14:textId="481557CF" w:rsidR="00292C7F" w:rsidRPr="00B17CBE" w:rsidRDefault="00292C7F" w:rsidP="00BB5ACB">
                  <w:r>
                    <w:t>Increased human health risk (i.e., poor air quality, infectious diseases, mental health concerns, limited access to potable water, heat-related illnesses)</w:t>
                  </w:r>
                </w:p>
              </w:tc>
              <w:tc>
                <w:tcPr>
                  <w:tcW w:w="1321" w:type="dxa"/>
                  <w:shd w:val="clear" w:color="auto" w:fill="FFFFFF" w:themeFill="background1"/>
                  <w:vAlign w:val="center"/>
                </w:tcPr>
                <w:p w14:paraId="4A401862" w14:textId="77777777" w:rsidR="00292C7F" w:rsidRPr="00B17CBE" w:rsidRDefault="00292C7F" w:rsidP="00BB5ACB">
                  <w:pPr>
                    <w:jc w:val="center"/>
                  </w:pPr>
                  <w:r>
                    <w:t>High</w:t>
                  </w:r>
                </w:p>
              </w:tc>
              <w:tc>
                <w:tcPr>
                  <w:tcW w:w="1301" w:type="dxa"/>
                  <w:shd w:val="clear" w:color="auto" w:fill="FFFFFF" w:themeFill="background1"/>
                  <w:vAlign w:val="center"/>
                </w:tcPr>
                <w:p w14:paraId="17F4359B" w14:textId="77777777" w:rsidR="00292C7F" w:rsidRPr="00B17CBE" w:rsidRDefault="00292C7F" w:rsidP="00BB5ACB">
                  <w:pPr>
                    <w:jc w:val="center"/>
                  </w:pPr>
                  <w:r>
                    <w:t>Medium</w:t>
                  </w:r>
                </w:p>
              </w:tc>
              <w:tc>
                <w:tcPr>
                  <w:tcW w:w="1661" w:type="dxa"/>
                  <w:shd w:val="clear" w:color="auto" w:fill="FFFFFF" w:themeFill="background1"/>
                  <w:vAlign w:val="center"/>
                </w:tcPr>
                <w:p w14:paraId="0EB93229" w14:textId="77777777" w:rsidR="00292C7F" w:rsidRPr="00B17CBE" w:rsidRDefault="00292C7F" w:rsidP="00BB5ACB">
                  <w:pPr>
                    <w:jc w:val="center"/>
                  </w:pPr>
                  <w:r>
                    <w:t>4</w:t>
                  </w:r>
                </w:p>
              </w:tc>
            </w:tr>
            <w:tr w:rsidR="00292C7F" w:rsidRPr="00B17CBE" w14:paraId="3597513B" w14:textId="77777777" w:rsidTr="007107AC">
              <w:tc>
                <w:tcPr>
                  <w:tcW w:w="4820" w:type="dxa"/>
                  <w:shd w:val="clear" w:color="auto" w:fill="D9D9D9" w:themeFill="background1" w:themeFillShade="D9"/>
                </w:tcPr>
                <w:p w14:paraId="541C4AC5" w14:textId="7E43435B" w:rsidR="00292C7F" w:rsidRPr="00B17CBE" w:rsidRDefault="00292C7F" w:rsidP="00BB5ACB">
                  <w:r>
                    <w:t>Reduced available water supply from extended drought periods</w:t>
                  </w:r>
                </w:p>
              </w:tc>
              <w:tc>
                <w:tcPr>
                  <w:tcW w:w="1321" w:type="dxa"/>
                  <w:shd w:val="clear" w:color="auto" w:fill="D9D9D9" w:themeFill="background1" w:themeFillShade="D9"/>
                  <w:vAlign w:val="center"/>
                </w:tcPr>
                <w:p w14:paraId="5C6D46CD" w14:textId="77777777" w:rsidR="00292C7F" w:rsidRPr="00B17CBE" w:rsidRDefault="00292C7F" w:rsidP="00BB5ACB">
                  <w:pPr>
                    <w:jc w:val="center"/>
                  </w:pPr>
                  <w:r>
                    <w:t>High</w:t>
                  </w:r>
                </w:p>
              </w:tc>
              <w:tc>
                <w:tcPr>
                  <w:tcW w:w="1301" w:type="dxa"/>
                  <w:shd w:val="clear" w:color="auto" w:fill="D9D9D9" w:themeFill="background1" w:themeFillShade="D9"/>
                  <w:vAlign w:val="center"/>
                </w:tcPr>
                <w:p w14:paraId="6741FB24" w14:textId="77777777" w:rsidR="00292C7F" w:rsidRPr="00B17CBE" w:rsidRDefault="00292C7F" w:rsidP="00BB5ACB">
                  <w:pPr>
                    <w:jc w:val="center"/>
                  </w:pPr>
                  <w:r>
                    <w:t>High</w:t>
                  </w:r>
                </w:p>
              </w:tc>
              <w:tc>
                <w:tcPr>
                  <w:tcW w:w="1661" w:type="dxa"/>
                  <w:shd w:val="clear" w:color="auto" w:fill="D9D9D9" w:themeFill="background1" w:themeFillShade="D9"/>
                  <w:vAlign w:val="center"/>
                </w:tcPr>
                <w:p w14:paraId="694C77A8" w14:textId="77777777" w:rsidR="00292C7F" w:rsidRPr="00B17CBE" w:rsidRDefault="00292C7F" w:rsidP="00BB5ACB">
                  <w:pPr>
                    <w:jc w:val="center"/>
                  </w:pPr>
                  <w:r>
                    <w:t>3</w:t>
                  </w:r>
                </w:p>
              </w:tc>
            </w:tr>
            <w:tr w:rsidR="00292C7F" w:rsidRPr="00B17CBE" w14:paraId="6D394846" w14:textId="77777777" w:rsidTr="007107AC">
              <w:tc>
                <w:tcPr>
                  <w:tcW w:w="4820" w:type="dxa"/>
                  <w:shd w:val="clear" w:color="auto" w:fill="FFFFFF" w:themeFill="background1"/>
                </w:tcPr>
                <w:p w14:paraId="09141F2D" w14:textId="3A567401" w:rsidR="00292C7F" w:rsidRPr="00B17CBE" w:rsidRDefault="00292C7F" w:rsidP="00BB5ACB">
                  <w:r>
                    <w:t>Increased exposure to flood risk from extreme precipitation and sea level rise</w:t>
                  </w:r>
                </w:p>
              </w:tc>
              <w:tc>
                <w:tcPr>
                  <w:tcW w:w="1321" w:type="dxa"/>
                  <w:shd w:val="clear" w:color="auto" w:fill="FFFFFF" w:themeFill="background1"/>
                  <w:vAlign w:val="center"/>
                </w:tcPr>
                <w:p w14:paraId="63FCB38C" w14:textId="77777777" w:rsidR="00292C7F" w:rsidRPr="00B17CBE" w:rsidRDefault="00292C7F" w:rsidP="00BB5ACB">
                  <w:pPr>
                    <w:jc w:val="center"/>
                  </w:pPr>
                  <w:r>
                    <w:t>Medium</w:t>
                  </w:r>
                </w:p>
              </w:tc>
              <w:tc>
                <w:tcPr>
                  <w:tcW w:w="1301" w:type="dxa"/>
                  <w:shd w:val="clear" w:color="auto" w:fill="FFFFFF" w:themeFill="background1"/>
                  <w:vAlign w:val="center"/>
                </w:tcPr>
                <w:p w14:paraId="7080F685" w14:textId="77777777" w:rsidR="00292C7F" w:rsidRPr="00B17CBE" w:rsidRDefault="00292C7F" w:rsidP="00BB5ACB">
                  <w:pPr>
                    <w:jc w:val="center"/>
                  </w:pPr>
                  <w:r>
                    <w:t>High</w:t>
                  </w:r>
                </w:p>
              </w:tc>
              <w:tc>
                <w:tcPr>
                  <w:tcW w:w="1661" w:type="dxa"/>
                  <w:shd w:val="clear" w:color="auto" w:fill="FFFFFF" w:themeFill="background1"/>
                  <w:vAlign w:val="center"/>
                </w:tcPr>
                <w:p w14:paraId="1E7E4567" w14:textId="77777777" w:rsidR="00292C7F" w:rsidRPr="00B17CBE" w:rsidRDefault="00292C7F" w:rsidP="00BB5ACB">
                  <w:pPr>
                    <w:jc w:val="center"/>
                  </w:pPr>
                  <w:r>
                    <w:t>2</w:t>
                  </w:r>
                </w:p>
              </w:tc>
            </w:tr>
            <w:tr w:rsidR="00292C7F" w:rsidRPr="00B17CBE" w14:paraId="5B52E2F7" w14:textId="77777777" w:rsidTr="007107AC">
              <w:tc>
                <w:tcPr>
                  <w:tcW w:w="4820" w:type="dxa"/>
                  <w:shd w:val="clear" w:color="auto" w:fill="D9D9D9" w:themeFill="background1" w:themeFillShade="D9"/>
                </w:tcPr>
                <w:p w14:paraId="499686B0" w14:textId="1CDAA0C2" w:rsidR="00292C7F" w:rsidRPr="00B17CBE" w:rsidRDefault="00292C7F" w:rsidP="00BB5ACB">
                  <w:r>
                    <w:t>Increased exposure of people to landslides</w:t>
                  </w:r>
                </w:p>
              </w:tc>
              <w:tc>
                <w:tcPr>
                  <w:tcW w:w="1321" w:type="dxa"/>
                  <w:shd w:val="clear" w:color="auto" w:fill="D9D9D9" w:themeFill="background1" w:themeFillShade="D9"/>
                  <w:vAlign w:val="center"/>
                </w:tcPr>
                <w:p w14:paraId="2EB9DF16" w14:textId="77777777" w:rsidR="00292C7F" w:rsidRPr="00B17CBE" w:rsidRDefault="00292C7F" w:rsidP="00BB5ACB">
                  <w:pPr>
                    <w:jc w:val="center"/>
                  </w:pPr>
                  <w:r>
                    <w:t>Medium</w:t>
                  </w:r>
                </w:p>
              </w:tc>
              <w:tc>
                <w:tcPr>
                  <w:tcW w:w="1301" w:type="dxa"/>
                  <w:shd w:val="clear" w:color="auto" w:fill="D9D9D9" w:themeFill="background1" w:themeFillShade="D9"/>
                  <w:vAlign w:val="center"/>
                </w:tcPr>
                <w:p w14:paraId="2BB01DF8" w14:textId="77777777" w:rsidR="00292C7F" w:rsidRPr="00B17CBE" w:rsidRDefault="00292C7F" w:rsidP="00BB5ACB">
                  <w:pPr>
                    <w:jc w:val="center"/>
                  </w:pPr>
                  <w:r>
                    <w:t>High</w:t>
                  </w:r>
                </w:p>
              </w:tc>
              <w:tc>
                <w:tcPr>
                  <w:tcW w:w="1661" w:type="dxa"/>
                  <w:shd w:val="clear" w:color="auto" w:fill="D9D9D9" w:themeFill="background1" w:themeFillShade="D9"/>
                  <w:vAlign w:val="center"/>
                </w:tcPr>
                <w:p w14:paraId="1E7A77CE" w14:textId="77777777" w:rsidR="00292C7F" w:rsidRPr="00B17CBE" w:rsidRDefault="00292C7F" w:rsidP="00BB5ACB">
                  <w:pPr>
                    <w:jc w:val="center"/>
                  </w:pPr>
                  <w:r>
                    <w:t>2</w:t>
                  </w:r>
                </w:p>
              </w:tc>
            </w:tr>
            <w:tr w:rsidR="00292C7F" w:rsidRPr="00B17CBE" w14:paraId="4F9C5007" w14:textId="77777777" w:rsidTr="007107AC">
              <w:tc>
                <w:tcPr>
                  <w:tcW w:w="4820" w:type="dxa"/>
                  <w:shd w:val="clear" w:color="auto" w:fill="FFFFFF" w:themeFill="background1"/>
                </w:tcPr>
                <w:p w14:paraId="15DA025D" w14:textId="60AEC729" w:rsidR="00292C7F" w:rsidRPr="00B17CBE" w:rsidRDefault="00292C7F" w:rsidP="00BB5ACB">
                  <w:r>
                    <w:t>Increased exposure of people to wildfires</w:t>
                  </w:r>
                </w:p>
              </w:tc>
              <w:tc>
                <w:tcPr>
                  <w:tcW w:w="1321" w:type="dxa"/>
                  <w:shd w:val="clear" w:color="auto" w:fill="FFFFFF" w:themeFill="background1"/>
                  <w:vAlign w:val="center"/>
                </w:tcPr>
                <w:p w14:paraId="67995B16" w14:textId="77777777" w:rsidR="00292C7F" w:rsidRPr="00B17CBE" w:rsidRDefault="00292C7F" w:rsidP="00BB5ACB">
                  <w:pPr>
                    <w:jc w:val="center"/>
                  </w:pPr>
                  <w:r>
                    <w:t>High</w:t>
                  </w:r>
                </w:p>
              </w:tc>
              <w:tc>
                <w:tcPr>
                  <w:tcW w:w="1301" w:type="dxa"/>
                  <w:shd w:val="clear" w:color="auto" w:fill="FFFFFF" w:themeFill="background1"/>
                  <w:vAlign w:val="center"/>
                </w:tcPr>
                <w:p w14:paraId="014848C4" w14:textId="77777777" w:rsidR="00292C7F" w:rsidRPr="00B17CBE" w:rsidRDefault="00292C7F" w:rsidP="00BB5ACB">
                  <w:pPr>
                    <w:jc w:val="center"/>
                  </w:pPr>
                  <w:r>
                    <w:t>Medium</w:t>
                  </w:r>
                </w:p>
              </w:tc>
              <w:tc>
                <w:tcPr>
                  <w:tcW w:w="1661" w:type="dxa"/>
                  <w:shd w:val="clear" w:color="auto" w:fill="FFFFFF" w:themeFill="background1"/>
                  <w:vAlign w:val="center"/>
                </w:tcPr>
                <w:p w14:paraId="4D1C3EA6" w14:textId="77777777" w:rsidR="00292C7F" w:rsidRPr="00B17CBE" w:rsidRDefault="00292C7F" w:rsidP="00BB5ACB">
                  <w:pPr>
                    <w:jc w:val="center"/>
                  </w:pPr>
                  <w:r>
                    <w:t>4</w:t>
                  </w:r>
                </w:p>
              </w:tc>
            </w:tr>
            <w:tr w:rsidR="00292C7F" w:rsidRPr="00B17CBE" w14:paraId="3914A2E2" w14:textId="77777777" w:rsidTr="007107AC">
              <w:tc>
                <w:tcPr>
                  <w:tcW w:w="4820" w:type="dxa"/>
                  <w:shd w:val="clear" w:color="auto" w:fill="D9D9D9" w:themeFill="background1" w:themeFillShade="D9"/>
                </w:tcPr>
                <w:p w14:paraId="3AB70D29" w14:textId="542DC1CB" w:rsidR="00292C7F" w:rsidRPr="00B17CBE" w:rsidRDefault="00292C7F" w:rsidP="00BB5ACB">
                  <w:r>
                    <w:t>Lack of electricity during Public Safety Power Shutoffs implemented during times of high wildfire risk</w:t>
                  </w:r>
                </w:p>
              </w:tc>
              <w:tc>
                <w:tcPr>
                  <w:tcW w:w="1321" w:type="dxa"/>
                  <w:shd w:val="clear" w:color="auto" w:fill="D9D9D9" w:themeFill="background1" w:themeFillShade="D9"/>
                  <w:vAlign w:val="center"/>
                </w:tcPr>
                <w:p w14:paraId="1B80B7F6" w14:textId="77777777" w:rsidR="00292C7F" w:rsidRPr="00B17CBE" w:rsidRDefault="00292C7F" w:rsidP="00BB5ACB">
                  <w:pPr>
                    <w:jc w:val="center"/>
                  </w:pPr>
                  <w:r>
                    <w:t>High</w:t>
                  </w:r>
                </w:p>
              </w:tc>
              <w:tc>
                <w:tcPr>
                  <w:tcW w:w="1301" w:type="dxa"/>
                  <w:shd w:val="clear" w:color="auto" w:fill="D9D9D9" w:themeFill="background1" w:themeFillShade="D9"/>
                  <w:vAlign w:val="center"/>
                </w:tcPr>
                <w:p w14:paraId="341E1895" w14:textId="77777777" w:rsidR="00292C7F" w:rsidRPr="00B17CBE" w:rsidRDefault="00292C7F" w:rsidP="00BB5ACB">
                  <w:pPr>
                    <w:jc w:val="center"/>
                  </w:pPr>
                  <w:r>
                    <w:t>Medium</w:t>
                  </w:r>
                </w:p>
              </w:tc>
              <w:tc>
                <w:tcPr>
                  <w:tcW w:w="1661" w:type="dxa"/>
                  <w:shd w:val="clear" w:color="auto" w:fill="D9D9D9" w:themeFill="background1" w:themeFillShade="D9"/>
                  <w:vAlign w:val="center"/>
                </w:tcPr>
                <w:p w14:paraId="01A1D929" w14:textId="77777777" w:rsidR="00292C7F" w:rsidRPr="00B17CBE" w:rsidRDefault="00292C7F" w:rsidP="00BB5ACB">
                  <w:pPr>
                    <w:jc w:val="center"/>
                  </w:pPr>
                  <w:r>
                    <w:t>4</w:t>
                  </w:r>
                </w:p>
              </w:tc>
            </w:tr>
            <w:tr w:rsidR="00292C7F" w:rsidRPr="00B17CBE" w14:paraId="3B139213" w14:textId="77777777" w:rsidTr="007107AC">
              <w:tc>
                <w:tcPr>
                  <w:tcW w:w="4820" w:type="dxa"/>
                  <w:shd w:val="clear" w:color="auto" w:fill="FFFFFF" w:themeFill="background1"/>
                </w:tcPr>
                <w:p w14:paraId="67B9794A" w14:textId="4B165BFA" w:rsidR="00292C7F" w:rsidRPr="00B17CBE" w:rsidRDefault="00292C7F" w:rsidP="00BB5ACB">
                  <w:r>
                    <w:t>Limited ability to prepare for climate events and to respond and evacuate</w:t>
                  </w:r>
                </w:p>
              </w:tc>
              <w:tc>
                <w:tcPr>
                  <w:tcW w:w="1321" w:type="dxa"/>
                  <w:shd w:val="clear" w:color="auto" w:fill="FFFFFF" w:themeFill="background1"/>
                  <w:vAlign w:val="center"/>
                </w:tcPr>
                <w:p w14:paraId="516EF23C" w14:textId="77777777" w:rsidR="00292C7F" w:rsidRPr="00B17CBE" w:rsidRDefault="00292C7F" w:rsidP="00BB5ACB">
                  <w:pPr>
                    <w:jc w:val="center"/>
                  </w:pPr>
                  <w:r>
                    <w:t>Medium</w:t>
                  </w:r>
                </w:p>
              </w:tc>
              <w:tc>
                <w:tcPr>
                  <w:tcW w:w="1301" w:type="dxa"/>
                  <w:shd w:val="clear" w:color="auto" w:fill="FFFFFF" w:themeFill="background1"/>
                  <w:vAlign w:val="center"/>
                </w:tcPr>
                <w:p w14:paraId="284FC649" w14:textId="77777777" w:rsidR="00292C7F" w:rsidRPr="00B17CBE" w:rsidRDefault="00292C7F" w:rsidP="00BB5ACB">
                  <w:pPr>
                    <w:jc w:val="center"/>
                  </w:pPr>
                  <w:r>
                    <w:t>High</w:t>
                  </w:r>
                </w:p>
              </w:tc>
              <w:tc>
                <w:tcPr>
                  <w:tcW w:w="1661" w:type="dxa"/>
                  <w:shd w:val="clear" w:color="auto" w:fill="FFFFFF" w:themeFill="background1"/>
                  <w:vAlign w:val="center"/>
                </w:tcPr>
                <w:p w14:paraId="177693DF" w14:textId="77777777" w:rsidR="00292C7F" w:rsidRPr="00B17CBE" w:rsidRDefault="00292C7F" w:rsidP="00BB5ACB">
                  <w:pPr>
                    <w:jc w:val="center"/>
                  </w:pPr>
                  <w:r>
                    <w:t>2</w:t>
                  </w:r>
                </w:p>
              </w:tc>
            </w:tr>
          </w:tbl>
          <w:p w14:paraId="68E75B99" w14:textId="215F665C" w:rsidR="00EF488C" w:rsidRPr="00B17CBE" w:rsidRDefault="00EF488C" w:rsidP="000963B2">
            <w:pPr>
              <w:spacing w:before="160" w:after="160"/>
            </w:pPr>
            <w:r>
              <w:t>The County elected to prioritize climate vulnerabilities that received an overall score of four or higher. These are climate vulnerabilities where impacts to populations and assets would be severe and where few or insufficient existing policies and programs are in place to address the vulnerabilities. By focusing on the highest scoring climate vulnerabilities, the County can better prioritize where adaptation efforts should be made. The highest scoring climate vulnerabilities identified were:</w:t>
            </w:r>
          </w:p>
          <w:p w14:paraId="0EB1DFCA" w14:textId="678EB7EE"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t xml:space="preserve">Increased human health risk (i.e., poor air quality, infectious diseases, mental </w:t>
            </w:r>
            <w:r>
              <w:rPr>
                <w:szCs w:val="22"/>
              </w:rPr>
              <w:t>health concerns, limited access to potable water, heat-related illnesses)</w:t>
            </w:r>
          </w:p>
          <w:p w14:paraId="58E30EBD" w14:textId="5B08E252"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rPr>
                <w:szCs w:val="22"/>
              </w:rPr>
              <w:t>Increased exposure of people to wildfires</w:t>
            </w:r>
          </w:p>
          <w:p w14:paraId="19B95802" w14:textId="2D0B84A7"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rPr>
                <w:szCs w:val="22"/>
              </w:rPr>
              <w:t>Lack of electricity during Public Safety Power Shutoffs (PSPS) events implemented during times of high wildfire risk</w:t>
            </w:r>
          </w:p>
          <w:p w14:paraId="7671F50D" w14:textId="4FFC9F0D"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rPr>
                <w:szCs w:val="22"/>
              </w:rPr>
              <w:t>Increased demand for electricity generation during extreme heat events</w:t>
            </w:r>
          </w:p>
          <w:p w14:paraId="0CD2F9FF" w14:textId="65A902DA"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rPr>
                <w:szCs w:val="22"/>
              </w:rPr>
              <w:t>Reduction in available water supply</w:t>
            </w:r>
          </w:p>
          <w:p w14:paraId="14CD724C" w14:textId="1B28193B" w:rsidR="00EF488C" w:rsidRPr="00554EF8" w:rsidRDefault="00EF488C">
            <w:pPr>
              <w:pStyle w:val="ListParagraph"/>
              <w:widowControl w:val="0"/>
              <w:numPr>
                <w:ilvl w:val="0"/>
                <w:numId w:val="33"/>
              </w:numPr>
              <w:tabs>
                <w:tab w:val="left" w:pos="1620"/>
              </w:tabs>
              <w:autoSpaceDE w:val="0"/>
              <w:autoSpaceDN w:val="0"/>
              <w:spacing w:before="160" w:after="160"/>
              <w:ind w:left="720"/>
              <w:rPr>
                <w:szCs w:val="22"/>
              </w:rPr>
            </w:pPr>
            <w:r>
              <w:rPr>
                <w:szCs w:val="22"/>
              </w:rPr>
              <w:t>Loss of vegetation and habitat</w:t>
            </w:r>
          </w:p>
          <w:p w14:paraId="092E22A7" w14:textId="49D34C50" w:rsidR="00292C7F" w:rsidRPr="003132ED" w:rsidRDefault="00EF488C">
            <w:pPr>
              <w:pStyle w:val="ListParagraph"/>
              <w:widowControl w:val="0"/>
              <w:numPr>
                <w:ilvl w:val="0"/>
                <w:numId w:val="33"/>
              </w:numPr>
              <w:tabs>
                <w:tab w:val="left" w:pos="1620"/>
              </w:tabs>
              <w:autoSpaceDE w:val="0"/>
              <w:autoSpaceDN w:val="0"/>
              <w:spacing w:after="120"/>
              <w:ind w:left="720"/>
              <w:contextualSpacing w:val="0"/>
            </w:pPr>
            <w:r>
              <w:rPr>
                <w:szCs w:val="22"/>
              </w:rPr>
              <w:t>Increased exposure</w:t>
            </w:r>
            <w:r>
              <w:t xml:space="preserve"> of emergency responders to heat-related sickness, smoke inhalation, and infectious disease</w:t>
            </w:r>
          </w:p>
        </w:tc>
      </w:tr>
    </w:tbl>
    <w:p w14:paraId="5131193E" w14:textId="3263B328" w:rsidR="00876397" w:rsidRPr="00B17CBE" w:rsidRDefault="00876397" w:rsidP="00CB420F">
      <w:pPr>
        <w:spacing w:before="160" w:line="240" w:lineRule="auto"/>
      </w:pPr>
    </w:p>
    <w:p w14:paraId="4D693C8D" w14:textId="70A60621" w:rsidR="00CF71BD" w:rsidRPr="00B17CBE" w:rsidRDefault="00CF71BD" w:rsidP="000963B2">
      <w:pPr>
        <w:pStyle w:val="Heading2"/>
        <w:spacing w:before="160" w:after="160" w:line="240" w:lineRule="auto"/>
        <w:rPr>
          <w:rFonts w:eastAsia="Century Gothic" w:cs="Century Gothic"/>
        </w:rPr>
      </w:pPr>
      <w:bookmarkStart w:id="136" w:name="_Toc224722691"/>
      <w:bookmarkStart w:id="137" w:name="_Toc235802704"/>
      <w:r>
        <w:t>Phase 2 Wrap-Up</w:t>
      </w:r>
      <w:bookmarkEnd w:id="136"/>
      <w:bookmarkEnd w:id="137"/>
    </w:p>
    <w:p w14:paraId="31FDDC85" w14:textId="0FDCF4DD" w:rsidR="00171379" w:rsidRDefault="00CF71BD" w:rsidP="000963B2">
      <w:pPr>
        <w:spacing w:before="160" w:line="240" w:lineRule="auto"/>
        <w:sectPr w:rsidR="00171379" w:rsidSect="00FA2CD0">
          <w:pgSz w:w="12240" w:h="15840"/>
          <w:pgMar w:top="1440" w:right="1440" w:bottom="1440" w:left="1440" w:header="720" w:footer="720" w:gutter="0"/>
          <w:cols w:space="720"/>
          <w:docGrid w:linePitch="360"/>
        </w:sectPr>
      </w:pPr>
      <w:r>
        <w:t xml:space="preserve">The vulnerability assessment is the process that provides participants with details of how a community may be impacted by climate change. Through this analysis, communities can identify the most vulnerable populations and assets, and which climate hazards may be most impactful. This can be the most technical and data intensive phase of adaptation planning, but with resources like the </w:t>
      </w:r>
      <w:hyperlink r:id="rId212" w:history="1">
        <w:r>
          <w:rPr>
            <w:rStyle w:val="Hyperlink"/>
          </w:rPr>
          <w:t>Vulnerable Communities Platform</w:t>
        </w:r>
      </w:hyperlink>
      <w:r>
        <w:t>, the process can be streamlined and made more accessible. Community engagement during this phase can help refine the analysis and make sure it more accurately reflects conditions of communities. Using the results from the vulnerability assessment, communities can develop an adaptation framework and strategies, following the process discussed in Phase 3</w:t>
      </w:r>
      <w:r w:rsidR="00A72E20">
        <w:t>.</w:t>
      </w:r>
    </w:p>
    <w:p w14:paraId="1369CFA1" w14:textId="40696B5B" w:rsidR="00CF71BD" w:rsidRPr="0017704E" w:rsidRDefault="00CF71BD" w:rsidP="002F370C">
      <w:pPr>
        <w:pStyle w:val="Heading1"/>
      </w:pPr>
      <w:bookmarkStart w:id="138" w:name="_Toc224722692"/>
      <w:bookmarkStart w:id="139" w:name="_Toc235802705"/>
      <w:r>
        <w:t>PHASE 3: ADAPTATION FRAMEWORK AND STRATEGIES</w:t>
      </w:r>
      <w:bookmarkEnd w:id="138"/>
      <w:bookmarkEnd w:id="139"/>
    </w:p>
    <w:p w14:paraId="5D4F19C5" w14:textId="1C2249E9" w:rsidR="00CF71BD" w:rsidRDefault="00CF71BD" w:rsidP="55DEB025">
      <w:pPr>
        <w:pStyle w:val="BodyText"/>
        <w:spacing w:before="160" w:line="240" w:lineRule="auto"/>
      </w:pPr>
      <w:r>
        <w:t xml:space="preserve">The goal of Phase 3 is to develop the </w:t>
      </w:r>
      <w:r w:rsidRPr="55DEB025">
        <w:rPr>
          <w:b/>
          <w:bCs/>
        </w:rPr>
        <w:t>adaptation framework</w:t>
      </w:r>
      <w:r>
        <w:t>, a structure for identifying, organizing, and prioritizing projects, plans or actions that can be implemented to reduce climate vulnerabilities and increase community resilience. Through Phases 1 and 2, the</w:t>
      </w:r>
      <w:r w:rsidR="007C3029">
        <w:t xml:space="preserve"> planning team identified the</w:t>
      </w:r>
      <w:r>
        <w:t xml:space="preserve"> community</w:t>
      </w:r>
      <w:r w:rsidR="007C3029">
        <w:t>’s</w:t>
      </w:r>
      <w:r>
        <w:t xml:space="preserve"> vision, desired outcomes for the adaptation planning process, and assessed vulnerability to climate change. Phase 3 uses those findings to inform the preparation of the adaptation framework and strategies, consistent with the vision, goals, and desired outcomes of the community.</w:t>
      </w:r>
    </w:p>
    <w:p w14:paraId="1429547C" w14:textId="2FE4ABAF" w:rsidR="00CD0AE5" w:rsidRPr="00BE48FE" w:rsidRDefault="00CD0AE5" w:rsidP="00CD0AE5">
      <w:pPr>
        <w:pStyle w:val="BodyText"/>
        <w:spacing w:before="160" w:line="240" w:lineRule="auto"/>
      </w:pPr>
      <w:r>
        <w:t>An adaptation framework provides the overall approach for moving from vulnerability assessment to implementation. It connects the community’s climate risks, goals, and priorities with the actions needed to build resilience.</w:t>
      </w:r>
      <w:r>
        <w:rPr>
          <w:b/>
          <w:bCs/>
        </w:rPr>
        <w:t xml:space="preserve"> Within this framework:</w:t>
      </w:r>
    </w:p>
    <w:p w14:paraId="17A996F7" w14:textId="77777777" w:rsidR="00CD0AE5" w:rsidRPr="00BE48FE" w:rsidRDefault="00CD0AE5">
      <w:pPr>
        <w:pStyle w:val="BodyText"/>
        <w:numPr>
          <w:ilvl w:val="0"/>
          <w:numId w:val="71"/>
        </w:numPr>
        <w:spacing w:before="160" w:line="240" w:lineRule="auto"/>
      </w:pPr>
      <w:r>
        <w:rPr>
          <w:b/>
          <w:bCs/>
        </w:rPr>
        <w:t xml:space="preserve">Goals </w:t>
      </w:r>
      <w:r>
        <w:t xml:space="preserve">define the desired long-term outcomes the community seeks to achieve through adaptation. </w:t>
      </w:r>
    </w:p>
    <w:p w14:paraId="601151AE" w14:textId="77777777" w:rsidR="00CD0AE5" w:rsidRPr="00BE48FE" w:rsidRDefault="00CD0AE5">
      <w:pPr>
        <w:pStyle w:val="BodyText"/>
        <w:numPr>
          <w:ilvl w:val="0"/>
          <w:numId w:val="71"/>
        </w:numPr>
        <w:spacing w:before="160" w:line="240" w:lineRule="auto"/>
      </w:pPr>
      <w:r>
        <w:rPr>
          <w:b/>
          <w:bCs/>
        </w:rPr>
        <w:t xml:space="preserve">Adaptation strategies </w:t>
      </w:r>
      <w:r>
        <w:t xml:space="preserve">are the specific policies, programs, projects, measures, or actions that advance these goals by reducing climate vulnerabilities and increasing resilience. </w:t>
      </w:r>
    </w:p>
    <w:p w14:paraId="328A7A51" w14:textId="7921FC3B" w:rsidR="00822D02" w:rsidRDefault="0044795D" w:rsidP="000963B2">
      <w:pPr>
        <w:pStyle w:val="BodyText"/>
        <w:spacing w:line="240" w:lineRule="auto"/>
      </w:pPr>
      <w:r>
        <w:rPr>
          <w:noProof/>
        </w:rPr>
        <w:drawing>
          <wp:anchor distT="0" distB="0" distL="114300" distR="114300" simplePos="0" relativeHeight="251658256" behindDoc="0" locked="0" layoutInCell="1" allowOverlap="1" wp14:anchorId="1D26B4F7" wp14:editId="1CF9B593">
            <wp:simplePos x="0" y="0"/>
            <wp:positionH relativeFrom="column">
              <wp:posOffset>4212285</wp:posOffset>
            </wp:positionH>
            <wp:positionV relativeFrom="paragraph">
              <wp:posOffset>803910</wp:posOffset>
            </wp:positionV>
            <wp:extent cx="877570" cy="1929765"/>
            <wp:effectExtent l="0" t="0" r="0" b="0"/>
            <wp:wrapNone/>
            <wp:docPr id="1295074099" name="Graphic 3" descr="Caret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657" name="Graphic 51571657" descr="Caret Right with solid fill"/>
                    <pic:cNvPicPr/>
                  </pic:nvPicPr>
                  <pic:blipFill>
                    <a:blip r:embed="rId213">
                      <a:extLst>
                        <a:ext uri="{96DAC541-7B7A-43D3-8B79-37D633B846F1}">
                          <asvg:svgBlip xmlns:asvg="http://schemas.microsoft.com/office/drawing/2016/SVG/main" r:embed="rId214"/>
                        </a:ext>
                      </a:extLst>
                    </a:blip>
                    <a:stretch>
                      <a:fillRect/>
                    </a:stretch>
                  </pic:blipFill>
                  <pic:spPr>
                    <a:xfrm>
                      <a:off x="0" y="0"/>
                      <a:ext cx="877570" cy="1929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5" behindDoc="0" locked="0" layoutInCell="1" allowOverlap="1" wp14:anchorId="0174A784" wp14:editId="26C111A7">
            <wp:simplePos x="0" y="0"/>
            <wp:positionH relativeFrom="column">
              <wp:posOffset>3181350</wp:posOffset>
            </wp:positionH>
            <wp:positionV relativeFrom="paragraph">
              <wp:posOffset>810260</wp:posOffset>
            </wp:positionV>
            <wp:extent cx="877570" cy="1929765"/>
            <wp:effectExtent l="0" t="0" r="0" b="0"/>
            <wp:wrapNone/>
            <wp:docPr id="1761307885" name="Graphic 3" descr="Caret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657" name="Graphic 51571657" descr="Caret Right with solid fill"/>
                    <pic:cNvPicPr/>
                  </pic:nvPicPr>
                  <pic:blipFill>
                    <a:blip r:embed="rId213">
                      <a:extLst>
                        <a:ext uri="{96DAC541-7B7A-43D3-8B79-37D633B846F1}">
                          <asvg:svgBlip xmlns:asvg="http://schemas.microsoft.com/office/drawing/2016/SVG/main" r:embed="rId214"/>
                        </a:ext>
                      </a:extLst>
                    </a:blip>
                    <a:stretch>
                      <a:fillRect/>
                    </a:stretch>
                  </pic:blipFill>
                  <pic:spPr>
                    <a:xfrm>
                      <a:off x="0" y="0"/>
                      <a:ext cx="877570" cy="1929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4" behindDoc="0" locked="0" layoutInCell="1" allowOverlap="1" wp14:anchorId="6D6B00C9" wp14:editId="49FDC024">
            <wp:simplePos x="0" y="0"/>
            <wp:positionH relativeFrom="column">
              <wp:posOffset>2077085</wp:posOffset>
            </wp:positionH>
            <wp:positionV relativeFrom="paragraph">
              <wp:posOffset>807085</wp:posOffset>
            </wp:positionV>
            <wp:extent cx="877570" cy="1929765"/>
            <wp:effectExtent l="0" t="0" r="0" b="0"/>
            <wp:wrapNone/>
            <wp:docPr id="1698352489" name="Graphic 3" descr="Caret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657" name="Graphic 51571657" descr="Caret Right with solid fill"/>
                    <pic:cNvPicPr/>
                  </pic:nvPicPr>
                  <pic:blipFill>
                    <a:blip r:embed="rId213">
                      <a:extLst>
                        <a:ext uri="{96DAC541-7B7A-43D3-8B79-37D633B846F1}">
                          <asvg:svgBlip xmlns:asvg="http://schemas.microsoft.com/office/drawing/2016/SVG/main" r:embed="rId214"/>
                        </a:ext>
                      </a:extLst>
                    </a:blip>
                    <a:stretch>
                      <a:fillRect/>
                    </a:stretch>
                  </pic:blipFill>
                  <pic:spPr>
                    <a:xfrm>
                      <a:off x="0" y="0"/>
                      <a:ext cx="877570" cy="1929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3" behindDoc="0" locked="0" layoutInCell="1" allowOverlap="1" wp14:anchorId="26D48C47" wp14:editId="7E754AB6">
            <wp:simplePos x="0" y="0"/>
            <wp:positionH relativeFrom="column">
              <wp:posOffset>830885</wp:posOffset>
            </wp:positionH>
            <wp:positionV relativeFrom="paragraph">
              <wp:posOffset>806450</wp:posOffset>
            </wp:positionV>
            <wp:extent cx="877570" cy="1929765"/>
            <wp:effectExtent l="0" t="0" r="0" b="0"/>
            <wp:wrapNone/>
            <wp:docPr id="51571657" name="Graphic 3" descr="Caret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657" name="Graphic 51571657" descr="Caret Right with solid fill"/>
                    <pic:cNvPicPr/>
                  </pic:nvPicPr>
                  <pic:blipFill>
                    <a:blip r:embed="rId213">
                      <a:extLst>
                        <a:ext uri="{96DAC541-7B7A-43D3-8B79-37D633B846F1}">
                          <asvg:svgBlip xmlns:asvg="http://schemas.microsoft.com/office/drawing/2016/SVG/main" r:embed="rId214"/>
                        </a:ext>
                      </a:extLst>
                    </a:blip>
                    <a:stretch>
                      <a:fillRect/>
                    </a:stretch>
                  </pic:blipFill>
                  <pic:spPr>
                    <a:xfrm>
                      <a:off x="0" y="0"/>
                      <a:ext cx="877570" cy="1929765"/>
                    </a:xfrm>
                    <a:prstGeom prst="rect">
                      <a:avLst/>
                    </a:prstGeom>
                  </pic:spPr>
                </pic:pic>
              </a:graphicData>
            </a:graphic>
            <wp14:sizeRelH relativeFrom="margin">
              <wp14:pctWidth>0</wp14:pctWidth>
            </wp14:sizeRelH>
            <wp14:sizeRelV relativeFrom="margin">
              <wp14:pctHeight>0</wp14:pctHeight>
            </wp14:sizeRelV>
          </wp:anchor>
        </w:drawing>
      </w:r>
      <w:r>
        <w:t>This chapter describes the steps for developing and prioritizing strategies</w:t>
      </w:r>
      <w:r>
        <w:rPr>
          <w:spacing w:val="-6"/>
        </w:rPr>
        <w:t xml:space="preserve"> </w:t>
      </w:r>
      <w:r>
        <w:t xml:space="preserve">(see </w:t>
      </w:r>
      <w:r>
        <w:rPr>
          <w:u w:val="single"/>
        </w:rPr>
        <w:fldChar w:fldCharType="begin"/>
      </w:r>
      <w:r>
        <w:rPr>
          <w:u w:val="single"/>
        </w:rPr>
        <w:instrText xml:space="preserve"> REF _Ref229472044 \h  \* MERGEFORMAT </w:instrText>
      </w:r>
      <w:r>
        <w:rPr>
          <w:u w:val="single"/>
        </w:rPr>
      </w:r>
      <w:r>
        <w:rPr>
          <w:u w:val="single"/>
        </w:rPr>
        <w:fldChar w:fldCharType="separate"/>
      </w:r>
      <w:r w:rsidR="00517691" w:rsidRPr="00517691">
        <w:rPr>
          <w:szCs w:val="24"/>
          <w:u w:val="single"/>
        </w:rPr>
        <w:t xml:space="preserve">Figure </w:t>
      </w:r>
      <w:r w:rsidR="00517691" w:rsidRPr="00517691">
        <w:rPr>
          <w:noProof/>
          <w:u w:val="single"/>
        </w:rPr>
        <w:t>19</w:t>
      </w:r>
      <w:r>
        <w:rPr>
          <w:u w:val="single"/>
        </w:rPr>
        <w:fldChar w:fldCharType="end"/>
      </w:r>
      <w:r>
        <w:t>).</w:t>
      </w:r>
      <w:r>
        <w:rPr>
          <w:spacing w:val="-6"/>
        </w:rPr>
        <w:t xml:space="preserve"> </w:t>
      </w:r>
      <w:r>
        <w:t>The</w:t>
      </w:r>
      <w:r>
        <w:rPr>
          <w:spacing w:val="-6"/>
        </w:rPr>
        <w:t xml:space="preserve"> </w:t>
      </w:r>
      <w:r>
        <w:t>primary</w:t>
      </w:r>
      <w:r>
        <w:rPr>
          <w:spacing w:val="-6"/>
        </w:rPr>
        <w:t xml:space="preserve"> </w:t>
      </w:r>
      <w:r>
        <w:t>steps</w:t>
      </w:r>
      <w:r>
        <w:rPr>
          <w:spacing w:val="-6"/>
        </w:rPr>
        <w:t xml:space="preserve"> </w:t>
      </w:r>
      <w:r>
        <w:t>are:</w:t>
      </w:r>
      <w:r>
        <w:rPr>
          <w:spacing w:val="-6"/>
        </w:rPr>
        <w:t xml:space="preserve"> </w:t>
      </w:r>
      <w:r>
        <w:t>1)</w:t>
      </w:r>
      <w:r>
        <w:rPr>
          <w:spacing w:val="-6"/>
        </w:rPr>
        <w:t xml:space="preserve"> </w:t>
      </w:r>
      <w:r>
        <w:t>summarize</w:t>
      </w:r>
      <w:r>
        <w:rPr>
          <w:spacing w:val="-6"/>
        </w:rPr>
        <w:t xml:space="preserve"> </w:t>
      </w:r>
      <w:r>
        <w:t>vulnerability findings,</w:t>
      </w:r>
      <w:r>
        <w:rPr>
          <w:spacing w:val="-6"/>
        </w:rPr>
        <w:t xml:space="preserve"> </w:t>
      </w:r>
      <w:r>
        <w:t>2)</w:t>
      </w:r>
      <w:r>
        <w:rPr>
          <w:spacing w:val="-6"/>
        </w:rPr>
        <w:t xml:space="preserve"> </w:t>
      </w:r>
      <w:r>
        <w:t>review vision and goals, 3) develop adaptation strategies, 4) prioritize adaptation strategies, and 5) conduct outreach and engagement.</w:t>
      </w:r>
    </w:p>
    <w:tbl>
      <w:tblPr>
        <w:tblStyle w:val="TableGrid"/>
        <w:tblW w:w="9576" w:type="dxa"/>
        <w:tblInd w:w="-95" w:type="dxa"/>
        <w:tblLook w:val="04A0" w:firstRow="1" w:lastRow="0" w:firstColumn="1" w:lastColumn="0" w:noHBand="0" w:noVBand="1"/>
      </w:tblPr>
      <w:tblGrid>
        <w:gridCol w:w="9576"/>
      </w:tblGrid>
      <w:tr w:rsidR="00BD1594" w14:paraId="09D9E4E5" w14:textId="77777777" w:rsidTr="00FE465A">
        <w:trPr>
          <w:trHeight w:val="432"/>
        </w:trPr>
        <w:tc>
          <w:tcPr>
            <w:tcW w:w="9576" w:type="dxa"/>
            <w:shd w:val="clear" w:color="auto" w:fill="000000" w:themeFill="text1"/>
            <w:vAlign w:val="center"/>
          </w:tcPr>
          <w:p w14:paraId="4A49BCB9" w14:textId="4AB044D5" w:rsidR="00BD1594" w:rsidRPr="00BD1594" w:rsidRDefault="002C4708" w:rsidP="00FE465A">
            <w:pPr>
              <w:rPr>
                <w:b/>
                <w:bCs/>
              </w:rPr>
            </w:pPr>
            <w:bookmarkStart w:id="140" w:name="_Ref229472044"/>
            <w:bookmarkStart w:id="141" w:name="_Ref229472041"/>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19</w:t>
            </w:r>
            <w:r>
              <w:rPr>
                <w:b/>
                <w:bCs/>
              </w:rPr>
              <w:fldChar w:fldCharType="end"/>
            </w:r>
            <w:bookmarkEnd w:id="140"/>
            <w:r>
              <w:rPr>
                <w:b/>
                <w:bCs/>
              </w:rPr>
              <w:t>. Steps in Phase 3</w:t>
            </w:r>
            <w:bookmarkEnd w:id="141"/>
          </w:p>
        </w:tc>
      </w:tr>
      <w:tr w:rsidR="00BD1594" w14:paraId="2AF8CCC5" w14:textId="77777777" w:rsidTr="0044795D">
        <w:tc>
          <w:tcPr>
            <w:tcW w:w="9576" w:type="dxa"/>
          </w:tcPr>
          <w:p w14:paraId="6DB89E53" w14:textId="1E345332" w:rsidR="008F2758" w:rsidRPr="006860D6" w:rsidRDefault="008F2758" w:rsidP="00BB5ACB">
            <w:pPr>
              <w:rPr>
                <w:sz w:val="12"/>
                <w:szCs w:val="12"/>
              </w:rPr>
            </w:pPr>
          </w:p>
          <w:p w14:paraId="2C8E3C02" w14:textId="1F38F598" w:rsidR="00BD1594" w:rsidRDefault="00D7702B" w:rsidP="00BB5ACB">
            <w:r>
              <w:rPr>
                <w:noProof/>
              </w:rPr>
              <mc:AlternateContent>
                <mc:Choice Requires="wps">
                  <w:drawing>
                    <wp:anchor distT="45720" distB="45720" distL="114300" distR="114300" simplePos="0" relativeHeight="251658251" behindDoc="0" locked="0" layoutInCell="1" allowOverlap="1" wp14:anchorId="24A21F03" wp14:editId="482ED109">
                      <wp:simplePos x="0" y="0"/>
                      <wp:positionH relativeFrom="column">
                        <wp:posOffset>3569970</wp:posOffset>
                      </wp:positionH>
                      <wp:positionV relativeFrom="paragraph">
                        <wp:posOffset>99060</wp:posOffset>
                      </wp:positionV>
                      <wp:extent cx="1276350" cy="731520"/>
                      <wp:effectExtent l="0" t="0" r="0" b="0"/>
                      <wp:wrapNone/>
                      <wp:docPr id="38974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31520"/>
                              </a:xfrm>
                              <a:prstGeom prst="rect">
                                <a:avLst/>
                              </a:prstGeom>
                              <a:noFill/>
                              <a:ln w="9525">
                                <a:noFill/>
                                <a:miter lim="800000"/>
                                <a:headEnd/>
                                <a:tailEnd/>
                              </a:ln>
                            </wps:spPr>
                            <wps:txbx>
                              <w:txbxContent>
                                <w:p w14:paraId="4C711627" w14:textId="0D73AEDD"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w:t>
                                  </w:r>
                                  <w:r w:rsidR="00D7702B">
                                    <w:rPr>
                                      <w:b/>
                                      <w:bCs/>
                                      <w:color w:val="FFFFFF" w:themeColor="background1"/>
                                      <w:sz w:val="22"/>
                                      <w:szCs w:val="20"/>
                                    </w:rPr>
                                    <w:t>3D</w:t>
                                  </w:r>
                                  <w:r w:rsidRPr="00D7702B">
                                    <w:rPr>
                                      <w:b/>
                                      <w:bCs/>
                                      <w:color w:val="FFFFFF" w:themeColor="background1"/>
                                      <w:sz w:val="22"/>
                                      <w:szCs w:val="20"/>
                                    </w:rPr>
                                    <w:br/>
                                  </w:r>
                                  <w:r w:rsidR="00D7702B" w:rsidRPr="00D7702B">
                                    <w:rPr>
                                      <w:b/>
                                      <w:bCs/>
                                      <w:color w:val="FFFFFF" w:themeColor="background1"/>
                                      <w:sz w:val="22"/>
                                      <w:szCs w:val="20"/>
                                    </w:rPr>
                                    <w:t>OUTREACH &amp; ENGAGEMENT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A21F03" id="_x0000_s1033" type="#_x0000_t202" style="position:absolute;margin-left:281.1pt;margin-top:7.8pt;width:100.5pt;height:57.6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" filled="f" stroked="f">
                      <v:textbox>
                        <w:txbxContent>
                          <w:p w14:paraId="4C711627" w14:textId="0D73AEDD"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w:t>
                            </w:r>
                            <w:r w:rsidR="00D7702B">
                              <w:rPr>
                                <w:b/>
                                <w:bCs/>
                                <w:color w:val="FFFFFF" w:themeColor="background1"/>
                                <w:sz w:val="22"/>
                                <w:szCs w:val="20"/>
                              </w:rPr>
                              <w:t>3D</w:t>
                            </w:r>
                            <w:r w:rsidRPr="00D7702B">
                              <w:rPr>
                                <w:b/>
                                <w:bCs/>
                                <w:color w:val="FFFFFF" w:themeColor="background1"/>
                                <w:sz w:val="22"/>
                                <w:szCs w:val="20"/>
                              </w:rPr>
                              <w:br/>
                            </w:r>
                            <w:r w:rsidR="00D7702B" w:rsidRPr="00D7702B">
                              <w:rPr>
                                <w:b/>
                                <w:bCs/>
                                <w:color w:val="FFFFFF" w:themeColor="background1"/>
                                <w:sz w:val="22"/>
                                <w:szCs w:val="20"/>
                              </w:rPr>
                              <w:t>OUTREACH &amp; ENGAGEMENT</w:t>
                            </w:r>
                          </w:p>
                        </w:txbxContent>
                      </v:textbox>
                    </v:shape>
                  </w:pict>
                </mc:Fallback>
              </mc:AlternateContent>
            </w:r>
            <w:r w:rsidR="00C82E22">
              <w:rPr>
                <w:b/>
                <w:bCs/>
                <w:noProof/>
              </w:rPr>
              <w:drawing>
                <wp:anchor distT="0" distB="0" distL="114300" distR="114300" simplePos="0" relativeHeight="251658261" behindDoc="0" locked="0" layoutInCell="1" allowOverlap="1" wp14:anchorId="19B88179" wp14:editId="6EBD5143">
                  <wp:simplePos x="0" y="0"/>
                  <wp:positionH relativeFrom="column">
                    <wp:posOffset>15115</wp:posOffset>
                  </wp:positionH>
                  <wp:positionV relativeFrom="paragraph">
                    <wp:posOffset>1019282</wp:posOffset>
                  </wp:positionV>
                  <wp:extent cx="5915660" cy="360045"/>
                  <wp:effectExtent l="0" t="0" r="0" b="20955"/>
                  <wp:wrapTopAndBottom/>
                  <wp:docPr id="1739243858" name="Diagram 1">
                    <a:extLst xmlns:a="http://schemas.openxmlformats.org/drawingml/2006/main">
                      <a:ext uri="{FF2B5EF4-FFF2-40B4-BE49-F238E27FC236}">
                        <a16:creationId xmlns:a16="http://schemas.microsoft.com/office/drawing/2014/main" id="{6E8739BE-149A-4DA9-296F-843088B9BFE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5" r:lo="rId216" r:qs="rId217" r:cs="rId218"/>
                    </a:graphicData>
                  </a:graphic>
                  <wp14:sizeRelH relativeFrom="margin">
                    <wp14:pctWidth>0</wp14:pctWidth>
                  </wp14:sizeRelH>
                </wp:anchor>
              </w:drawing>
            </w:r>
            <w:r w:rsidR="00C82E22">
              <w:rPr>
                <w:noProof/>
              </w:rPr>
              <mc:AlternateContent>
                <mc:Choice Requires="wps">
                  <w:drawing>
                    <wp:anchor distT="45720" distB="45720" distL="114300" distR="114300" simplePos="0" relativeHeight="251658252" behindDoc="0" locked="0" layoutInCell="1" allowOverlap="1" wp14:anchorId="361A283D" wp14:editId="76B6F799">
                      <wp:simplePos x="0" y="0"/>
                      <wp:positionH relativeFrom="column">
                        <wp:posOffset>4635830</wp:posOffset>
                      </wp:positionH>
                      <wp:positionV relativeFrom="paragraph">
                        <wp:posOffset>115570</wp:posOffset>
                      </wp:positionV>
                      <wp:extent cx="1297940" cy="731520"/>
                      <wp:effectExtent l="0" t="0" r="0" b="0"/>
                      <wp:wrapNone/>
                      <wp:docPr id="1919687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731520"/>
                              </a:xfrm>
                              <a:prstGeom prst="rect">
                                <a:avLst/>
                              </a:prstGeom>
                              <a:noFill/>
                              <a:ln w="9525">
                                <a:noFill/>
                                <a:miter lim="800000"/>
                                <a:headEnd/>
                                <a:tailEnd/>
                              </a:ln>
                            </wps:spPr>
                            <wps:txbx>
                              <w:txbxContent>
                                <w:p w14:paraId="2DBC4A7A" w14:textId="1F30F2D4"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w:t>
                                  </w:r>
                                  <w:r w:rsidR="00D7702B">
                                    <w:rPr>
                                      <w:b/>
                                      <w:bCs/>
                                      <w:color w:val="FFFFFF" w:themeColor="background1"/>
                                      <w:sz w:val="22"/>
                                      <w:szCs w:val="20"/>
                                    </w:rPr>
                                    <w:t>4</w:t>
                                  </w:r>
                                  <w:r w:rsidRPr="00D7702B">
                                    <w:rPr>
                                      <w:b/>
                                      <w:bCs/>
                                      <w:color w:val="FFFFFF" w:themeColor="background1"/>
                                      <w:sz w:val="22"/>
                                      <w:szCs w:val="20"/>
                                    </w:rPr>
                                    <w:br/>
                                  </w:r>
                                  <w:r w:rsidR="00D7702B" w:rsidRPr="00D7702B">
                                    <w:rPr>
                                      <w:b/>
                                      <w:bCs/>
                                      <w:color w:val="FFFFFF" w:themeColor="background1"/>
                                      <w:sz w:val="22"/>
                                      <w:szCs w:val="20"/>
                                    </w:rPr>
                                    <w:t>PRIORITIZE STRATEGIES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1A283D" id="_x0000_s1034" type="#_x0000_t202" style="position:absolute;margin-left:365.05pt;margin-top:9.1pt;width:102.2pt;height:57.6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" filled="f" stroked="f">
                      <v:textbox>
                        <w:txbxContent>
                          <w:p w14:paraId="2DBC4A7A" w14:textId="1F30F2D4"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w:t>
                            </w:r>
                            <w:r w:rsidR="00D7702B">
                              <w:rPr>
                                <w:b/>
                                <w:bCs/>
                                <w:color w:val="FFFFFF" w:themeColor="background1"/>
                                <w:sz w:val="22"/>
                                <w:szCs w:val="20"/>
                              </w:rPr>
                              <w:t>4</w:t>
                            </w:r>
                            <w:r w:rsidRPr="00D7702B">
                              <w:rPr>
                                <w:b/>
                                <w:bCs/>
                                <w:color w:val="FFFFFF" w:themeColor="background1"/>
                                <w:sz w:val="22"/>
                                <w:szCs w:val="20"/>
                              </w:rPr>
                              <w:br/>
                            </w:r>
                            <w:r w:rsidR="00D7702B" w:rsidRPr="00D7702B">
                              <w:rPr>
                                <w:b/>
                                <w:bCs/>
                                <w:color w:val="FFFFFF" w:themeColor="background1"/>
                                <w:sz w:val="22"/>
                                <w:szCs w:val="20"/>
                              </w:rPr>
                              <w:t>PRIORITIZE STRATEGIES</w:t>
                            </w:r>
                          </w:p>
                        </w:txbxContent>
                      </v:textbox>
                    </v:shape>
                  </w:pict>
                </mc:Fallback>
              </mc:AlternateContent>
            </w:r>
            <w:r w:rsidR="00C82E22">
              <w:rPr>
                <w:noProof/>
              </w:rPr>
              <mc:AlternateContent>
                <mc:Choice Requires="wps">
                  <w:drawing>
                    <wp:anchor distT="45720" distB="45720" distL="114300" distR="114300" simplePos="0" relativeHeight="251658249" behindDoc="0" locked="0" layoutInCell="1" allowOverlap="1" wp14:anchorId="4F107F66" wp14:editId="4DC72AF0">
                      <wp:simplePos x="0" y="0"/>
                      <wp:positionH relativeFrom="column">
                        <wp:posOffset>1304925</wp:posOffset>
                      </wp:positionH>
                      <wp:positionV relativeFrom="paragraph">
                        <wp:posOffset>106680</wp:posOffset>
                      </wp:positionV>
                      <wp:extent cx="1297940" cy="731520"/>
                      <wp:effectExtent l="0" t="0" r="0" b="0"/>
                      <wp:wrapNone/>
                      <wp:docPr id="1975226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731520"/>
                              </a:xfrm>
                              <a:prstGeom prst="rect">
                                <a:avLst/>
                              </a:prstGeom>
                              <a:noFill/>
                              <a:ln w="9525">
                                <a:noFill/>
                                <a:miter lim="800000"/>
                                <a:headEnd/>
                                <a:tailEnd/>
                              </a:ln>
                            </wps:spPr>
                            <wps:txbx>
                              <w:txbxContent>
                                <w:p w14:paraId="3A0462E2" w14:textId="61D88B12"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3.2</w:t>
                                  </w:r>
                                  <w:r w:rsidRPr="00D7702B">
                                    <w:rPr>
                                      <w:b/>
                                      <w:bCs/>
                                      <w:color w:val="FFFFFF" w:themeColor="background1"/>
                                      <w:sz w:val="22"/>
                                      <w:szCs w:val="20"/>
                                    </w:rPr>
                                    <w:br/>
                                    <w:t>REVIEW VISION &amp; GOALS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107F66" id="_x0000_s1035" type="#_x0000_t202" style="position:absolute;margin-left:102.75pt;margin-top:8.4pt;width:102.2pt;height:57.6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" filled="f" stroked="f">
                      <v:textbox>
                        <w:txbxContent>
                          <w:p w14:paraId="3A0462E2" w14:textId="61D88B12"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3.2</w:t>
                            </w:r>
                            <w:r w:rsidRPr="00D7702B">
                              <w:rPr>
                                <w:b/>
                                <w:bCs/>
                                <w:color w:val="FFFFFF" w:themeColor="background1"/>
                                <w:sz w:val="22"/>
                                <w:szCs w:val="20"/>
                              </w:rPr>
                              <w:br/>
                              <w:t>REVIEW VISION &amp; GOALS</w:t>
                            </w:r>
                          </w:p>
                        </w:txbxContent>
                      </v:textbox>
                    </v:shape>
                  </w:pict>
                </mc:Fallback>
              </mc:AlternateContent>
            </w:r>
            <w:r w:rsidR="00C82E22">
              <w:rPr>
                <w:noProof/>
              </w:rPr>
              <mc:AlternateContent>
                <mc:Choice Requires="wps">
                  <w:drawing>
                    <wp:anchor distT="45720" distB="45720" distL="114300" distR="114300" simplePos="0" relativeHeight="251658250" behindDoc="0" locked="0" layoutInCell="1" allowOverlap="1" wp14:anchorId="7CDC371A" wp14:editId="48D9D472">
                      <wp:simplePos x="0" y="0"/>
                      <wp:positionH relativeFrom="column">
                        <wp:posOffset>2435225</wp:posOffset>
                      </wp:positionH>
                      <wp:positionV relativeFrom="paragraph">
                        <wp:posOffset>106680</wp:posOffset>
                      </wp:positionV>
                      <wp:extent cx="1297940" cy="731520"/>
                      <wp:effectExtent l="0" t="0" r="0" b="0"/>
                      <wp:wrapNone/>
                      <wp:docPr id="1614036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731520"/>
                              </a:xfrm>
                              <a:prstGeom prst="rect">
                                <a:avLst/>
                              </a:prstGeom>
                              <a:noFill/>
                              <a:ln w="9525">
                                <a:noFill/>
                                <a:miter lim="800000"/>
                                <a:headEnd/>
                                <a:tailEnd/>
                              </a:ln>
                            </wps:spPr>
                            <wps:txbx>
                              <w:txbxContent>
                                <w:p w14:paraId="5135BBD1" w14:textId="55FED294"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3.3</w:t>
                                  </w:r>
                                  <w:r w:rsidRPr="00D7702B">
                                    <w:rPr>
                                      <w:b/>
                                      <w:bCs/>
                                      <w:color w:val="FFFFFF" w:themeColor="background1"/>
                                      <w:sz w:val="22"/>
                                      <w:szCs w:val="20"/>
                                    </w:rPr>
                                    <w:br/>
                                    <w:t>PREPARE STRATEGIES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C371A" id="_x0000_s1036" type="#_x0000_t202" style="position:absolute;margin-left:191.75pt;margin-top:8.4pt;width:102.2pt;height:57.6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" filled="f" stroked="f">
                      <v:textbox>
                        <w:txbxContent>
                          <w:p w14:paraId="5135BBD1" w14:textId="55FED294" w:rsidR="00862D9C" w:rsidRPr="00D7702B" w:rsidRDefault="00862D9C" w:rsidP="00862D9C">
                            <w:pPr>
                              <w:jc w:val="center"/>
                              <w:rPr>
                                <w:b/>
                                <w:bCs/>
                                <w:color w:val="FFFFFF" w:themeColor="background1"/>
                                <w:sz w:val="22"/>
                                <w:szCs w:val="20"/>
                              </w:rPr>
                            </w:pPr>
                            <w:r w:rsidRPr="00D7702B">
                              <w:rPr>
                                <w:b/>
                                <w:bCs/>
                                <w:color w:val="FFFFFF" w:themeColor="background1"/>
                                <w:sz w:val="22"/>
                                <w:szCs w:val="20"/>
                              </w:rPr>
                              <w:t>STEP 3.3</w:t>
                            </w:r>
                            <w:r w:rsidRPr="00D7702B">
                              <w:rPr>
                                <w:b/>
                                <w:bCs/>
                                <w:color w:val="FFFFFF" w:themeColor="background1"/>
                                <w:sz w:val="22"/>
                                <w:szCs w:val="20"/>
                              </w:rPr>
                              <w:br/>
                              <w:t>PREPARE STRATEGIES</w:t>
                            </w:r>
                          </w:p>
                        </w:txbxContent>
                      </v:textbox>
                    </v:shape>
                  </w:pict>
                </mc:Fallback>
              </mc:AlternateContent>
            </w:r>
            <w:r w:rsidR="00C82E22">
              <w:rPr>
                <w:noProof/>
              </w:rPr>
              <mc:AlternateContent>
                <mc:Choice Requires="wps">
                  <w:drawing>
                    <wp:anchor distT="45720" distB="45720" distL="114300" distR="114300" simplePos="0" relativeHeight="251658248" behindDoc="0" locked="0" layoutInCell="1" allowOverlap="1" wp14:anchorId="56C7DA4B" wp14:editId="736525B1">
                      <wp:simplePos x="0" y="0"/>
                      <wp:positionH relativeFrom="column">
                        <wp:posOffset>65202</wp:posOffset>
                      </wp:positionH>
                      <wp:positionV relativeFrom="paragraph">
                        <wp:posOffset>114097</wp:posOffset>
                      </wp:positionV>
                      <wp:extent cx="1298219" cy="731520"/>
                      <wp:effectExtent l="0" t="0" r="0" b="0"/>
                      <wp:wrapNone/>
                      <wp:docPr id="1461214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219" cy="731520"/>
                              </a:xfrm>
                              <a:prstGeom prst="rect">
                                <a:avLst/>
                              </a:prstGeom>
                              <a:noFill/>
                              <a:ln w="9525">
                                <a:noFill/>
                                <a:miter lim="800000"/>
                                <a:headEnd/>
                                <a:tailEnd/>
                              </a:ln>
                            </wps:spPr>
                            <wps:txbx>
                              <w:txbxContent>
                                <w:p w14:paraId="212CA8B9" w14:textId="77777777" w:rsidR="00862D9C" w:rsidRPr="00D7702B" w:rsidRDefault="00862D9C" w:rsidP="00862D9C">
                                  <w:pPr>
                                    <w:jc w:val="center"/>
                                    <w:rPr>
                                      <w:b/>
                                      <w:bCs/>
                                      <w:color w:val="FFFFFF" w:themeColor="background1"/>
                                      <w:sz w:val="22"/>
                                    </w:rPr>
                                  </w:pPr>
                                  <w:r w:rsidRPr="00D7702B">
                                    <w:rPr>
                                      <w:b/>
                                      <w:bCs/>
                                      <w:color w:val="FFFFFF" w:themeColor="background1"/>
                                      <w:sz w:val="22"/>
                                    </w:rPr>
                                    <w:t>STEP 3.1</w:t>
                                  </w:r>
                                  <w:r w:rsidRPr="00D7702B">
                                    <w:rPr>
                                      <w:b/>
                                      <w:bCs/>
                                      <w:color w:val="FFFFFF" w:themeColor="background1"/>
                                      <w:sz w:val="22"/>
                                    </w:rPr>
                                    <w:br/>
                                    <w:t>SUMMARIZE VULNERABILITY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C7DA4B" id="_x0000_s1037" type="#_x0000_t202" style="position:absolute;margin-left:5.15pt;margin-top:9pt;width:102.2pt;height:57.6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" filled="f" stroked="f">
                      <v:textbox>
                        <w:txbxContent>
                          <w:p w14:paraId="212CA8B9" w14:textId="77777777" w:rsidR="00862D9C" w:rsidRPr="00D7702B" w:rsidRDefault="00862D9C" w:rsidP="00862D9C">
                            <w:pPr>
                              <w:jc w:val="center"/>
                              <w:rPr>
                                <w:b/>
                                <w:bCs/>
                                <w:color w:val="FFFFFF" w:themeColor="background1"/>
                                <w:sz w:val="22"/>
                              </w:rPr>
                            </w:pPr>
                            <w:r w:rsidRPr="00D7702B">
                              <w:rPr>
                                <w:b/>
                                <w:bCs/>
                                <w:color w:val="FFFFFF" w:themeColor="background1"/>
                                <w:sz w:val="22"/>
                              </w:rPr>
                              <w:t>STEP 3.1</w:t>
                            </w:r>
                            <w:r w:rsidRPr="00D7702B">
                              <w:rPr>
                                <w:b/>
                                <w:bCs/>
                                <w:color w:val="FFFFFF" w:themeColor="background1"/>
                                <w:sz w:val="22"/>
                              </w:rPr>
                              <w:br/>
                              <w:t>SUMMARIZE VULNERABILITY</w:t>
                            </w:r>
                          </w:p>
                        </w:txbxContent>
                      </v:textbox>
                    </v:shape>
                  </w:pict>
                </mc:Fallback>
              </mc:AlternateContent>
            </w:r>
            <w:r w:rsidR="00C82E22">
              <w:rPr>
                <w:noProof/>
              </w:rPr>
              <w:drawing>
                <wp:inline distT="0" distB="0" distL="0" distR="0" wp14:anchorId="2AE2AF38" wp14:editId="63526808">
                  <wp:extent cx="5943600" cy="930275"/>
                  <wp:effectExtent l="0" t="0" r="0" b="3175"/>
                  <wp:docPr id="1222813539" name="Picture 1" descr="2 parallel arrows point to the right. The top one has the 5 steps from phase 3 consecutively, while the bottom is titled &quot;Outreach and engagement&quot; and goes throughout all 5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13539" name="Picture 1" descr="2 parallel arrows point to the right. The top one has the 5 steps from phase 3 consecutively, while the bottom is titled &quot;Outreach and engagement&quot; and goes throughout all 5 phases"/>
                          <pic:cNvPicPr/>
                        </pic:nvPicPr>
                        <pic:blipFill>
                          <a:blip r:embed="rId220"/>
                          <a:stretch>
                            <a:fillRect/>
                          </a:stretch>
                        </pic:blipFill>
                        <pic:spPr>
                          <a:xfrm>
                            <a:off x="0" y="0"/>
                            <a:ext cx="5943600" cy="930275"/>
                          </a:xfrm>
                          <a:prstGeom prst="rect">
                            <a:avLst/>
                          </a:prstGeom>
                        </pic:spPr>
                      </pic:pic>
                    </a:graphicData>
                  </a:graphic>
                </wp:inline>
              </w:drawing>
            </w:r>
          </w:p>
          <w:p w14:paraId="072ED6F3" w14:textId="59F71661" w:rsidR="00DF034F" w:rsidRPr="006860D6" w:rsidRDefault="00DF034F" w:rsidP="00BB5ACB">
            <w:pPr>
              <w:rPr>
                <w:sz w:val="12"/>
                <w:szCs w:val="12"/>
              </w:rPr>
            </w:pPr>
          </w:p>
        </w:tc>
      </w:tr>
    </w:tbl>
    <w:p w14:paraId="6B6FB1A0" w14:textId="118594A6" w:rsidR="00B16A5B" w:rsidRDefault="00B16A5B" w:rsidP="006860D6">
      <w:pPr>
        <w:spacing w:after="0" w:line="240" w:lineRule="auto"/>
      </w:pPr>
    </w:p>
    <w:p w14:paraId="6436DDBE" w14:textId="77777777" w:rsidR="00C00210" w:rsidRDefault="00C00210" w:rsidP="006860D6">
      <w:pPr>
        <w:spacing w:after="0" w:line="240" w:lineRule="auto"/>
      </w:pPr>
    </w:p>
    <w:p w14:paraId="6F2B8C7A" w14:textId="77777777" w:rsidR="00C00210" w:rsidRDefault="00C00210" w:rsidP="006860D6">
      <w:pPr>
        <w:spacing w:after="0" w:line="240" w:lineRule="auto"/>
      </w:pPr>
    </w:p>
    <w:p w14:paraId="7AEC5AC1" w14:textId="77777777" w:rsidR="00C00210" w:rsidRDefault="00C00210" w:rsidP="006860D6">
      <w:pPr>
        <w:spacing w:after="0" w:line="240" w:lineRule="auto"/>
      </w:pPr>
    </w:p>
    <w:p w14:paraId="5A88995C" w14:textId="77777777" w:rsidR="00C00210" w:rsidRDefault="00C00210" w:rsidP="006860D6">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16A5B" w:rsidRPr="00AE48E1" w14:paraId="53C3F61B" w14:textId="77777777">
        <w:trPr>
          <w:trHeight w:val="576"/>
        </w:trPr>
        <w:tc>
          <w:tcPr>
            <w:tcW w:w="9350" w:type="dxa"/>
            <w:shd w:val="clear" w:color="auto" w:fill="404040" w:themeFill="text1" w:themeFillTint="BF"/>
            <w:vAlign w:val="center"/>
          </w:tcPr>
          <w:p w14:paraId="36FE45AE" w14:textId="77777777" w:rsidR="00B16A5B" w:rsidRPr="00AE48E1" w:rsidRDefault="00B16A5B">
            <w:pPr>
              <w:rPr>
                <w:b/>
                <w:color w:val="FFFFFF" w:themeColor="background1"/>
              </w:rPr>
            </w:pPr>
            <w:r>
              <w:rPr>
                <w:b/>
                <w:color w:val="FFFFFF" w:themeColor="background1"/>
              </w:rPr>
              <w:t>How to Use the Appendices in This Phase</w:t>
            </w:r>
          </w:p>
        </w:tc>
      </w:tr>
      <w:tr w:rsidR="00B16A5B" w:rsidRPr="00AE48E1" w14:paraId="2014C55A" w14:textId="77777777" w:rsidTr="0010218A">
        <w:tc>
          <w:tcPr>
            <w:tcW w:w="9350" w:type="dxa"/>
            <w:shd w:val="clear" w:color="auto" w:fill="F2F2F2" w:themeFill="background1" w:themeFillShade="F2"/>
          </w:tcPr>
          <w:p w14:paraId="3CEF737B" w14:textId="3ED7296F" w:rsidR="001B7499" w:rsidRDefault="00B16A5B" w:rsidP="0041162F">
            <w:pPr>
              <w:spacing w:before="120" w:after="160"/>
              <w:rPr>
                <w:bCs/>
              </w:rPr>
            </w:pPr>
            <w:r>
              <w:rPr>
                <w:b/>
              </w:rPr>
              <w:t>Appendix A</w:t>
            </w:r>
            <w:r>
              <w:rPr>
                <w:b/>
                <w:bCs/>
              </w:rPr>
              <w:t>: Outreach and Engagement</w:t>
            </w:r>
            <w:r>
              <w:rPr>
                <w:b/>
              </w:rPr>
              <w:t xml:space="preserve">: </w:t>
            </w:r>
            <w:r>
              <w:rPr>
                <w:bCs/>
              </w:rPr>
              <w:t>Consult Appendix A at Engagement Touchpoint, Step 3.3D for additional guidance on engagement.</w:t>
            </w:r>
          </w:p>
          <w:p w14:paraId="3A99245D" w14:textId="124BBD3B" w:rsidR="00B16A5B" w:rsidRPr="004565F4" w:rsidRDefault="00B16A5B" w:rsidP="0041162F">
            <w:pPr>
              <w:spacing w:before="160" w:after="120"/>
              <w:rPr>
                <w:b/>
              </w:rPr>
            </w:pPr>
            <w:r>
              <w:rPr>
                <w:b/>
              </w:rPr>
              <w:t xml:space="preserve">Appendix C: Worksheets: </w:t>
            </w:r>
            <w:r>
              <w:rPr>
                <w:bCs/>
              </w:rPr>
              <w:t>The</w:t>
            </w:r>
            <w:r>
              <w:rPr>
                <w:b/>
              </w:rPr>
              <w:t xml:space="preserve"> Draft Adaptation Strategies </w:t>
            </w:r>
            <w:r>
              <w:rPr>
                <w:bCs/>
              </w:rPr>
              <w:t xml:space="preserve">worksheet supports this phase. Look for the green </w:t>
            </w:r>
            <w:r>
              <w:rPr>
                <w:b/>
              </w:rPr>
              <w:t>Put It into Practice</w:t>
            </w:r>
            <w:r>
              <w:rPr>
                <w:bCs/>
              </w:rPr>
              <w:t xml:space="preserve"> boxes for when to use </w:t>
            </w:r>
            <w:r w:rsidR="00232F08">
              <w:rPr>
                <w:bCs/>
              </w:rPr>
              <w:t>it</w:t>
            </w:r>
            <w:r>
              <w:rPr>
                <w:bCs/>
              </w:rPr>
              <w:t>.</w:t>
            </w:r>
          </w:p>
        </w:tc>
      </w:tr>
    </w:tbl>
    <w:p w14:paraId="4E8B0B28" w14:textId="77777777" w:rsidR="0041162F" w:rsidRDefault="0041162F" w:rsidP="004565F4">
      <w:pPr>
        <w:spacing w:before="160" w:line="240" w:lineRule="auto"/>
      </w:pPr>
    </w:p>
    <w:p w14:paraId="6179AB6A" w14:textId="4FC1BCD8" w:rsidR="0041162F" w:rsidRDefault="0041162F">
      <w:r>
        <w:br w:type="page"/>
      </w:r>
    </w:p>
    <w:tbl>
      <w:tblPr>
        <w:tblStyle w:val="TableGrid"/>
        <w:tblW w:w="0" w:type="auto"/>
        <w:tblLook w:val="04A0" w:firstRow="1" w:lastRow="0" w:firstColumn="1" w:lastColumn="0" w:noHBand="0" w:noVBand="1"/>
      </w:tblPr>
      <w:tblGrid>
        <w:gridCol w:w="9350"/>
      </w:tblGrid>
      <w:tr w:rsidR="001A1F43" w:rsidRPr="001A1F43" w14:paraId="504025B8" w14:textId="77777777" w:rsidTr="0041162F">
        <w:trPr>
          <w:trHeight w:val="576"/>
        </w:trPr>
        <w:tc>
          <w:tcPr>
            <w:tcW w:w="9350" w:type="dxa"/>
            <w:tcBorders>
              <w:top w:val="nil"/>
              <w:left w:val="nil"/>
              <w:bottom w:val="nil"/>
              <w:right w:val="nil"/>
            </w:tcBorders>
            <w:shd w:val="clear" w:color="auto" w:fill="58257F"/>
            <w:vAlign w:val="center"/>
          </w:tcPr>
          <w:p w14:paraId="36FAD813" w14:textId="2FF3DCAE" w:rsidR="001A1F43" w:rsidRPr="001A1F43" w:rsidRDefault="001A1F43" w:rsidP="00BB5ACB">
            <w:pPr>
              <w:pStyle w:val="CalloutBoxTitle"/>
              <w:rPr>
                <w:color w:val="FFFFFF" w:themeColor="background1"/>
              </w:rPr>
            </w:pPr>
            <w:r>
              <w:rPr>
                <w:color w:val="FFFFFF" w:themeColor="background1"/>
              </w:rPr>
              <w:t>Policy Connection: General Plan Safety Elements</w:t>
            </w:r>
            <w:r>
              <w:rPr>
                <w:color w:val="FFFFFF" w:themeColor="background1"/>
                <w:spacing w:val="2"/>
              </w:rPr>
              <w:t xml:space="preserve"> </w:t>
            </w:r>
            <w:r>
              <w:rPr>
                <w:color w:val="FFFFFF" w:themeColor="background1"/>
              </w:rPr>
              <w:t>and</w:t>
            </w:r>
            <w:r>
              <w:rPr>
                <w:color w:val="FFFFFF" w:themeColor="background1"/>
                <w:spacing w:val="2"/>
              </w:rPr>
              <w:t xml:space="preserve"> </w:t>
            </w:r>
            <w:r>
              <w:rPr>
                <w:color w:val="FFFFFF" w:themeColor="background1"/>
                <w:spacing w:val="-2"/>
              </w:rPr>
              <w:t xml:space="preserve">Climate </w:t>
            </w:r>
            <w:r>
              <w:rPr>
                <w:color w:val="FFFFFF" w:themeColor="background1"/>
              </w:rPr>
              <w:t>Adaptation</w:t>
            </w:r>
          </w:p>
        </w:tc>
      </w:tr>
      <w:tr w:rsidR="00A22A81" w14:paraId="4DDCCA93" w14:textId="77777777" w:rsidTr="00895DD6">
        <w:tc>
          <w:tcPr>
            <w:tcW w:w="9350" w:type="dxa"/>
            <w:tcBorders>
              <w:top w:val="nil"/>
              <w:left w:val="nil"/>
              <w:bottom w:val="nil"/>
              <w:right w:val="nil"/>
            </w:tcBorders>
            <w:shd w:val="clear" w:color="auto" w:fill="E4D2F2"/>
          </w:tcPr>
          <w:p w14:paraId="3AA7760A" w14:textId="675FEE75" w:rsidR="00A22A81" w:rsidRPr="0068603A" w:rsidRDefault="00A22A81" w:rsidP="005D00C9">
            <w:pPr>
              <w:pStyle w:val="BodyText"/>
              <w:spacing w:before="120" w:after="160"/>
              <w:rPr>
                <w:color w:val="000000" w:themeColor="text1"/>
              </w:rPr>
            </w:pPr>
            <w:bookmarkStart w:id="142" w:name="_bookmark78"/>
            <w:bookmarkEnd w:id="142"/>
            <w:r>
              <w:rPr>
                <w:color w:val="000000" w:themeColor="text1"/>
              </w:rPr>
              <w:t xml:space="preserve">As noted earlier in the APG, </w:t>
            </w:r>
            <w:hyperlink r:id="rId221" w:history="1">
              <w:r>
                <w:rPr>
                  <w:rStyle w:val="Hyperlink"/>
                </w:rPr>
                <w:t>California Government Code § 65302(g)(4)</w:t>
              </w:r>
            </w:hyperlink>
            <w:r>
              <w:t xml:space="preserve"> </w:t>
            </w:r>
            <w:r>
              <w:rPr>
                <w:color w:val="000000" w:themeColor="text1"/>
              </w:rPr>
              <w:t>requires local jurisdictions to review and update their safety elements upon the next revision of an LHMP on or after January 1, 2017, or if a local jurisdiction has not</w:t>
            </w:r>
            <w:r>
              <w:rPr>
                <w:color w:val="000000" w:themeColor="text1"/>
                <w:spacing w:val="-5"/>
              </w:rPr>
              <w:t xml:space="preserve"> </w:t>
            </w:r>
            <w:r>
              <w:rPr>
                <w:color w:val="000000" w:themeColor="text1"/>
              </w:rPr>
              <w:t>adopted</w:t>
            </w:r>
            <w:r>
              <w:rPr>
                <w:color w:val="000000" w:themeColor="text1"/>
                <w:spacing w:val="-5"/>
              </w:rPr>
              <w:t xml:space="preserve"> </w:t>
            </w:r>
            <w:r>
              <w:rPr>
                <w:color w:val="000000" w:themeColor="text1"/>
              </w:rPr>
              <w:t>an</w:t>
            </w:r>
            <w:r>
              <w:rPr>
                <w:color w:val="000000" w:themeColor="text1"/>
                <w:spacing w:val="-5"/>
              </w:rPr>
              <w:t xml:space="preserve"> </w:t>
            </w:r>
            <w:r>
              <w:rPr>
                <w:color w:val="000000" w:themeColor="text1"/>
              </w:rPr>
              <w:t>LHMP,</w:t>
            </w:r>
            <w:r>
              <w:rPr>
                <w:color w:val="000000" w:themeColor="text1"/>
                <w:spacing w:val="-5"/>
              </w:rPr>
              <w:t xml:space="preserve"> </w:t>
            </w:r>
            <w:r>
              <w:rPr>
                <w:color w:val="000000" w:themeColor="text1"/>
              </w:rPr>
              <w:t>beginning</w:t>
            </w:r>
            <w:r>
              <w:rPr>
                <w:color w:val="000000" w:themeColor="text1"/>
                <w:spacing w:val="-5"/>
              </w:rPr>
              <w:t xml:space="preserve"> </w:t>
            </w:r>
            <w:r>
              <w:rPr>
                <w:color w:val="000000" w:themeColor="text1"/>
              </w:rPr>
              <w:t>on</w:t>
            </w:r>
            <w:r>
              <w:rPr>
                <w:color w:val="000000" w:themeColor="text1"/>
                <w:spacing w:val="-5"/>
              </w:rPr>
              <w:t xml:space="preserve"> </w:t>
            </w:r>
            <w:r>
              <w:rPr>
                <w:color w:val="000000" w:themeColor="text1"/>
              </w:rPr>
              <w:t>or</w:t>
            </w:r>
            <w:r>
              <w:rPr>
                <w:color w:val="000000" w:themeColor="text1"/>
                <w:spacing w:val="-5"/>
              </w:rPr>
              <w:t xml:space="preserve"> </w:t>
            </w:r>
            <w:r>
              <w:rPr>
                <w:color w:val="000000" w:themeColor="text1"/>
              </w:rPr>
              <w:t>before</w:t>
            </w:r>
            <w:r>
              <w:rPr>
                <w:color w:val="000000" w:themeColor="text1"/>
                <w:spacing w:val="-5"/>
              </w:rPr>
              <w:t xml:space="preserve"> </w:t>
            </w:r>
            <w:r>
              <w:rPr>
                <w:color w:val="000000" w:themeColor="text1"/>
              </w:rPr>
              <w:t>January</w:t>
            </w:r>
            <w:r>
              <w:rPr>
                <w:color w:val="000000" w:themeColor="text1"/>
                <w:spacing w:val="-5"/>
              </w:rPr>
              <w:t xml:space="preserve"> </w:t>
            </w:r>
            <w:r>
              <w:rPr>
                <w:color w:val="000000" w:themeColor="text1"/>
              </w:rPr>
              <w:t>1,</w:t>
            </w:r>
            <w:r>
              <w:rPr>
                <w:color w:val="000000" w:themeColor="text1"/>
                <w:spacing w:val="-5"/>
              </w:rPr>
              <w:t xml:space="preserve"> </w:t>
            </w:r>
            <w:r>
              <w:rPr>
                <w:color w:val="000000" w:themeColor="text1"/>
              </w:rPr>
              <w:t>2022,</w:t>
            </w:r>
            <w:r>
              <w:rPr>
                <w:color w:val="000000" w:themeColor="text1"/>
                <w:spacing w:val="-5"/>
              </w:rPr>
              <w:t xml:space="preserve"> </w:t>
            </w:r>
            <w:r>
              <w:rPr>
                <w:color w:val="000000" w:themeColor="text1"/>
              </w:rPr>
              <w:t>as</w:t>
            </w:r>
            <w:r>
              <w:rPr>
                <w:color w:val="000000" w:themeColor="text1"/>
                <w:spacing w:val="-5"/>
              </w:rPr>
              <w:t xml:space="preserve"> </w:t>
            </w:r>
            <w:r>
              <w:rPr>
                <w:color w:val="000000" w:themeColor="text1"/>
              </w:rPr>
              <w:t>necessary</w:t>
            </w:r>
            <w:r>
              <w:rPr>
                <w:color w:val="000000" w:themeColor="text1"/>
                <w:spacing w:val="-5"/>
              </w:rPr>
              <w:t xml:space="preserve"> </w:t>
            </w:r>
            <w:r>
              <w:rPr>
                <w:color w:val="000000" w:themeColor="text1"/>
              </w:rPr>
              <w:t xml:space="preserve">to </w:t>
            </w:r>
            <w:r>
              <w:rPr>
                <w:b/>
                <w:color w:val="000000" w:themeColor="text1"/>
              </w:rPr>
              <w:t>address climate adaptation and resiliency strategies</w:t>
            </w:r>
            <w:r>
              <w:rPr>
                <w:color w:val="000000" w:themeColor="text1"/>
              </w:rPr>
              <w:t>. The review and update should include preparation of the following:</w:t>
            </w:r>
          </w:p>
          <w:p w14:paraId="45681FCB" w14:textId="547616ED" w:rsidR="00A22A81" w:rsidRPr="00554EF8" w:rsidRDefault="00A22A81">
            <w:pPr>
              <w:pStyle w:val="ListParagraph"/>
              <w:widowControl w:val="0"/>
              <w:numPr>
                <w:ilvl w:val="0"/>
                <w:numId w:val="33"/>
              </w:numPr>
              <w:autoSpaceDE w:val="0"/>
              <w:autoSpaceDN w:val="0"/>
              <w:spacing w:before="160" w:after="160"/>
              <w:ind w:left="720"/>
              <w:rPr>
                <w:szCs w:val="22"/>
              </w:rPr>
            </w:pPr>
            <w:r>
              <w:rPr>
                <w:color w:val="000000" w:themeColor="text1"/>
              </w:rPr>
              <w:t>A</w:t>
            </w:r>
            <w:r>
              <w:rPr>
                <w:color w:val="000000" w:themeColor="text1"/>
                <w:spacing w:val="8"/>
              </w:rPr>
              <w:t xml:space="preserve"> </w:t>
            </w:r>
            <w:r>
              <w:rPr>
                <w:szCs w:val="22"/>
              </w:rPr>
              <w:t>vulnerability assessment</w:t>
            </w:r>
          </w:p>
          <w:p w14:paraId="4698977F" w14:textId="11D2067F" w:rsidR="00A22A81" w:rsidRPr="00554EF8" w:rsidRDefault="00A22A81">
            <w:pPr>
              <w:pStyle w:val="ListParagraph"/>
              <w:widowControl w:val="0"/>
              <w:numPr>
                <w:ilvl w:val="0"/>
                <w:numId w:val="33"/>
              </w:numPr>
              <w:tabs>
                <w:tab w:val="left" w:pos="1620"/>
              </w:tabs>
              <w:autoSpaceDE w:val="0"/>
              <w:autoSpaceDN w:val="0"/>
              <w:spacing w:before="160" w:after="160"/>
              <w:ind w:left="720"/>
              <w:rPr>
                <w:szCs w:val="22"/>
              </w:rPr>
            </w:pPr>
            <w:r>
              <w:rPr>
                <w:szCs w:val="22"/>
              </w:rPr>
              <w:t>A set of adaptation and resilience goals, policies, and objectives based on the information identified in the vulnerability assessment for the protection of the community</w:t>
            </w:r>
          </w:p>
          <w:p w14:paraId="66F8BA6D" w14:textId="2101849E" w:rsidR="00A22A81" w:rsidRPr="004D1103" w:rsidRDefault="00A22A81">
            <w:pPr>
              <w:pStyle w:val="ListParagraph"/>
              <w:widowControl w:val="0"/>
              <w:numPr>
                <w:ilvl w:val="0"/>
                <w:numId w:val="33"/>
              </w:numPr>
              <w:autoSpaceDE w:val="0"/>
              <w:autoSpaceDN w:val="0"/>
              <w:spacing w:before="160" w:after="160"/>
              <w:ind w:left="720"/>
              <w:rPr>
                <w:color w:val="000000" w:themeColor="text1"/>
              </w:rPr>
            </w:pPr>
            <w:r>
              <w:rPr>
                <w:szCs w:val="22"/>
              </w:rPr>
              <w:t>A set of feasible implementation measures designed to carry out the goals, policies</w:t>
            </w:r>
            <w:r>
              <w:rPr>
                <w:color w:val="000000" w:themeColor="text1"/>
              </w:rPr>
              <w:t>, and objectives including, but not limited to, all of the following:</w:t>
            </w:r>
          </w:p>
          <w:p w14:paraId="6F14D8E3" w14:textId="215A487C" w:rsidR="00A22A81" w:rsidRPr="004D1103" w:rsidRDefault="00A22A81">
            <w:pPr>
              <w:pStyle w:val="ListParagraph"/>
              <w:numPr>
                <w:ilvl w:val="1"/>
                <w:numId w:val="20"/>
              </w:numPr>
              <w:rPr>
                <w:color w:val="000000" w:themeColor="text1"/>
              </w:rPr>
            </w:pPr>
            <w:r>
              <w:rPr>
                <w:color w:val="000000" w:themeColor="text1"/>
              </w:rPr>
              <w:t>Feasible</w:t>
            </w:r>
            <w:r>
              <w:rPr>
                <w:color w:val="000000" w:themeColor="text1"/>
                <w:spacing w:val="-3"/>
              </w:rPr>
              <w:t xml:space="preserve"> </w:t>
            </w:r>
            <w:r>
              <w:rPr>
                <w:color w:val="000000" w:themeColor="text1"/>
              </w:rPr>
              <w:t>methods</w:t>
            </w:r>
            <w:r>
              <w:rPr>
                <w:color w:val="000000" w:themeColor="text1"/>
                <w:spacing w:val="-3"/>
              </w:rPr>
              <w:t xml:space="preserve"> </w:t>
            </w:r>
            <w:r>
              <w:rPr>
                <w:color w:val="000000" w:themeColor="text1"/>
              </w:rPr>
              <w:t>to</w:t>
            </w:r>
            <w:r>
              <w:rPr>
                <w:color w:val="000000" w:themeColor="text1"/>
                <w:spacing w:val="-3"/>
              </w:rPr>
              <w:t xml:space="preserve"> </w:t>
            </w:r>
            <w:r>
              <w:rPr>
                <w:color w:val="000000" w:themeColor="text1"/>
              </w:rPr>
              <w:t>avoid</w:t>
            </w:r>
            <w:r>
              <w:rPr>
                <w:color w:val="000000" w:themeColor="text1"/>
                <w:spacing w:val="-3"/>
              </w:rPr>
              <w:t xml:space="preserve"> </w:t>
            </w:r>
            <w:r>
              <w:rPr>
                <w:color w:val="000000" w:themeColor="text1"/>
              </w:rPr>
              <w:t>or</w:t>
            </w:r>
            <w:r>
              <w:rPr>
                <w:color w:val="000000" w:themeColor="text1"/>
                <w:spacing w:val="-3"/>
              </w:rPr>
              <w:t xml:space="preserve"> </w:t>
            </w:r>
            <w:r>
              <w:rPr>
                <w:color w:val="000000" w:themeColor="text1"/>
              </w:rPr>
              <w:t>minimize</w:t>
            </w:r>
            <w:r>
              <w:rPr>
                <w:color w:val="000000" w:themeColor="text1"/>
                <w:spacing w:val="-3"/>
              </w:rPr>
              <w:t xml:space="preserve"> </w:t>
            </w:r>
            <w:r>
              <w:rPr>
                <w:color w:val="000000" w:themeColor="text1"/>
              </w:rPr>
              <w:t>climate</w:t>
            </w:r>
            <w:r>
              <w:rPr>
                <w:color w:val="000000" w:themeColor="text1"/>
                <w:spacing w:val="-3"/>
              </w:rPr>
              <w:t xml:space="preserve"> </w:t>
            </w:r>
            <w:r>
              <w:rPr>
                <w:color w:val="000000" w:themeColor="text1"/>
              </w:rPr>
              <w:t>change</w:t>
            </w:r>
            <w:r>
              <w:rPr>
                <w:color w:val="000000" w:themeColor="text1"/>
                <w:spacing w:val="-3"/>
              </w:rPr>
              <w:t xml:space="preserve"> </w:t>
            </w:r>
            <w:r>
              <w:rPr>
                <w:color w:val="000000" w:themeColor="text1"/>
              </w:rPr>
              <w:t>impacts associated with new uses of land</w:t>
            </w:r>
          </w:p>
          <w:p w14:paraId="0DD16EE2" w14:textId="1AD0E03A" w:rsidR="00A22A81" w:rsidRPr="004D1103" w:rsidRDefault="00A22A81">
            <w:pPr>
              <w:pStyle w:val="ListParagraph"/>
              <w:numPr>
                <w:ilvl w:val="1"/>
                <w:numId w:val="20"/>
              </w:numPr>
              <w:rPr>
                <w:color w:val="000000" w:themeColor="text1"/>
              </w:rPr>
            </w:pPr>
            <w:r>
              <w:rPr>
                <w:color w:val="000000" w:themeColor="text1"/>
              </w:rPr>
              <w:t>The location, when feasible, of new essential public facilities outside of at-risk areas, including, but not limited to, hospitals and health care facilities, emergency shelters, emergency command centers, and emergency communications facilities, or identifying construction methods or other methods</w:t>
            </w:r>
            <w:r>
              <w:rPr>
                <w:color w:val="000000" w:themeColor="text1"/>
                <w:spacing w:val="-2"/>
              </w:rPr>
              <w:t xml:space="preserve"> </w:t>
            </w:r>
            <w:r>
              <w:rPr>
                <w:color w:val="000000" w:themeColor="text1"/>
              </w:rPr>
              <w:t>to</w:t>
            </w:r>
            <w:r>
              <w:rPr>
                <w:color w:val="000000" w:themeColor="text1"/>
                <w:spacing w:val="-2"/>
              </w:rPr>
              <w:t xml:space="preserve"> </w:t>
            </w:r>
            <w:r>
              <w:rPr>
                <w:color w:val="000000" w:themeColor="text1"/>
              </w:rPr>
              <w:t>minimize</w:t>
            </w:r>
            <w:r>
              <w:rPr>
                <w:color w:val="000000" w:themeColor="text1"/>
                <w:spacing w:val="-2"/>
              </w:rPr>
              <w:t xml:space="preserve"> </w:t>
            </w:r>
            <w:r>
              <w:rPr>
                <w:color w:val="000000" w:themeColor="text1"/>
              </w:rPr>
              <w:t>damage</w:t>
            </w:r>
            <w:r>
              <w:rPr>
                <w:color w:val="000000" w:themeColor="text1"/>
                <w:spacing w:val="-2"/>
              </w:rPr>
              <w:t xml:space="preserve"> </w:t>
            </w:r>
            <w:r>
              <w:rPr>
                <w:color w:val="000000" w:themeColor="text1"/>
              </w:rPr>
              <w:t>if</w:t>
            </w:r>
            <w:r>
              <w:rPr>
                <w:color w:val="000000" w:themeColor="text1"/>
                <w:spacing w:val="-2"/>
              </w:rPr>
              <w:t xml:space="preserve"> </w:t>
            </w:r>
            <w:r>
              <w:rPr>
                <w:color w:val="000000" w:themeColor="text1"/>
              </w:rPr>
              <w:t>these</w:t>
            </w:r>
            <w:r>
              <w:rPr>
                <w:color w:val="000000" w:themeColor="text1"/>
                <w:spacing w:val="-2"/>
              </w:rPr>
              <w:t xml:space="preserve"> </w:t>
            </w:r>
            <w:r>
              <w:rPr>
                <w:color w:val="000000" w:themeColor="text1"/>
              </w:rPr>
              <w:t>facilities</w:t>
            </w:r>
            <w:r>
              <w:rPr>
                <w:color w:val="000000" w:themeColor="text1"/>
                <w:spacing w:val="-2"/>
              </w:rPr>
              <w:t xml:space="preserve"> </w:t>
            </w:r>
            <w:r>
              <w:rPr>
                <w:color w:val="000000" w:themeColor="text1"/>
              </w:rPr>
              <w:t>are</w:t>
            </w:r>
            <w:r>
              <w:rPr>
                <w:color w:val="000000" w:themeColor="text1"/>
                <w:spacing w:val="-2"/>
              </w:rPr>
              <w:t xml:space="preserve"> </w:t>
            </w:r>
            <w:r>
              <w:rPr>
                <w:color w:val="000000" w:themeColor="text1"/>
              </w:rPr>
              <w:t>located</w:t>
            </w:r>
            <w:r>
              <w:rPr>
                <w:color w:val="000000" w:themeColor="text1"/>
                <w:spacing w:val="-2"/>
              </w:rPr>
              <w:t xml:space="preserve"> </w:t>
            </w:r>
            <w:r>
              <w:rPr>
                <w:color w:val="000000" w:themeColor="text1"/>
              </w:rPr>
              <w:t>in</w:t>
            </w:r>
            <w:r>
              <w:rPr>
                <w:color w:val="000000" w:themeColor="text1"/>
                <w:spacing w:val="-2"/>
              </w:rPr>
              <w:t xml:space="preserve"> </w:t>
            </w:r>
            <w:r>
              <w:rPr>
                <w:color w:val="000000" w:themeColor="text1"/>
              </w:rPr>
              <w:t>at-risk</w:t>
            </w:r>
            <w:r>
              <w:rPr>
                <w:color w:val="000000" w:themeColor="text1"/>
                <w:spacing w:val="-2"/>
              </w:rPr>
              <w:t xml:space="preserve"> </w:t>
            </w:r>
            <w:r>
              <w:rPr>
                <w:color w:val="000000" w:themeColor="text1"/>
              </w:rPr>
              <w:t>areas</w:t>
            </w:r>
          </w:p>
          <w:p w14:paraId="369795AA" w14:textId="2FCC0C1C" w:rsidR="00A22A81" w:rsidRPr="004D1103" w:rsidRDefault="00A22A81">
            <w:pPr>
              <w:pStyle w:val="ListParagraph"/>
              <w:numPr>
                <w:ilvl w:val="1"/>
                <w:numId w:val="20"/>
              </w:numPr>
              <w:rPr>
                <w:color w:val="000000" w:themeColor="text1"/>
              </w:rPr>
            </w:pPr>
            <w:r>
              <w:rPr>
                <w:color w:val="000000" w:themeColor="text1"/>
              </w:rPr>
              <w:t>The designation</w:t>
            </w:r>
            <w:r>
              <w:rPr>
                <w:color w:val="000000" w:themeColor="text1"/>
                <w:spacing w:val="-9"/>
              </w:rPr>
              <w:t xml:space="preserve"> </w:t>
            </w:r>
            <w:r>
              <w:rPr>
                <w:color w:val="000000" w:themeColor="text1"/>
              </w:rPr>
              <w:t>of</w:t>
            </w:r>
            <w:r>
              <w:rPr>
                <w:color w:val="000000" w:themeColor="text1"/>
                <w:spacing w:val="-9"/>
              </w:rPr>
              <w:t xml:space="preserve"> </w:t>
            </w:r>
            <w:r>
              <w:rPr>
                <w:color w:val="000000" w:themeColor="text1"/>
              </w:rPr>
              <w:t>adequate</w:t>
            </w:r>
            <w:r>
              <w:rPr>
                <w:color w:val="000000" w:themeColor="text1"/>
                <w:spacing w:val="-9"/>
              </w:rPr>
              <w:t xml:space="preserve"> </w:t>
            </w:r>
            <w:r>
              <w:rPr>
                <w:color w:val="000000" w:themeColor="text1"/>
              </w:rPr>
              <w:t>and</w:t>
            </w:r>
            <w:r>
              <w:rPr>
                <w:color w:val="000000" w:themeColor="text1"/>
                <w:spacing w:val="-9"/>
              </w:rPr>
              <w:t xml:space="preserve"> </w:t>
            </w:r>
            <w:r>
              <w:rPr>
                <w:color w:val="000000" w:themeColor="text1"/>
              </w:rPr>
              <w:t>feasible</w:t>
            </w:r>
            <w:r>
              <w:rPr>
                <w:color w:val="000000" w:themeColor="text1"/>
                <w:spacing w:val="-9"/>
              </w:rPr>
              <w:t xml:space="preserve"> </w:t>
            </w:r>
            <w:r>
              <w:rPr>
                <w:color w:val="000000" w:themeColor="text1"/>
              </w:rPr>
              <w:t>infrastructure</w:t>
            </w:r>
            <w:r>
              <w:rPr>
                <w:color w:val="000000" w:themeColor="text1"/>
                <w:spacing w:val="-9"/>
              </w:rPr>
              <w:t xml:space="preserve"> </w:t>
            </w:r>
            <w:r>
              <w:rPr>
                <w:color w:val="000000" w:themeColor="text1"/>
              </w:rPr>
              <w:t>located</w:t>
            </w:r>
            <w:r>
              <w:rPr>
                <w:color w:val="000000" w:themeColor="text1"/>
                <w:spacing w:val="-9"/>
              </w:rPr>
              <w:t xml:space="preserve"> </w:t>
            </w:r>
            <w:r>
              <w:rPr>
                <w:color w:val="000000" w:themeColor="text1"/>
              </w:rPr>
              <w:t>in</w:t>
            </w:r>
            <w:r>
              <w:rPr>
                <w:color w:val="000000" w:themeColor="text1"/>
                <w:spacing w:val="-9"/>
              </w:rPr>
              <w:t xml:space="preserve"> </w:t>
            </w:r>
            <w:r>
              <w:rPr>
                <w:color w:val="000000" w:themeColor="text1"/>
              </w:rPr>
              <w:t>an</w:t>
            </w:r>
            <w:r>
              <w:rPr>
                <w:color w:val="000000" w:themeColor="text1"/>
                <w:spacing w:val="-9"/>
              </w:rPr>
              <w:t xml:space="preserve"> </w:t>
            </w:r>
            <w:r>
              <w:rPr>
                <w:color w:val="000000" w:themeColor="text1"/>
              </w:rPr>
              <w:t xml:space="preserve">at-risk </w:t>
            </w:r>
            <w:r>
              <w:rPr>
                <w:color w:val="000000" w:themeColor="text1"/>
                <w:w w:val="90"/>
              </w:rPr>
              <w:t>area</w:t>
            </w:r>
          </w:p>
          <w:p w14:paraId="7055721F" w14:textId="716E5FA4" w:rsidR="00A22A81" w:rsidRPr="004D1103" w:rsidRDefault="00A22A81">
            <w:pPr>
              <w:pStyle w:val="ListParagraph"/>
              <w:numPr>
                <w:ilvl w:val="1"/>
                <w:numId w:val="20"/>
              </w:numPr>
              <w:rPr>
                <w:color w:val="000000" w:themeColor="text1"/>
              </w:rPr>
            </w:pPr>
            <w:r>
              <w:rPr>
                <w:color w:val="000000" w:themeColor="text1"/>
              </w:rPr>
              <w:t>Guidelines</w:t>
            </w:r>
            <w:r>
              <w:rPr>
                <w:color w:val="000000" w:themeColor="text1"/>
                <w:spacing w:val="-8"/>
              </w:rPr>
              <w:t xml:space="preserve"> </w:t>
            </w:r>
            <w:r>
              <w:rPr>
                <w:color w:val="000000" w:themeColor="text1"/>
              </w:rPr>
              <w:t>for</w:t>
            </w:r>
            <w:r>
              <w:rPr>
                <w:color w:val="000000" w:themeColor="text1"/>
                <w:spacing w:val="-8"/>
              </w:rPr>
              <w:t xml:space="preserve"> </w:t>
            </w:r>
            <w:r>
              <w:rPr>
                <w:color w:val="000000" w:themeColor="text1"/>
              </w:rPr>
              <w:t>working</w:t>
            </w:r>
            <w:r>
              <w:rPr>
                <w:color w:val="000000" w:themeColor="text1"/>
                <w:spacing w:val="-8"/>
              </w:rPr>
              <w:t xml:space="preserve"> </w:t>
            </w:r>
            <w:r>
              <w:rPr>
                <w:color w:val="000000" w:themeColor="text1"/>
              </w:rPr>
              <w:t>cooperatively</w:t>
            </w:r>
            <w:r>
              <w:rPr>
                <w:color w:val="000000" w:themeColor="text1"/>
                <w:spacing w:val="-8"/>
              </w:rPr>
              <w:t xml:space="preserve"> </w:t>
            </w:r>
            <w:r>
              <w:rPr>
                <w:color w:val="000000" w:themeColor="text1"/>
              </w:rPr>
              <w:t>with</w:t>
            </w:r>
            <w:r>
              <w:rPr>
                <w:color w:val="000000" w:themeColor="text1"/>
                <w:spacing w:val="-8"/>
              </w:rPr>
              <w:t xml:space="preserve"> </w:t>
            </w:r>
            <w:r>
              <w:rPr>
                <w:color w:val="000000" w:themeColor="text1"/>
              </w:rPr>
              <w:t>relevant</w:t>
            </w:r>
            <w:r>
              <w:rPr>
                <w:color w:val="000000" w:themeColor="text1"/>
                <w:spacing w:val="-8"/>
              </w:rPr>
              <w:t xml:space="preserve"> </w:t>
            </w:r>
            <w:r>
              <w:rPr>
                <w:color w:val="000000" w:themeColor="text1"/>
              </w:rPr>
              <w:t>local,</w:t>
            </w:r>
            <w:r>
              <w:rPr>
                <w:color w:val="000000" w:themeColor="text1"/>
                <w:spacing w:val="-8"/>
              </w:rPr>
              <w:t xml:space="preserve"> </w:t>
            </w:r>
            <w:r>
              <w:rPr>
                <w:color w:val="000000" w:themeColor="text1"/>
              </w:rPr>
              <w:t>regional,</w:t>
            </w:r>
            <w:r>
              <w:rPr>
                <w:color w:val="000000" w:themeColor="text1"/>
                <w:spacing w:val="-8"/>
              </w:rPr>
              <w:t xml:space="preserve"> </w:t>
            </w:r>
            <w:r>
              <w:rPr>
                <w:color w:val="000000" w:themeColor="text1"/>
              </w:rPr>
              <w:t>state, and federal agencies</w:t>
            </w:r>
            <w:bookmarkStart w:id="143" w:name="_bookmark79"/>
            <w:bookmarkEnd w:id="143"/>
          </w:p>
          <w:p w14:paraId="5F9763CE" w14:textId="6DBABFD4" w:rsidR="00A22A81" w:rsidRPr="00A22A81" w:rsidRDefault="00A22A81">
            <w:pPr>
              <w:pStyle w:val="ListParagraph"/>
              <w:numPr>
                <w:ilvl w:val="1"/>
                <w:numId w:val="20"/>
              </w:numPr>
              <w:spacing w:after="120"/>
              <w:contextualSpacing w:val="0"/>
              <w:rPr>
                <w:rFonts w:eastAsia="Century Gothic" w:cs="Century Gothic"/>
                <w:color w:val="000000" w:themeColor="text1"/>
              </w:rPr>
            </w:pPr>
            <w:r>
              <w:rPr>
                <w:color w:val="000000" w:themeColor="text1"/>
              </w:rPr>
              <w:t>The identification of natural infrastructure that may be used in adaptation projects,</w:t>
            </w:r>
            <w:r>
              <w:rPr>
                <w:color w:val="000000" w:themeColor="text1"/>
                <w:spacing w:val="-1"/>
              </w:rPr>
              <w:t xml:space="preserve"> </w:t>
            </w:r>
            <w:r>
              <w:rPr>
                <w:color w:val="000000" w:themeColor="text1"/>
              </w:rPr>
              <w:t>where</w:t>
            </w:r>
            <w:r>
              <w:rPr>
                <w:color w:val="000000" w:themeColor="text1"/>
                <w:spacing w:val="-1"/>
              </w:rPr>
              <w:t xml:space="preserve"> </w:t>
            </w:r>
            <w:r>
              <w:rPr>
                <w:color w:val="000000" w:themeColor="text1"/>
              </w:rPr>
              <w:t>feasible.</w:t>
            </w:r>
            <w:r>
              <w:rPr>
                <w:color w:val="000000" w:themeColor="text1"/>
                <w:spacing w:val="-1"/>
              </w:rPr>
              <w:t xml:space="preserve"> </w:t>
            </w:r>
            <w:r>
              <w:rPr>
                <w:color w:val="000000" w:themeColor="text1"/>
              </w:rPr>
              <w:t>Where</w:t>
            </w:r>
            <w:r>
              <w:rPr>
                <w:color w:val="000000" w:themeColor="text1"/>
                <w:spacing w:val="-1"/>
              </w:rPr>
              <w:t xml:space="preserve"> </w:t>
            </w:r>
            <w:r>
              <w:rPr>
                <w:color w:val="000000" w:themeColor="text1"/>
              </w:rPr>
              <w:t>feasible,</w:t>
            </w:r>
            <w:r>
              <w:rPr>
                <w:color w:val="000000" w:themeColor="text1"/>
                <w:spacing w:val="-1"/>
              </w:rPr>
              <w:t xml:space="preserve"> </w:t>
            </w:r>
            <w:r>
              <w:rPr>
                <w:color w:val="000000" w:themeColor="text1"/>
              </w:rPr>
              <w:t>the</w:t>
            </w:r>
            <w:r>
              <w:rPr>
                <w:color w:val="000000" w:themeColor="text1"/>
                <w:spacing w:val="-1"/>
              </w:rPr>
              <w:t xml:space="preserve"> </w:t>
            </w:r>
            <w:r>
              <w:rPr>
                <w:color w:val="000000" w:themeColor="text1"/>
              </w:rPr>
              <w:t>plan</w:t>
            </w:r>
            <w:r>
              <w:rPr>
                <w:color w:val="000000" w:themeColor="text1"/>
                <w:spacing w:val="-1"/>
              </w:rPr>
              <w:t xml:space="preserve"> </w:t>
            </w:r>
            <w:r>
              <w:rPr>
                <w:color w:val="000000" w:themeColor="text1"/>
              </w:rPr>
              <w:t>shall</w:t>
            </w:r>
            <w:r>
              <w:rPr>
                <w:color w:val="000000" w:themeColor="text1"/>
                <w:spacing w:val="-1"/>
              </w:rPr>
              <w:t xml:space="preserve"> </w:t>
            </w:r>
            <w:r>
              <w:rPr>
                <w:color w:val="000000" w:themeColor="text1"/>
              </w:rPr>
              <w:t>use</w:t>
            </w:r>
            <w:r>
              <w:rPr>
                <w:color w:val="000000" w:themeColor="text1"/>
                <w:spacing w:val="-1"/>
              </w:rPr>
              <w:t xml:space="preserve"> </w:t>
            </w:r>
            <w:r>
              <w:rPr>
                <w:color w:val="000000" w:themeColor="text1"/>
              </w:rPr>
              <w:t>existing</w:t>
            </w:r>
            <w:r>
              <w:rPr>
                <w:color w:val="000000" w:themeColor="text1"/>
                <w:spacing w:val="-1"/>
              </w:rPr>
              <w:t xml:space="preserve"> </w:t>
            </w:r>
            <w:r>
              <w:rPr>
                <w:color w:val="000000" w:themeColor="text1"/>
              </w:rPr>
              <w:t>natural features and ecosystem processes, or the restoration of natural features and</w:t>
            </w:r>
            <w:r>
              <w:rPr>
                <w:color w:val="000000" w:themeColor="text1"/>
                <w:spacing w:val="-17"/>
              </w:rPr>
              <w:t xml:space="preserve"> </w:t>
            </w:r>
            <w:r>
              <w:rPr>
                <w:color w:val="000000" w:themeColor="text1"/>
              </w:rPr>
              <w:t>ecosystem</w:t>
            </w:r>
            <w:r>
              <w:rPr>
                <w:color w:val="000000" w:themeColor="text1"/>
                <w:spacing w:val="-17"/>
              </w:rPr>
              <w:t xml:space="preserve"> </w:t>
            </w:r>
            <w:r>
              <w:rPr>
                <w:color w:val="000000" w:themeColor="text1"/>
              </w:rPr>
              <w:t>processes,</w:t>
            </w:r>
            <w:r>
              <w:rPr>
                <w:color w:val="000000" w:themeColor="text1"/>
                <w:spacing w:val="-17"/>
              </w:rPr>
              <w:t xml:space="preserve"> </w:t>
            </w:r>
            <w:r>
              <w:rPr>
                <w:color w:val="000000" w:themeColor="text1"/>
              </w:rPr>
              <w:t>when</w:t>
            </w:r>
            <w:r>
              <w:rPr>
                <w:color w:val="000000" w:themeColor="text1"/>
                <w:spacing w:val="-17"/>
              </w:rPr>
              <w:t xml:space="preserve"> </w:t>
            </w:r>
            <w:r>
              <w:rPr>
                <w:color w:val="000000" w:themeColor="text1"/>
              </w:rPr>
              <w:t>developing</w:t>
            </w:r>
            <w:r>
              <w:rPr>
                <w:color w:val="000000" w:themeColor="text1"/>
                <w:spacing w:val="-17"/>
              </w:rPr>
              <w:t xml:space="preserve"> </w:t>
            </w:r>
            <w:r>
              <w:rPr>
                <w:color w:val="000000" w:themeColor="text1"/>
              </w:rPr>
              <w:t>alternatives</w:t>
            </w:r>
            <w:r>
              <w:rPr>
                <w:color w:val="000000" w:themeColor="text1"/>
                <w:spacing w:val="-16"/>
              </w:rPr>
              <w:t xml:space="preserve"> </w:t>
            </w:r>
            <w:r>
              <w:rPr>
                <w:color w:val="000000" w:themeColor="text1"/>
              </w:rPr>
              <w:t>for</w:t>
            </w:r>
            <w:r>
              <w:rPr>
                <w:color w:val="000000" w:themeColor="text1"/>
                <w:spacing w:val="-17"/>
              </w:rPr>
              <w:t xml:space="preserve"> </w:t>
            </w:r>
            <w:r>
              <w:rPr>
                <w:color w:val="000000" w:themeColor="text1"/>
              </w:rPr>
              <w:t>consideration. Natural infrastructure means the preservation or restoration of ecological systems,</w:t>
            </w:r>
            <w:r>
              <w:rPr>
                <w:color w:val="000000" w:themeColor="text1"/>
                <w:spacing w:val="-8"/>
              </w:rPr>
              <w:t xml:space="preserve"> </w:t>
            </w:r>
            <w:r>
              <w:rPr>
                <w:color w:val="000000" w:themeColor="text1"/>
              </w:rPr>
              <w:t>or</w:t>
            </w:r>
            <w:r>
              <w:rPr>
                <w:color w:val="000000" w:themeColor="text1"/>
                <w:spacing w:val="-8"/>
              </w:rPr>
              <w:t xml:space="preserve"> </w:t>
            </w:r>
            <w:r>
              <w:rPr>
                <w:color w:val="000000" w:themeColor="text1"/>
              </w:rPr>
              <w:t>utilization</w:t>
            </w:r>
            <w:r>
              <w:rPr>
                <w:color w:val="000000" w:themeColor="text1"/>
                <w:spacing w:val="-8"/>
              </w:rPr>
              <w:t xml:space="preserve"> </w:t>
            </w:r>
            <w:r>
              <w:rPr>
                <w:color w:val="000000" w:themeColor="text1"/>
              </w:rPr>
              <w:t>of</w:t>
            </w:r>
            <w:r>
              <w:rPr>
                <w:color w:val="000000" w:themeColor="text1"/>
                <w:spacing w:val="-8"/>
              </w:rPr>
              <w:t xml:space="preserve"> </w:t>
            </w:r>
            <w:r>
              <w:rPr>
                <w:color w:val="000000" w:themeColor="text1"/>
              </w:rPr>
              <w:t>engineered</w:t>
            </w:r>
            <w:r>
              <w:rPr>
                <w:color w:val="000000" w:themeColor="text1"/>
                <w:spacing w:val="-8"/>
              </w:rPr>
              <w:t xml:space="preserve"> </w:t>
            </w:r>
            <w:r>
              <w:rPr>
                <w:color w:val="000000" w:themeColor="text1"/>
              </w:rPr>
              <w:t>systems</w:t>
            </w:r>
            <w:r>
              <w:rPr>
                <w:color w:val="000000" w:themeColor="text1"/>
                <w:spacing w:val="-8"/>
              </w:rPr>
              <w:t xml:space="preserve"> </w:t>
            </w:r>
            <w:r>
              <w:rPr>
                <w:color w:val="000000" w:themeColor="text1"/>
              </w:rPr>
              <w:t>that</w:t>
            </w:r>
            <w:r>
              <w:rPr>
                <w:color w:val="000000" w:themeColor="text1"/>
                <w:spacing w:val="-8"/>
              </w:rPr>
              <w:t xml:space="preserve"> </w:t>
            </w:r>
            <w:r>
              <w:rPr>
                <w:color w:val="000000" w:themeColor="text1"/>
              </w:rPr>
              <w:t>use</w:t>
            </w:r>
            <w:r>
              <w:rPr>
                <w:color w:val="000000" w:themeColor="text1"/>
                <w:spacing w:val="-8"/>
              </w:rPr>
              <w:t xml:space="preserve"> </w:t>
            </w:r>
            <w:r>
              <w:rPr>
                <w:color w:val="000000" w:themeColor="text1"/>
              </w:rPr>
              <w:t>ecological</w:t>
            </w:r>
            <w:r>
              <w:rPr>
                <w:color w:val="000000" w:themeColor="text1"/>
                <w:spacing w:val="-8"/>
              </w:rPr>
              <w:t xml:space="preserve"> </w:t>
            </w:r>
            <w:r>
              <w:rPr>
                <w:color w:val="000000" w:themeColor="text1"/>
              </w:rPr>
              <w:t xml:space="preserve">processes, to increase resiliency to climate change, manage other environmental hazards, or both. This may include, but is not limited to, flood plain and </w:t>
            </w:r>
            <w:r>
              <w:rPr>
                <w:color w:val="000000" w:themeColor="text1"/>
                <w:spacing w:val="-2"/>
              </w:rPr>
              <w:t>wetlands</w:t>
            </w:r>
            <w:r>
              <w:rPr>
                <w:color w:val="000000" w:themeColor="text1"/>
                <w:spacing w:val="-13"/>
              </w:rPr>
              <w:t xml:space="preserve"> </w:t>
            </w:r>
            <w:r>
              <w:rPr>
                <w:color w:val="000000" w:themeColor="text1"/>
                <w:spacing w:val="-2"/>
              </w:rPr>
              <w:t>restoration</w:t>
            </w:r>
            <w:r>
              <w:rPr>
                <w:color w:val="000000" w:themeColor="text1"/>
                <w:spacing w:val="-13"/>
              </w:rPr>
              <w:t xml:space="preserve"> </w:t>
            </w:r>
            <w:r>
              <w:rPr>
                <w:color w:val="000000" w:themeColor="text1"/>
                <w:spacing w:val="-2"/>
              </w:rPr>
              <w:t>or</w:t>
            </w:r>
            <w:r>
              <w:rPr>
                <w:color w:val="000000" w:themeColor="text1"/>
                <w:spacing w:val="-13"/>
              </w:rPr>
              <w:t xml:space="preserve"> </w:t>
            </w:r>
            <w:r>
              <w:rPr>
                <w:color w:val="000000" w:themeColor="text1"/>
                <w:spacing w:val="-2"/>
              </w:rPr>
              <w:t>preservation,</w:t>
            </w:r>
            <w:r>
              <w:rPr>
                <w:color w:val="000000" w:themeColor="text1"/>
                <w:spacing w:val="-13"/>
              </w:rPr>
              <w:t xml:space="preserve"> </w:t>
            </w:r>
            <w:r>
              <w:rPr>
                <w:color w:val="000000" w:themeColor="text1"/>
                <w:spacing w:val="-2"/>
              </w:rPr>
              <w:t>combining</w:t>
            </w:r>
            <w:r>
              <w:rPr>
                <w:color w:val="000000" w:themeColor="text1"/>
                <w:spacing w:val="-13"/>
              </w:rPr>
              <w:t xml:space="preserve"> </w:t>
            </w:r>
            <w:r>
              <w:rPr>
                <w:color w:val="000000" w:themeColor="text1"/>
                <w:spacing w:val="-2"/>
              </w:rPr>
              <w:t>levees</w:t>
            </w:r>
            <w:r>
              <w:rPr>
                <w:color w:val="000000" w:themeColor="text1"/>
                <w:spacing w:val="-13"/>
              </w:rPr>
              <w:t xml:space="preserve"> </w:t>
            </w:r>
            <w:r>
              <w:rPr>
                <w:color w:val="000000" w:themeColor="text1"/>
                <w:spacing w:val="-2"/>
              </w:rPr>
              <w:t>with</w:t>
            </w:r>
            <w:r>
              <w:rPr>
                <w:color w:val="000000" w:themeColor="text1"/>
                <w:spacing w:val="-13"/>
              </w:rPr>
              <w:t xml:space="preserve"> </w:t>
            </w:r>
            <w:r>
              <w:rPr>
                <w:color w:val="000000" w:themeColor="text1"/>
                <w:spacing w:val="-2"/>
              </w:rPr>
              <w:t>restored</w:t>
            </w:r>
            <w:r>
              <w:rPr>
                <w:color w:val="000000" w:themeColor="text1"/>
                <w:spacing w:val="-13"/>
              </w:rPr>
              <w:t xml:space="preserve"> </w:t>
            </w:r>
            <w:r>
              <w:rPr>
                <w:color w:val="000000" w:themeColor="text1"/>
                <w:spacing w:val="-2"/>
              </w:rPr>
              <w:t xml:space="preserve">natural </w:t>
            </w:r>
            <w:r>
              <w:rPr>
                <w:color w:val="000000" w:themeColor="text1"/>
              </w:rPr>
              <w:t>systems</w:t>
            </w:r>
            <w:r>
              <w:rPr>
                <w:color w:val="000000" w:themeColor="text1"/>
                <w:spacing w:val="-4"/>
              </w:rPr>
              <w:t xml:space="preserve"> </w:t>
            </w:r>
            <w:r>
              <w:rPr>
                <w:color w:val="000000" w:themeColor="text1"/>
              </w:rPr>
              <w:t>to</w:t>
            </w:r>
            <w:r>
              <w:rPr>
                <w:color w:val="000000" w:themeColor="text1"/>
                <w:spacing w:val="-4"/>
              </w:rPr>
              <w:t xml:space="preserve"> </w:t>
            </w:r>
            <w:r>
              <w:rPr>
                <w:color w:val="000000" w:themeColor="text1"/>
              </w:rPr>
              <w:t>reduce</w:t>
            </w:r>
            <w:r>
              <w:rPr>
                <w:color w:val="000000" w:themeColor="text1"/>
                <w:spacing w:val="-4"/>
              </w:rPr>
              <w:t xml:space="preserve"> </w:t>
            </w:r>
            <w:r>
              <w:rPr>
                <w:color w:val="000000" w:themeColor="text1"/>
              </w:rPr>
              <w:t>flood</w:t>
            </w:r>
            <w:r>
              <w:rPr>
                <w:color w:val="000000" w:themeColor="text1"/>
                <w:spacing w:val="-4"/>
              </w:rPr>
              <w:t xml:space="preserve"> </w:t>
            </w:r>
            <w:r>
              <w:rPr>
                <w:color w:val="000000" w:themeColor="text1"/>
              </w:rPr>
              <w:t>risk,</w:t>
            </w:r>
            <w:r>
              <w:rPr>
                <w:color w:val="000000" w:themeColor="text1"/>
                <w:spacing w:val="-4"/>
              </w:rPr>
              <w:t xml:space="preserve"> </w:t>
            </w:r>
            <w:r>
              <w:rPr>
                <w:color w:val="000000" w:themeColor="text1"/>
              </w:rPr>
              <w:t>and</w:t>
            </w:r>
            <w:r>
              <w:rPr>
                <w:color w:val="000000" w:themeColor="text1"/>
                <w:spacing w:val="-4"/>
              </w:rPr>
              <w:t xml:space="preserve"> </w:t>
            </w:r>
            <w:r>
              <w:rPr>
                <w:color w:val="000000" w:themeColor="text1"/>
              </w:rPr>
              <w:t>urban</w:t>
            </w:r>
            <w:r>
              <w:rPr>
                <w:color w:val="000000" w:themeColor="text1"/>
                <w:spacing w:val="-4"/>
              </w:rPr>
              <w:t xml:space="preserve"> </w:t>
            </w:r>
            <w:r>
              <w:rPr>
                <w:color w:val="000000" w:themeColor="text1"/>
              </w:rPr>
              <w:t>tree</w:t>
            </w:r>
            <w:r>
              <w:rPr>
                <w:color w:val="000000" w:themeColor="text1"/>
                <w:spacing w:val="-4"/>
              </w:rPr>
              <w:t xml:space="preserve"> </w:t>
            </w:r>
            <w:r>
              <w:rPr>
                <w:color w:val="000000" w:themeColor="text1"/>
              </w:rPr>
              <w:t>planting</w:t>
            </w:r>
            <w:r>
              <w:rPr>
                <w:color w:val="000000" w:themeColor="text1"/>
                <w:spacing w:val="-4"/>
              </w:rPr>
              <w:t xml:space="preserve"> </w:t>
            </w:r>
            <w:r>
              <w:rPr>
                <w:color w:val="000000" w:themeColor="text1"/>
              </w:rPr>
              <w:t>to</w:t>
            </w:r>
            <w:r>
              <w:rPr>
                <w:color w:val="000000" w:themeColor="text1"/>
                <w:spacing w:val="-4"/>
              </w:rPr>
              <w:t xml:space="preserve"> </w:t>
            </w:r>
            <w:r>
              <w:rPr>
                <w:color w:val="000000" w:themeColor="text1"/>
              </w:rPr>
              <w:t>mitigate</w:t>
            </w:r>
            <w:r>
              <w:rPr>
                <w:color w:val="000000" w:themeColor="text1"/>
                <w:spacing w:val="-4"/>
              </w:rPr>
              <w:t xml:space="preserve"> </w:t>
            </w:r>
            <w:r>
              <w:rPr>
                <w:color w:val="000000" w:themeColor="text1"/>
              </w:rPr>
              <w:t>high</w:t>
            </w:r>
            <w:r>
              <w:rPr>
                <w:color w:val="000000" w:themeColor="text1"/>
                <w:spacing w:val="-4"/>
              </w:rPr>
              <w:t xml:space="preserve"> </w:t>
            </w:r>
            <w:r>
              <w:rPr>
                <w:color w:val="000000" w:themeColor="text1"/>
              </w:rPr>
              <w:t xml:space="preserve">heat </w:t>
            </w:r>
            <w:r>
              <w:rPr>
                <w:color w:val="000000" w:themeColor="text1"/>
                <w:spacing w:val="-2"/>
              </w:rPr>
              <w:t>days.</w:t>
            </w:r>
          </w:p>
        </w:tc>
      </w:tr>
    </w:tbl>
    <w:p w14:paraId="11456451" w14:textId="7D96E00E" w:rsidR="00CF71BD" w:rsidRDefault="00CF71BD" w:rsidP="00FE465A">
      <w:pPr>
        <w:spacing w:before="160" w:line="240" w:lineRule="auto"/>
        <w:rPr>
          <w:szCs w:val="20"/>
        </w:rPr>
      </w:pPr>
    </w:p>
    <w:p w14:paraId="2E264461" w14:textId="30C394EC" w:rsidR="00CF71BD" w:rsidRDefault="00CF71BD" w:rsidP="00FE465A">
      <w:pPr>
        <w:pStyle w:val="Heading2"/>
        <w:spacing w:before="160" w:after="160" w:line="240" w:lineRule="auto"/>
      </w:pPr>
      <w:bookmarkStart w:id="144" w:name="_Step_3.1:_Summarize"/>
      <w:bookmarkStart w:id="145" w:name="_Toc224722693"/>
      <w:bookmarkStart w:id="146" w:name="_Toc235802706"/>
      <w:bookmarkEnd w:id="144"/>
      <w:r>
        <w:t>Step</w:t>
      </w:r>
      <w:r>
        <w:rPr>
          <w:spacing w:val="-23"/>
        </w:rPr>
        <w:t xml:space="preserve"> </w:t>
      </w:r>
      <w:r>
        <w:t>3.1:</w:t>
      </w:r>
      <w:r>
        <w:rPr>
          <w:spacing w:val="-23"/>
        </w:rPr>
        <w:t xml:space="preserve"> </w:t>
      </w:r>
      <w:r>
        <w:t>Summarize</w:t>
      </w:r>
      <w:r>
        <w:rPr>
          <w:spacing w:val="-23"/>
        </w:rPr>
        <w:t xml:space="preserve"> </w:t>
      </w:r>
      <w:r>
        <w:rPr>
          <w:spacing w:val="-2"/>
        </w:rPr>
        <w:t>Vulnerability</w:t>
      </w:r>
      <w:bookmarkEnd w:id="145"/>
      <w:bookmarkEnd w:id="146"/>
    </w:p>
    <w:p w14:paraId="0D1A059F" w14:textId="7BB2DC50" w:rsidR="00CF71BD" w:rsidRPr="00FB2DA8" w:rsidRDefault="00CF71BD" w:rsidP="00FE465A">
      <w:pPr>
        <w:pStyle w:val="BodyText"/>
        <w:spacing w:before="160" w:line="240" w:lineRule="auto"/>
      </w:pPr>
      <w:r>
        <w:t>Goal: Summarize vulnerabilities from previous phase in a concise problem statement for the planning team.</w:t>
      </w:r>
    </w:p>
    <w:p w14:paraId="3A566A12" w14:textId="168BAC68" w:rsidR="00CF71BD" w:rsidRPr="00BE4233" w:rsidRDefault="00CF71BD" w:rsidP="00FE465A">
      <w:pPr>
        <w:pStyle w:val="BodyText"/>
        <w:spacing w:before="160" w:line="240" w:lineRule="auto"/>
      </w:pPr>
      <w:r>
        <w:t>A helpful first step in developing the adaptation framework is to review the priority climate vulnerabilities identified in Step 2.4 from the vulnerability assessment. For example, the planning team may have identified that unhoused populations are particularly vulnerable to extreme heat in the community (see Step 2.4 example from Western Riverside Council of Governments). Now, the planning team should summarize all the information from Step 2.4 so that the community can clearly see its biggest vulnerabilities.</w:t>
      </w:r>
    </w:p>
    <w:p w14:paraId="6EBE4FBE" w14:textId="5C9E2BBC" w:rsidR="00CF71BD" w:rsidRPr="000758A7" w:rsidRDefault="00CF71BD" w:rsidP="00FE465A">
      <w:pPr>
        <w:pStyle w:val="BodyText"/>
        <w:spacing w:before="160" w:line="240" w:lineRule="auto"/>
      </w:pPr>
      <w:r>
        <w:t>One helpful way to summarize vulnerabilities is by writing problem statements. The purpose of the problem statements is to provide concise descriptions of climate vulnerabilities and their causes. For example, problem statements might highlight which critical community infrastructure is at risk to specific climate hazards and the impact on the community if the infrastructure is disrupted. Problem statements can also address how well the community is prepared to deal with the problem and identify opportunities for new policy and strategies. Ultimately, problem statements help to provide a shared understanding between partners, decision-makers, and members of the planning team. If needed, these problem statements should be translated into whatever primary language(s) the community speaks.</w:t>
      </w:r>
    </w:p>
    <w:p w14:paraId="33516145" w14:textId="180B37FE" w:rsidR="0068603A" w:rsidRDefault="54CE8DEA" w:rsidP="00FE465A">
      <w:pPr>
        <w:pStyle w:val="BodyText"/>
        <w:spacing w:before="160" w:line="240" w:lineRule="auto"/>
      </w:pPr>
      <w:r>
        <w:t xml:space="preserve">A problem statement may also summarize known or suspected causes or contributing factors, often informing policy discussions and decisions. These causes are not always straightforward and identifying them can inform fundamental policy debates and action. For example, severe wildfires in California have become more frequent, but the relative influences and factors such as climate change, increased development in the wildland-urban interface, and forest management practices vary by community. These differences drive policy choices, for example, whether to focus on land use and development or on controlled burns and forest thinning. Several adaptation planning resources recommend summarizing the vulnerability assessment in these short statements to explain vulnerabilities and their consequences, including the </w:t>
      </w:r>
      <w:hyperlink r:id="rId222">
        <w:r>
          <w:rPr>
            <w:rStyle w:val="Hyperlink"/>
          </w:rPr>
          <w:t>Local Mitigation Planning Handbook</w:t>
        </w:r>
      </w:hyperlink>
      <w:r>
        <w:t xml:space="preserve">, the 2019 </w:t>
      </w:r>
      <w:hyperlink r:id="rId223">
        <w:r>
          <w:rPr>
            <w:rStyle w:val="Hyperlink"/>
          </w:rPr>
          <w:t>Regional Resilience Toolkit</w:t>
        </w:r>
      </w:hyperlink>
      <w:r>
        <w:t xml:space="preserve">, and </w:t>
      </w:r>
      <w:r w:rsidR="00B531D7">
        <w:t xml:space="preserve">BCDC’s </w:t>
      </w:r>
      <w:hyperlink r:id="rId224">
        <w:r>
          <w:rPr>
            <w:rStyle w:val="Hyperlink"/>
          </w:rPr>
          <w:t>Adapting to Rising Tides Guide</w:t>
        </w:r>
      </w:hyperlink>
      <w:r>
        <w:t>.</w:t>
      </w:r>
    </w:p>
    <w:p w14:paraId="2BC96BDC" w14:textId="7F52DC26" w:rsidR="002C017C" w:rsidRDefault="002C017C">
      <w:r>
        <w:br w:type="page"/>
      </w:r>
    </w:p>
    <w:tbl>
      <w:tblPr>
        <w:tblStyle w:val="TableGrid"/>
        <w:tblW w:w="0" w:type="auto"/>
        <w:tblLook w:val="04A0" w:firstRow="1" w:lastRow="0" w:firstColumn="1" w:lastColumn="0" w:noHBand="0" w:noVBand="1"/>
      </w:tblPr>
      <w:tblGrid>
        <w:gridCol w:w="9350"/>
      </w:tblGrid>
      <w:tr w:rsidR="00E072AB" w:rsidRPr="00E072AB" w14:paraId="677EF560" w14:textId="77777777" w:rsidTr="00695667">
        <w:trPr>
          <w:trHeight w:val="576"/>
        </w:trPr>
        <w:tc>
          <w:tcPr>
            <w:tcW w:w="9350" w:type="dxa"/>
            <w:tcBorders>
              <w:top w:val="nil"/>
              <w:left w:val="nil"/>
              <w:bottom w:val="nil"/>
              <w:right w:val="nil"/>
            </w:tcBorders>
            <w:shd w:val="clear" w:color="auto" w:fill="1F5383"/>
            <w:vAlign w:val="center"/>
          </w:tcPr>
          <w:p w14:paraId="516D41B7" w14:textId="53D3689A" w:rsidR="007934B8" w:rsidRPr="00E072AB" w:rsidRDefault="007934B8" w:rsidP="00BB5ACB">
            <w:pPr>
              <w:pStyle w:val="BodyText"/>
              <w:rPr>
                <w:b/>
                <w:bCs/>
                <w:color w:val="FFFFFF" w:themeColor="background1"/>
              </w:rPr>
            </w:pPr>
            <w:r>
              <w:rPr>
                <w:b/>
                <w:bCs/>
                <w:color w:val="FFFFFF" w:themeColor="background1"/>
              </w:rPr>
              <w:t>Case Study: Ramona-Barona Climate Adaptation and Resilience Plan</w:t>
            </w:r>
          </w:p>
        </w:tc>
      </w:tr>
      <w:tr w:rsidR="00A22A81" w14:paraId="6798E832" w14:textId="77777777" w:rsidTr="6744F336">
        <w:tc>
          <w:tcPr>
            <w:tcW w:w="9350" w:type="dxa"/>
            <w:tcBorders>
              <w:top w:val="nil"/>
              <w:left w:val="nil"/>
              <w:bottom w:val="nil"/>
              <w:right w:val="nil"/>
            </w:tcBorders>
            <w:shd w:val="clear" w:color="auto" w:fill="DCEAF7"/>
          </w:tcPr>
          <w:p w14:paraId="299617A6" w14:textId="75AC4CD6" w:rsidR="001B38CC" w:rsidRDefault="00300AD9" w:rsidP="005D00C9">
            <w:pPr>
              <w:pStyle w:val="BodyText"/>
              <w:spacing w:before="120" w:after="160"/>
            </w:pPr>
            <w:r>
              <w:t xml:space="preserve">In 2026, the </w:t>
            </w:r>
            <w:r>
              <w:rPr>
                <w:szCs w:val="22"/>
              </w:rPr>
              <w:t>Ramona</w:t>
            </w:r>
            <w:r>
              <w:t xml:space="preserve"> Municipal Water District and the Barona Band of Mission Indians co-developed the </w:t>
            </w:r>
            <w:hyperlink r:id="rId225" w:history="1">
              <w:r>
                <w:rPr>
                  <w:rStyle w:val="Hyperlink"/>
                  <w:i/>
                  <w:iCs/>
                  <w:szCs w:val="22"/>
                </w:rPr>
                <w:t>Ramona-Barona</w:t>
              </w:r>
              <w:r>
                <w:rPr>
                  <w:rStyle w:val="Hyperlink"/>
                  <w:i/>
                  <w:iCs/>
                </w:rPr>
                <w:t xml:space="preserve"> Climate Adaptation and Resilience Plan</w:t>
              </w:r>
            </w:hyperlink>
            <w:r>
              <w:t xml:space="preserve"> (CARP) that provides a strategic roadmap for enhancing resilience in their rural region of unincorporated San Diego County.</w:t>
            </w:r>
          </w:p>
          <w:p w14:paraId="6F032B16" w14:textId="108676FC" w:rsidR="00045C6C" w:rsidRPr="00C7195B" w:rsidRDefault="00AA779F" w:rsidP="005D00C9">
            <w:pPr>
              <w:pStyle w:val="BodyText"/>
              <w:spacing w:before="160" w:after="120"/>
            </w:pPr>
            <w:r>
              <w:t>Problem Statement: “Wildfire poses one of the most urgent and escalating threats to both Ramona and Barona. As climate change drives hotter, drier conditions, wildfires are becoming more frequent, intense, and unpredictable. These threats are placing lives, homes, infrastructure, and ecosystems at increasing risk. The region’s emergency response capabilities are further strained by limited and vulnerable evacuation routes. Key corridors such as SR 78, SR 67, and Wildcat Canyon Road have historically proven inadequate during wildfire and flood events, creating dangerous bottlenecks and delaying critical response times. Public Safety Power Shutoff (PSPS) events, triggered to reduce wildfire risk, further exacerbate these challenges. These conditions illustrate the area’s high exposure to wildfire, the sensitivity of critical transportation routes, and limited capacity to adapt or respond during emergencies, underscoring the need for proactive planning, infrastructure investment, and community preparedness to protect residents and build long-term resilience.”</w:t>
            </w:r>
          </w:p>
        </w:tc>
      </w:tr>
    </w:tbl>
    <w:p w14:paraId="7ACF20CF" w14:textId="7D04C117" w:rsidR="00CF71BD" w:rsidRPr="000758A7" w:rsidRDefault="79BA7086" w:rsidP="00FE465A">
      <w:pPr>
        <w:pStyle w:val="BodyText"/>
        <w:spacing w:before="160" w:line="240" w:lineRule="auto"/>
      </w:pPr>
      <w:r>
        <w:t>Drafting problem statements helps reveal relationships and patterns of vulnerability and consider the types of adaptation strategies needed. Ultimately, this organization of vulnerabilities will help craft effective strategies to increase resilience. Doing so provides the following benefits:</w:t>
      </w:r>
    </w:p>
    <w:p w14:paraId="772AA5A0" w14:textId="46842DCA" w:rsidR="00CF71BD" w:rsidRPr="000758A7" w:rsidRDefault="00CF71BD">
      <w:pPr>
        <w:pStyle w:val="ListParagraph"/>
        <w:widowControl w:val="0"/>
        <w:numPr>
          <w:ilvl w:val="0"/>
          <w:numId w:val="33"/>
        </w:numPr>
        <w:tabs>
          <w:tab w:val="left" w:pos="1620"/>
        </w:tabs>
        <w:autoSpaceDE w:val="0"/>
        <w:autoSpaceDN w:val="0"/>
        <w:spacing w:before="160" w:line="240" w:lineRule="auto"/>
        <w:ind w:left="720"/>
      </w:pPr>
      <w:r>
        <w:t>Communicate critical planning issues, for example, which critical assets are particularly vulnerable, what areas currently have repetitive losses, or how many high-hazard areas are currently zoned for future development.</w:t>
      </w:r>
    </w:p>
    <w:p w14:paraId="3A20D1DA" w14:textId="2517F811" w:rsidR="00CF71BD" w:rsidRPr="000758A7" w:rsidRDefault="00CF71BD">
      <w:pPr>
        <w:pStyle w:val="ListParagraph"/>
        <w:widowControl w:val="0"/>
        <w:numPr>
          <w:ilvl w:val="0"/>
          <w:numId w:val="33"/>
        </w:numPr>
        <w:tabs>
          <w:tab w:val="left" w:pos="1620"/>
        </w:tabs>
        <w:autoSpaceDE w:val="0"/>
        <w:autoSpaceDN w:val="0"/>
        <w:spacing w:before="160" w:line="240" w:lineRule="auto"/>
        <w:ind w:left="720"/>
      </w:pPr>
      <w:r>
        <w:t>Assist the community and partners in prioritizing and focusing on the areas that have the greatest need for adaptation based on the vulnerability assessment and climate change impacts.</w:t>
      </w:r>
    </w:p>
    <w:p w14:paraId="181F733C" w14:textId="239469DC" w:rsidR="00CF71BD" w:rsidRPr="000758A7" w:rsidRDefault="00CF71BD">
      <w:pPr>
        <w:pStyle w:val="ListParagraph"/>
        <w:widowControl w:val="0"/>
        <w:numPr>
          <w:ilvl w:val="0"/>
          <w:numId w:val="33"/>
        </w:numPr>
        <w:tabs>
          <w:tab w:val="left" w:pos="1620"/>
        </w:tabs>
        <w:autoSpaceDE w:val="0"/>
        <w:autoSpaceDN w:val="0"/>
        <w:spacing w:before="160" w:line="240" w:lineRule="auto"/>
        <w:ind w:left="720"/>
      </w:pPr>
      <w:r>
        <w:t>Create a clear and cogent “story” to help support decision-making by elected officials and other partners.</w:t>
      </w:r>
    </w:p>
    <w:p w14:paraId="099492E0" w14:textId="36B7D8A7" w:rsidR="00CF71BD" w:rsidRPr="000758A7" w:rsidRDefault="00CF71BD">
      <w:pPr>
        <w:pStyle w:val="ListParagraph"/>
        <w:widowControl w:val="0"/>
        <w:numPr>
          <w:ilvl w:val="0"/>
          <w:numId w:val="33"/>
        </w:numPr>
        <w:tabs>
          <w:tab w:val="left" w:pos="1620"/>
        </w:tabs>
        <w:autoSpaceDE w:val="0"/>
        <w:autoSpaceDN w:val="0"/>
        <w:spacing w:before="160" w:line="240" w:lineRule="auto"/>
        <w:ind w:left="720"/>
      </w:pPr>
      <w:r>
        <w:t>Provide a foundation for seeking funds to reduce the potential for harm and increase community resilience.</w:t>
      </w:r>
    </w:p>
    <w:p w14:paraId="36E4B06C" w14:textId="74B5A3C5" w:rsidR="0077339B" w:rsidRDefault="0077339B">
      <w:r>
        <w:br w:type="page"/>
      </w:r>
    </w:p>
    <w:p w14:paraId="008F7CF4" w14:textId="40926606" w:rsidR="00CF71BD" w:rsidRDefault="00CF71BD" w:rsidP="00FE465A">
      <w:pPr>
        <w:pStyle w:val="Heading2"/>
        <w:spacing w:before="160" w:after="160" w:line="240" w:lineRule="auto"/>
      </w:pPr>
      <w:bookmarkStart w:id="147" w:name="Step_3.2:_Confirm_Vision_and_Goals"/>
      <w:bookmarkStart w:id="148" w:name="_bookmark80"/>
      <w:bookmarkStart w:id="149" w:name="_Toc224722694"/>
      <w:bookmarkStart w:id="150" w:name="_Toc235802707"/>
      <w:bookmarkEnd w:id="147"/>
      <w:bookmarkEnd w:id="148"/>
      <w:r>
        <w:t>Step</w:t>
      </w:r>
      <w:r>
        <w:rPr>
          <w:spacing w:val="-5"/>
        </w:rPr>
        <w:t xml:space="preserve"> </w:t>
      </w:r>
      <w:r>
        <w:t>3.2:</w:t>
      </w:r>
      <w:r>
        <w:rPr>
          <w:spacing w:val="-4"/>
        </w:rPr>
        <w:t xml:space="preserve"> Review </w:t>
      </w:r>
      <w:r>
        <w:t>Vision</w:t>
      </w:r>
      <w:r>
        <w:rPr>
          <w:spacing w:val="-5"/>
        </w:rPr>
        <w:t xml:space="preserve"> </w:t>
      </w:r>
      <w:r>
        <w:t>and</w:t>
      </w:r>
      <w:r>
        <w:rPr>
          <w:spacing w:val="-4"/>
        </w:rPr>
        <w:t xml:space="preserve"> </w:t>
      </w:r>
      <w:r>
        <w:rPr>
          <w:spacing w:val="-2"/>
        </w:rPr>
        <w:t>Goals</w:t>
      </w:r>
      <w:bookmarkEnd w:id="149"/>
      <w:bookmarkEnd w:id="150"/>
    </w:p>
    <w:p w14:paraId="78F0A366" w14:textId="51EE04EE" w:rsidR="00876425" w:rsidRDefault="00CF71BD" w:rsidP="00B802E1">
      <w:pPr>
        <w:pStyle w:val="BodyText"/>
        <w:spacing w:before="160" w:line="240" w:lineRule="auto"/>
      </w:pPr>
      <w:r>
        <w:t>Goal: Refine plan vision and goals.</w:t>
      </w:r>
    </w:p>
    <w:p w14:paraId="361EE2C4" w14:textId="77777777" w:rsidR="0077339B" w:rsidRDefault="0077339B" w:rsidP="00B802E1">
      <w:pPr>
        <w:pStyle w:val="BodyText"/>
        <w:spacing w:before="160" w:line="240" w:lineRule="auto"/>
      </w:pPr>
    </w:p>
    <w:p w14:paraId="1D76934F" w14:textId="09AD769E" w:rsidR="00CF71BD" w:rsidRPr="001214FC" w:rsidRDefault="00C63A3C" w:rsidP="00FE465A">
      <w:pPr>
        <w:pStyle w:val="Heading3"/>
        <w:spacing w:after="160" w:line="240" w:lineRule="auto"/>
        <w:rPr>
          <w:spacing w:val="-2"/>
        </w:rPr>
      </w:pPr>
      <w:bookmarkStart w:id="151" w:name="_Toc235802708"/>
      <w:r>
        <w:t xml:space="preserve">Step </w:t>
      </w:r>
      <w:r>
        <w:rPr>
          <w:spacing w:val="-2"/>
        </w:rPr>
        <w:t>3.2A: Review Vision</w:t>
      </w:r>
      <w:bookmarkEnd w:id="151"/>
    </w:p>
    <w:p w14:paraId="68FDFD33" w14:textId="6AF8CE60" w:rsidR="00CF71BD" w:rsidRDefault="00CF71BD" w:rsidP="00FE465A">
      <w:pPr>
        <w:pStyle w:val="BodyText"/>
        <w:spacing w:before="160" w:line="240" w:lineRule="auto"/>
      </w:pPr>
      <w:r>
        <w:t>The objective of this step is to review the community’s vision for adaptation and resilience. Phase 1 included preparing a vision or definition of what adaptation and resilience</w:t>
      </w:r>
      <w:r>
        <w:rPr>
          <w:spacing w:val="-3"/>
        </w:rPr>
        <w:t xml:space="preserve"> </w:t>
      </w:r>
      <w:r>
        <w:t>mean</w:t>
      </w:r>
      <w:r>
        <w:rPr>
          <w:spacing w:val="-3"/>
        </w:rPr>
        <w:t xml:space="preserve"> </w:t>
      </w:r>
      <w:r>
        <w:t>to</w:t>
      </w:r>
      <w:r>
        <w:rPr>
          <w:spacing w:val="-3"/>
        </w:rPr>
        <w:t xml:space="preserve"> </w:t>
      </w:r>
      <w:r>
        <w:t>the</w:t>
      </w:r>
      <w:r>
        <w:rPr>
          <w:spacing w:val="-3"/>
        </w:rPr>
        <w:t xml:space="preserve"> </w:t>
      </w:r>
      <w:r>
        <w:t>community.</w:t>
      </w:r>
      <w:r>
        <w:rPr>
          <w:spacing w:val="-3"/>
        </w:rPr>
        <w:t xml:space="preserve"> </w:t>
      </w:r>
      <w:r>
        <w:t>In</w:t>
      </w:r>
      <w:r>
        <w:rPr>
          <w:spacing w:val="-3"/>
        </w:rPr>
        <w:t xml:space="preserve"> </w:t>
      </w:r>
      <w:r>
        <w:t>Phase</w:t>
      </w:r>
      <w:r>
        <w:rPr>
          <w:spacing w:val="-3"/>
        </w:rPr>
        <w:t xml:space="preserve"> </w:t>
      </w:r>
      <w:r>
        <w:t>3,</w:t>
      </w:r>
      <w:r>
        <w:rPr>
          <w:spacing w:val="-3"/>
        </w:rPr>
        <w:t xml:space="preserve"> </w:t>
      </w:r>
      <w:r>
        <w:t>reviewing or refining</w:t>
      </w:r>
      <w:r>
        <w:rPr>
          <w:spacing w:val="-3"/>
        </w:rPr>
        <w:t xml:space="preserve"> </w:t>
      </w:r>
      <w:r>
        <w:t>the</w:t>
      </w:r>
      <w:r>
        <w:rPr>
          <w:spacing w:val="-3"/>
        </w:rPr>
        <w:t xml:space="preserve"> </w:t>
      </w:r>
      <w:r>
        <w:t>vision</w:t>
      </w:r>
      <w:r>
        <w:rPr>
          <w:spacing w:val="-3"/>
        </w:rPr>
        <w:t xml:space="preserve"> </w:t>
      </w:r>
      <w:r>
        <w:t>helps</w:t>
      </w:r>
      <w:r>
        <w:rPr>
          <w:spacing w:val="-3"/>
        </w:rPr>
        <w:t xml:space="preserve"> </w:t>
      </w:r>
      <w:r>
        <w:t>frame how to address the issues in the vulnerability assessment. If the community did not prepare a vision statement during Phase 1, now is a good time to do so.</w:t>
      </w:r>
    </w:p>
    <w:p w14:paraId="679AD4B2" w14:textId="77777777" w:rsidR="00FE465A" w:rsidRDefault="00FE465A" w:rsidP="00FE465A">
      <w:pPr>
        <w:pStyle w:val="BodyText"/>
        <w:spacing w:before="160" w:line="240" w:lineRule="auto"/>
      </w:pPr>
    </w:p>
    <w:p w14:paraId="7CFED21B" w14:textId="13D4C7F1" w:rsidR="00CF71BD" w:rsidRDefault="00C63A3C" w:rsidP="00FE465A">
      <w:pPr>
        <w:pStyle w:val="Heading3"/>
        <w:spacing w:after="160" w:line="240" w:lineRule="auto"/>
      </w:pPr>
      <w:bookmarkStart w:id="152" w:name="_Toc235802709"/>
      <w:r>
        <w:t>Step 3.2B: Draft</w:t>
      </w:r>
      <w:r>
        <w:rPr>
          <w:spacing w:val="8"/>
        </w:rPr>
        <w:t xml:space="preserve"> </w:t>
      </w:r>
      <w:r>
        <w:rPr>
          <w:spacing w:val="-2"/>
        </w:rPr>
        <w:t>Goals</w:t>
      </w:r>
      <w:bookmarkEnd w:id="152"/>
    </w:p>
    <w:p w14:paraId="20100293" w14:textId="0FADF3EB" w:rsidR="00CF71BD" w:rsidRDefault="00CF71BD" w:rsidP="00FE465A">
      <w:pPr>
        <w:pStyle w:val="BodyText"/>
        <w:spacing w:before="160" w:line="240" w:lineRule="auto"/>
      </w:pPr>
      <w:r>
        <w:t>While the vision statement describes what the community wants to achieve as a desired future state, goals</w:t>
      </w:r>
      <w:r>
        <w:rPr>
          <w:spacing w:val="-2"/>
        </w:rPr>
        <w:t xml:space="preserve"> </w:t>
      </w:r>
      <w:r>
        <w:t>provide</w:t>
      </w:r>
      <w:r>
        <w:rPr>
          <w:spacing w:val="-2"/>
        </w:rPr>
        <w:t xml:space="preserve"> </w:t>
      </w:r>
      <w:r>
        <w:t>concrete direction</w:t>
      </w:r>
      <w:r>
        <w:rPr>
          <w:spacing w:val="-2"/>
        </w:rPr>
        <w:t xml:space="preserve"> </w:t>
      </w:r>
      <w:r>
        <w:t>for</w:t>
      </w:r>
      <w:r>
        <w:rPr>
          <w:spacing w:val="-2"/>
        </w:rPr>
        <w:t xml:space="preserve"> </w:t>
      </w:r>
      <w:r>
        <w:t>achieving</w:t>
      </w:r>
      <w:r>
        <w:rPr>
          <w:spacing w:val="-2"/>
        </w:rPr>
        <w:t xml:space="preserve"> </w:t>
      </w:r>
      <w:r>
        <w:t>that vision. Clear, shared goals established with input from the planning team, partners, decision makers and the public guide development of implementable strategies.</w:t>
      </w:r>
    </w:p>
    <w:p w14:paraId="403F5943" w14:textId="77CA6B09" w:rsidR="00CF71BD" w:rsidRDefault="00CF71BD" w:rsidP="00FE465A">
      <w:pPr>
        <w:spacing w:before="160" w:line="240" w:lineRule="auto"/>
      </w:pPr>
      <w:bookmarkStart w:id="153" w:name="_bookmark81"/>
      <w:bookmarkEnd w:id="153"/>
      <w:r>
        <w:t xml:space="preserve">The 2017 </w:t>
      </w:r>
      <w:hyperlink r:id="rId226">
        <w:r>
          <w:rPr>
            <w:rStyle w:val="Hyperlink"/>
          </w:rPr>
          <w:t>General Plan Guidelines</w:t>
        </w:r>
      </w:hyperlink>
      <w:r>
        <w:t xml:space="preserve"> define a goal as a “general direction-setter.” It is an ideal</w:t>
      </w:r>
      <w:r>
        <w:rPr>
          <w:spacing w:val="-1"/>
        </w:rPr>
        <w:t xml:space="preserve"> </w:t>
      </w:r>
      <w:r>
        <w:t>future end related to public health, safety, or general</w:t>
      </w:r>
      <w:r>
        <w:rPr>
          <w:spacing w:val="-1"/>
        </w:rPr>
        <w:t xml:space="preserve"> </w:t>
      </w:r>
      <w:r>
        <w:t>welfare. A goal</w:t>
      </w:r>
      <w:r>
        <w:rPr>
          <w:spacing w:val="-1"/>
        </w:rPr>
        <w:t xml:space="preserve"> </w:t>
      </w:r>
      <w:r>
        <w:t>is a general</w:t>
      </w:r>
      <w:r>
        <w:rPr>
          <w:spacing w:val="-4"/>
        </w:rPr>
        <w:t xml:space="preserve"> </w:t>
      </w:r>
      <w:r>
        <w:t>expression</w:t>
      </w:r>
      <w:r>
        <w:rPr>
          <w:spacing w:val="-3"/>
        </w:rPr>
        <w:t xml:space="preserve"> </w:t>
      </w:r>
      <w:r>
        <w:t>of</w:t>
      </w:r>
      <w:r>
        <w:rPr>
          <w:spacing w:val="-3"/>
        </w:rPr>
        <w:t xml:space="preserve"> </w:t>
      </w:r>
      <w:r>
        <w:t>community</w:t>
      </w:r>
      <w:r>
        <w:rPr>
          <w:spacing w:val="-3"/>
        </w:rPr>
        <w:t xml:space="preserve"> </w:t>
      </w:r>
      <w:r>
        <w:t>values</w:t>
      </w:r>
      <w:r>
        <w:rPr>
          <w:spacing w:val="-3"/>
        </w:rPr>
        <w:t xml:space="preserve"> </w:t>
      </w:r>
      <w:r>
        <w:t>and</w:t>
      </w:r>
      <w:r>
        <w:rPr>
          <w:spacing w:val="-3"/>
        </w:rPr>
        <w:t xml:space="preserve"> </w:t>
      </w:r>
      <w:r>
        <w:t>may</w:t>
      </w:r>
      <w:r>
        <w:rPr>
          <w:spacing w:val="-3"/>
        </w:rPr>
        <w:t xml:space="preserve"> </w:t>
      </w:r>
      <w:r>
        <w:t>be</w:t>
      </w:r>
      <w:r>
        <w:rPr>
          <w:spacing w:val="-3"/>
        </w:rPr>
        <w:t xml:space="preserve"> </w:t>
      </w:r>
      <w:r>
        <w:t>abstract</w:t>
      </w:r>
      <w:r>
        <w:rPr>
          <w:spacing w:val="-3"/>
        </w:rPr>
        <w:t xml:space="preserve"> </w:t>
      </w:r>
      <w:r>
        <w:t>in</w:t>
      </w:r>
      <w:r>
        <w:rPr>
          <w:spacing w:val="-3"/>
        </w:rPr>
        <w:t xml:space="preserve"> </w:t>
      </w:r>
      <w:r>
        <w:t>nature.</w:t>
      </w:r>
      <w:r>
        <w:rPr>
          <w:spacing w:val="-3"/>
        </w:rPr>
        <w:t xml:space="preserve"> </w:t>
      </w:r>
      <w:r>
        <w:t>It</w:t>
      </w:r>
      <w:r>
        <w:rPr>
          <w:spacing w:val="-3"/>
        </w:rPr>
        <w:t xml:space="preserve"> </w:t>
      </w:r>
      <w:r>
        <w:t>may</w:t>
      </w:r>
      <w:r>
        <w:rPr>
          <w:spacing w:val="-3"/>
        </w:rPr>
        <w:t xml:space="preserve"> </w:t>
      </w:r>
      <w:r>
        <w:t>not</w:t>
      </w:r>
      <w:r>
        <w:rPr>
          <w:spacing w:val="-3"/>
        </w:rPr>
        <w:t xml:space="preserve"> </w:t>
      </w:r>
      <w:r>
        <w:t>be quantified or time-dependent. Refer to the examples below to get started and inspire the goals:</w:t>
      </w:r>
    </w:p>
    <w:p w14:paraId="231AFE48" w14:textId="5CE49B27" w:rsidR="00CF71BD" w:rsidRDefault="00CF71BD">
      <w:pPr>
        <w:pStyle w:val="ListParagraph"/>
        <w:widowControl w:val="0"/>
        <w:numPr>
          <w:ilvl w:val="0"/>
          <w:numId w:val="33"/>
        </w:numPr>
        <w:tabs>
          <w:tab w:val="left" w:pos="1620"/>
        </w:tabs>
        <w:autoSpaceDE w:val="0"/>
        <w:autoSpaceDN w:val="0"/>
        <w:spacing w:before="160" w:line="240" w:lineRule="auto"/>
        <w:ind w:left="720"/>
      </w:pPr>
      <w:r>
        <w:rPr>
          <w:spacing w:val="-9"/>
        </w:rPr>
        <w:t>Physical</w:t>
      </w:r>
      <w:r>
        <w:t xml:space="preserve"> areas (e.g., new development along the shoreline, natural resource areas, or assets)</w:t>
      </w:r>
    </w:p>
    <w:p w14:paraId="5D99E4E6" w14:textId="48C7315B" w:rsidR="00CF71BD" w:rsidRDefault="00CF71BD">
      <w:pPr>
        <w:pStyle w:val="ListParagraph"/>
        <w:widowControl w:val="0"/>
        <w:numPr>
          <w:ilvl w:val="0"/>
          <w:numId w:val="33"/>
        </w:numPr>
        <w:tabs>
          <w:tab w:val="left" w:pos="1620"/>
        </w:tabs>
        <w:autoSpaceDE w:val="0"/>
        <w:autoSpaceDN w:val="0"/>
        <w:spacing w:before="160" w:line="240" w:lineRule="auto"/>
        <w:ind w:left="720"/>
      </w:pPr>
      <w:r>
        <w:t>Asset classes (e.g., infrastructure, natural resources)</w:t>
      </w:r>
    </w:p>
    <w:p w14:paraId="73EF361A" w14:textId="1391C44C" w:rsidR="00CF71BD" w:rsidRDefault="00CF71BD">
      <w:pPr>
        <w:pStyle w:val="ListParagraph"/>
        <w:widowControl w:val="0"/>
        <w:numPr>
          <w:ilvl w:val="0"/>
          <w:numId w:val="33"/>
        </w:numPr>
        <w:tabs>
          <w:tab w:val="left" w:pos="1620"/>
        </w:tabs>
        <w:autoSpaceDE w:val="0"/>
        <w:autoSpaceDN w:val="0"/>
        <w:spacing w:before="160" w:line="240" w:lineRule="auto"/>
        <w:ind w:left="720"/>
      </w:pPr>
      <w:r>
        <w:t>Social values (e.g., protecting parks because beauty and recreation are highly held values)</w:t>
      </w:r>
    </w:p>
    <w:p w14:paraId="3AFB6886" w14:textId="57AE5809" w:rsidR="00CF71BD" w:rsidRDefault="00CF71BD">
      <w:pPr>
        <w:pStyle w:val="ListParagraph"/>
        <w:widowControl w:val="0"/>
        <w:numPr>
          <w:ilvl w:val="0"/>
          <w:numId w:val="33"/>
        </w:numPr>
        <w:tabs>
          <w:tab w:val="left" w:pos="1620"/>
        </w:tabs>
        <w:autoSpaceDE w:val="0"/>
        <w:autoSpaceDN w:val="0"/>
        <w:spacing w:before="160" w:line="240" w:lineRule="auto"/>
        <w:ind w:left="720"/>
      </w:pPr>
      <w:r>
        <w:t>Economic values (e.g., protecting major economic drivers like large businesses)</w:t>
      </w:r>
    </w:p>
    <w:p w14:paraId="59E5B7DE" w14:textId="2214B99C" w:rsidR="00CF71BD" w:rsidRDefault="00CF71BD">
      <w:pPr>
        <w:pStyle w:val="ListParagraph"/>
        <w:widowControl w:val="0"/>
        <w:numPr>
          <w:ilvl w:val="0"/>
          <w:numId w:val="33"/>
        </w:numPr>
        <w:tabs>
          <w:tab w:val="left" w:pos="1620"/>
        </w:tabs>
        <w:autoSpaceDE w:val="0"/>
        <w:autoSpaceDN w:val="0"/>
        <w:spacing w:before="160" w:line="240" w:lineRule="auto"/>
        <w:ind w:left="720"/>
      </w:pPr>
      <w:r>
        <w:t>Character, history, sense of place (e.g., protecting historic structures or neighborhoods)</w:t>
      </w:r>
    </w:p>
    <w:p w14:paraId="5CCB9BA9" w14:textId="3FED3738" w:rsidR="00CF71BD" w:rsidRDefault="00CF71BD">
      <w:pPr>
        <w:pStyle w:val="ListParagraph"/>
        <w:widowControl w:val="0"/>
        <w:numPr>
          <w:ilvl w:val="0"/>
          <w:numId w:val="33"/>
        </w:numPr>
        <w:tabs>
          <w:tab w:val="left" w:pos="1620"/>
        </w:tabs>
        <w:autoSpaceDE w:val="0"/>
        <w:autoSpaceDN w:val="0"/>
        <w:spacing w:before="160" w:line="240" w:lineRule="auto"/>
        <w:ind w:left="720"/>
      </w:pPr>
      <w:r>
        <w:t>Existing functions/activities (e.g., emergency services)</w:t>
      </w:r>
    </w:p>
    <w:p w14:paraId="0A1F7E56" w14:textId="50FA7566" w:rsidR="00CF71BD" w:rsidRDefault="00CF71BD">
      <w:pPr>
        <w:pStyle w:val="ListParagraph"/>
        <w:widowControl w:val="0"/>
        <w:numPr>
          <w:ilvl w:val="0"/>
          <w:numId w:val="33"/>
        </w:numPr>
        <w:tabs>
          <w:tab w:val="left" w:pos="1620"/>
        </w:tabs>
        <w:autoSpaceDE w:val="0"/>
        <w:autoSpaceDN w:val="0"/>
        <w:spacing w:before="160" w:line="240" w:lineRule="auto"/>
        <w:ind w:left="720"/>
      </w:pPr>
      <w:r>
        <w:t>Specific communities</w:t>
      </w:r>
      <w:r>
        <w:rPr>
          <w:spacing w:val="-8"/>
        </w:rPr>
        <w:t xml:space="preserve"> </w:t>
      </w:r>
      <w:r>
        <w:t>(e.g.,</w:t>
      </w:r>
      <w:r>
        <w:rPr>
          <w:spacing w:val="-7"/>
        </w:rPr>
        <w:t xml:space="preserve"> </w:t>
      </w:r>
      <w:r>
        <w:t>vulnerable</w:t>
      </w:r>
      <w:r>
        <w:rPr>
          <w:spacing w:val="-8"/>
        </w:rPr>
        <w:t xml:space="preserve"> </w:t>
      </w:r>
      <w:r>
        <w:rPr>
          <w:spacing w:val="-2"/>
        </w:rPr>
        <w:t>populations)</w:t>
      </w:r>
    </w:p>
    <w:p w14:paraId="753E57D8" w14:textId="35064204" w:rsidR="00CF71BD" w:rsidRPr="000C65ED" w:rsidRDefault="00CF71BD" w:rsidP="00FE465A">
      <w:pPr>
        <w:pStyle w:val="BodyText"/>
        <w:spacing w:before="160" w:line="240" w:lineRule="auto"/>
      </w:pPr>
      <w:r>
        <w:t>Below are some suggestions and tips to guide in drafting goals:</w:t>
      </w:r>
    </w:p>
    <w:p w14:paraId="73BCF8EB" w14:textId="1E7A1D03" w:rsidR="00CF71BD" w:rsidRDefault="00CF71BD">
      <w:pPr>
        <w:pStyle w:val="ListParagraph"/>
        <w:widowControl w:val="0"/>
        <w:numPr>
          <w:ilvl w:val="0"/>
          <w:numId w:val="33"/>
        </w:numPr>
        <w:tabs>
          <w:tab w:val="left" w:pos="1620"/>
        </w:tabs>
        <w:autoSpaceDE w:val="0"/>
        <w:autoSpaceDN w:val="0"/>
        <w:spacing w:before="160" w:line="240" w:lineRule="auto"/>
        <w:ind w:left="720"/>
      </w:pPr>
      <w:r>
        <w:t>Plan Updates: If the plan is being updated, the planning team should review the previous goals and confirm or revise them to reflect current conditions and priorities.</w:t>
      </w:r>
    </w:p>
    <w:p w14:paraId="0E1F4DF7" w14:textId="40F69AD0" w:rsidR="00CF71BD" w:rsidRPr="00EB0E99" w:rsidRDefault="00CF71BD">
      <w:pPr>
        <w:pStyle w:val="ListParagraph"/>
        <w:widowControl w:val="0"/>
        <w:numPr>
          <w:ilvl w:val="0"/>
          <w:numId w:val="33"/>
        </w:numPr>
        <w:tabs>
          <w:tab w:val="left" w:pos="1620"/>
        </w:tabs>
        <w:autoSpaceDE w:val="0"/>
        <w:autoSpaceDN w:val="0"/>
        <w:spacing w:before="160" w:line="240" w:lineRule="auto"/>
        <w:ind w:left="720"/>
      </w:pPr>
      <w:r>
        <w:t>Risk assessment findings: Group the problem statements from Step 3.1 by themes, such as climate change effects, populations and types of assets. Several problem statements or groups may lead to a single adaptation goal.</w:t>
      </w:r>
    </w:p>
    <w:p w14:paraId="61FEA3B1" w14:textId="19680B1D" w:rsidR="00CF71BD" w:rsidRDefault="00CF71BD">
      <w:pPr>
        <w:pStyle w:val="ListParagraph"/>
        <w:widowControl w:val="0"/>
        <w:numPr>
          <w:ilvl w:val="0"/>
          <w:numId w:val="33"/>
        </w:numPr>
        <w:tabs>
          <w:tab w:val="left" w:pos="1620"/>
        </w:tabs>
        <w:autoSpaceDE w:val="0"/>
        <w:autoSpaceDN w:val="0"/>
        <w:spacing w:before="160" w:line="240" w:lineRule="auto"/>
        <w:ind w:left="720"/>
      </w:pPr>
      <w:r>
        <w:t>Outreach findings: Consider themes that emerged during planning team meetings, partner meetings, and public engagement. For example, a recurring theme might be improving education and raising awareness of climate risks.</w:t>
      </w:r>
    </w:p>
    <w:p w14:paraId="29DDDBF2" w14:textId="781E9562" w:rsidR="00D81566" w:rsidRDefault="003F6B07">
      <w:pPr>
        <w:pStyle w:val="ListParagraph"/>
        <w:widowControl w:val="0"/>
        <w:numPr>
          <w:ilvl w:val="0"/>
          <w:numId w:val="33"/>
        </w:numPr>
        <w:tabs>
          <w:tab w:val="left" w:pos="1620"/>
        </w:tabs>
        <w:autoSpaceDE w:val="0"/>
        <w:autoSpaceDN w:val="0"/>
        <w:spacing w:before="160" w:line="240" w:lineRule="auto"/>
        <w:ind w:left="720"/>
      </w:pPr>
      <w:r>
        <w:t>Community goals: Review existing goals in the community’s planning documents, such as general plans and transportation plans.</w:t>
      </w:r>
    </w:p>
    <w:p w14:paraId="6E3F7487" w14:textId="1EB598E4" w:rsidR="003F6B07" w:rsidRDefault="003F6B07">
      <w:pPr>
        <w:pStyle w:val="ListParagraph"/>
        <w:widowControl w:val="0"/>
        <w:numPr>
          <w:ilvl w:val="0"/>
          <w:numId w:val="33"/>
        </w:numPr>
        <w:tabs>
          <w:tab w:val="left" w:pos="1620"/>
        </w:tabs>
        <w:autoSpaceDE w:val="0"/>
        <w:autoSpaceDN w:val="0"/>
        <w:spacing w:before="160" w:line="240" w:lineRule="auto"/>
        <w:ind w:left="720"/>
      </w:pPr>
      <w:r>
        <w:t xml:space="preserve">It can be helpful to review goals from state-level planning documents, as they can give ideas or guidance for the community’s goals. For local or Tribal hazard mitigation plans, consider looking at </w:t>
      </w:r>
      <w:hyperlink r:id="rId227" w:history="1">
        <w:r>
          <w:rPr>
            <w:rStyle w:val="Hyperlink"/>
          </w:rPr>
          <w:t>Part 4</w:t>
        </w:r>
      </w:hyperlink>
      <w:r>
        <w:t xml:space="preserve"> of the State Hazard Mitigation Plan. When developing a Climate Adaptation Plan, review the state’s </w:t>
      </w:r>
      <w:hyperlink r:id="rId228" w:history="1">
        <w:r>
          <w:rPr>
            <w:rStyle w:val="Hyperlink"/>
          </w:rPr>
          <w:t>2024 California Climate Adaptation Strategy</w:t>
        </w:r>
      </w:hyperlink>
      <w:r>
        <w:t xml:space="preserve"> priorities and goals.</w:t>
      </w:r>
    </w:p>
    <w:p w14:paraId="6D973A29" w14:textId="3DB41EB0" w:rsidR="004B6530" w:rsidRDefault="00CF71BD" w:rsidP="00FE465A">
      <w:pPr>
        <w:pStyle w:val="BodyText"/>
        <w:spacing w:before="160" w:line="240" w:lineRule="auto"/>
      </w:pPr>
      <w:r>
        <w:t>Overall, the goals should directly respond to the risks to the community identified in the vulnerability assessment by increasing adaptive capacity, protecting assets, and reducing impacts from hazards and other climate change effects. Goals should be clear and accessible to partners and the public. The goals will be supported by strategies developed in Step 3.3.</w:t>
      </w:r>
    </w:p>
    <w:tbl>
      <w:tblPr>
        <w:tblStyle w:val="TableGrid"/>
        <w:tblW w:w="0" w:type="auto"/>
        <w:tblLook w:val="04A0" w:firstRow="1" w:lastRow="0" w:firstColumn="1" w:lastColumn="0" w:noHBand="0" w:noVBand="1"/>
      </w:tblPr>
      <w:tblGrid>
        <w:gridCol w:w="9350"/>
      </w:tblGrid>
      <w:tr w:rsidR="0071771A" w:rsidRPr="0071771A" w14:paraId="72E4CD31" w14:textId="77777777" w:rsidTr="0071771A">
        <w:trPr>
          <w:trHeight w:val="576"/>
        </w:trPr>
        <w:tc>
          <w:tcPr>
            <w:tcW w:w="9350" w:type="dxa"/>
            <w:tcBorders>
              <w:top w:val="nil"/>
              <w:left w:val="nil"/>
              <w:bottom w:val="nil"/>
              <w:right w:val="nil"/>
            </w:tcBorders>
            <w:shd w:val="clear" w:color="auto" w:fill="1F5383"/>
            <w:vAlign w:val="center"/>
          </w:tcPr>
          <w:p w14:paraId="3B52CF3B" w14:textId="37B4970D" w:rsidR="0071771A" w:rsidRPr="0071771A" w:rsidRDefault="0071771A" w:rsidP="00BB5ACB">
            <w:pPr>
              <w:pStyle w:val="BodyText"/>
              <w:rPr>
                <w:b/>
                <w:bCs/>
                <w:color w:val="FFFFFF" w:themeColor="background1"/>
              </w:rPr>
            </w:pPr>
            <w:r>
              <w:rPr>
                <w:b/>
                <w:bCs/>
                <w:color w:val="FFFFFF" w:themeColor="background1"/>
              </w:rPr>
              <w:t>Case Study: Lake County Climate Adaptation Plan</w:t>
            </w:r>
          </w:p>
        </w:tc>
      </w:tr>
      <w:tr w:rsidR="00A22A81" w14:paraId="1F6AA4CD" w14:textId="77777777" w:rsidTr="00A22A81">
        <w:tc>
          <w:tcPr>
            <w:tcW w:w="9350" w:type="dxa"/>
            <w:tcBorders>
              <w:top w:val="nil"/>
              <w:left w:val="nil"/>
              <w:bottom w:val="nil"/>
              <w:right w:val="nil"/>
            </w:tcBorders>
            <w:shd w:val="clear" w:color="auto" w:fill="DCEAF7"/>
          </w:tcPr>
          <w:p w14:paraId="2705AA7F" w14:textId="057AE48A" w:rsidR="00B15148" w:rsidRPr="00CA287D" w:rsidRDefault="005D082B" w:rsidP="004C37F0">
            <w:pPr>
              <w:pStyle w:val="BodyText"/>
              <w:spacing w:before="120" w:after="120"/>
            </w:pPr>
            <w:bookmarkStart w:id="154" w:name="Step_3.3:_Prepare_Adaptation_Strategies"/>
            <w:bookmarkStart w:id="155" w:name="_bookmark82"/>
            <w:bookmarkEnd w:id="154"/>
            <w:bookmarkEnd w:id="155"/>
            <w:r>
              <w:t xml:space="preserve">The </w:t>
            </w:r>
            <w:hyperlink r:id="rId229" w:history="1">
              <w:r>
                <w:rPr>
                  <w:rStyle w:val="Hyperlink"/>
                  <w:i/>
                  <w:iCs/>
                  <w:szCs w:val="22"/>
                </w:rPr>
                <w:t>Lake</w:t>
              </w:r>
              <w:r>
                <w:rPr>
                  <w:rStyle w:val="Hyperlink"/>
                  <w:i/>
                  <w:iCs/>
                </w:rPr>
                <w:t xml:space="preserve"> County Climate Adaptation Plan</w:t>
              </w:r>
            </w:hyperlink>
            <w:r>
              <w:t xml:space="preserve"> from 2026 provides a comprehensive, collaborative framework for addressing Lake County’s most pressing climate hazards and their impacts on social well-being, natural resources, and the economy. Organized around the County’s Pillars of Landscape Resilience, the countywide adaptation goals, strategies, and actions emphasize feasible, cost-effective solutions that protect vulnerable populations, safeguard natural and cultural resources, diversify the economy, and strengthen essential services. Each of the ten overarching goals has multiple strategies with implementation actions that address existing policies and programs and identify gaps and vulnerabilities.</w:t>
            </w:r>
          </w:p>
        </w:tc>
      </w:tr>
      <w:tr w:rsidR="00091B06" w14:paraId="70A93DE9" w14:textId="77777777" w:rsidTr="00A22A81">
        <w:tc>
          <w:tcPr>
            <w:tcW w:w="9350" w:type="dxa"/>
            <w:tcBorders>
              <w:top w:val="nil"/>
              <w:left w:val="nil"/>
              <w:bottom w:val="nil"/>
              <w:right w:val="nil"/>
            </w:tcBorders>
            <w:shd w:val="clear" w:color="auto" w:fill="DCEAF7"/>
          </w:tcPr>
          <w:p w14:paraId="39843A40" w14:textId="77777777" w:rsidR="00091B06" w:rsidRDefault="00091B06" w:rsidP="00091B06">
            <w:pPr>
              <w:pStyle w:val="BodyText"/>
              <w:spacing w:before="120" w:after="160"/>
            </w:pPr>
            <w:r>
              <w:t>Lake County Climate Adaptation Goals:</w:t>
            </w:r>
          </w:p>
          <w:p w14:paraId="20BB815E" w14:textId="77777777" w:rsidR="00091B06" w:rsidRDefault="00091B06">
            <w:pPr>
              <w:pStyle w:val="BodyText"/>
              <w:numPr>
                <w:ilvl w:val="1"/>
                <w:numId w:val="59"/>
              </w:numPr>
              <w:spacing w:after="160" w:line="259" w:lineRule="auto"/>
              <w:ind w:left="705"/>
            </w:pPr>
            <w:r>
              <w:t>Air Quality: Advance community resilience to smoke and poor air quality events.</w:t>
            </w:r>
          </w:p>
          <w:p w14:paraId="545EBE00" w14:textId="77777777" w:rsidR="00091B06" w:rsidRDefault="00091B06">
            <w:pPr>
              <w:pStyle w:val="BodyText"/>
              <w:numPr>
                <w:ilvl w:val="1"/>
                <w:numId w:val="59"/>
              </w:numPr>
              <w:spacing w:after="160" w:line="259" w:lineRule="auto"/>
              <w:ind w:left="705"/>
            </w:pPr>
            <w:r>
              <w:t>Biodiversity Conservation: The county’s network of native species and ecological communities is healthy, abundant, and distributed across the landscape to support and sustain their full ecological and cultural roles, furthering countywide climate resilience.</w:t>
            </w:r>
          </w:p>
          <w:p w14:paraId="51ABF172" w14:textId="77777777" w:rsidR="00091B06" w:rsidRDefault="00091B06">
            <w:pPr>
              <w:pStyle w:val="BodyText"/>
              <w:numPr>
                <w:ilvl w:val="1"/>
                <w:numId w:val="59"/>
              </w:numPr>
              <w:spacing w:after="160" w:line="259" w:lineRule="auto"/>
              <w:ind w:left="705"/>
            </w:pPr>
            <w:r>
              <w:t>Carbon Sequestration: Enhanced carbon sequestration capacity across forests, agricultural and working lands, and wetlands to support climate resilience and provide other ecological and community benefits.</w:t>
            </w:r>
          </w:p>
          <w:p w14:paraId="4C5A8E63" w14:textId="77777777" w:rsidR="00091B06" w:rsidRDefault="00091B06">
            <w:pPr>
              <w:pStyle w:val="BodyText"/>
              <w:numPr>
                <w:ilvl w:val="1"/>
                <w:numId w:val="59"/>
              </w:numPr>
              <w:spacing w:after="160" w:line="259" w:lineRule="auto"/>
              <w:ind w:left="705"/>
            </w:pPr>
            <w:r>
              <w:t>Economic Diversity: A sustainable and resilient natural resource-based economy.</w:t>
            </w:r>
          </w:p>
          <w:p w14:paraId="49153BFD" w14:textId="77777777" w:rsidR="00091B06" w:rsidRDefault="00091B06">
            <w:pPr>
              <w:pStyle w:val="BodyText"/>
              <w:numPr>
                <w:ilvl w:val="1"/>
                <w:numId w:val="59"/>
              </w:numPr>
              <w:spacing w:after="160" w:line="259" w:lineRule="auto"/>
              <w:ind w:left="705"/>
            </w:pPr>
            <w:r>
              <w:t>Fire-adapted Communities: Fire-prepared and resilient communities with the capacity to manage desired fire and suppress unwanted fire while protecting lives, housing, and critical infrastructure.</w:t>
            </w:r>
          </w:p>
          <w:p w14:paraId="4EAB3273" w14:textId="77777777" w:rsidR="00091B06" w:rsidRDefault="00091B06">
            <w:pPr>
              <w:pStyle w:val="BodyText"/>
              <w:numPr>
                <w:ilvl w:val="1"/>
                <w:numId w:val="59"/>
              </w:numPr>
              <w:spacing w:after="160" w:line="259" w:lineRule="auto"/>
              <w:ind w:left="705"/>
            </w:pPr>
            <w:r>
              <w:t>Fire Dynamics: Fire burns in an ecologically beneficial and socially acceptable way that perpetuates landscape heterogeneity and rarely threatens human safety or infrastructure.</w:t>
            </w:r>
          </w:p>
          <w:p w14:paraId="18BB41F1" w14:textId="77777777" w:rsidR="00091B06" w:rsidRDefault="00091B06">
            <w:pPr>
              <w:pStyle w:val="BodyText"/>
              <w:numPr>
                <w:ilvl w:val="1"/>
                <w:numId w:val="59"/>
              </w:numPr>
              <w:spacing w:after="160" w:line="259" w:lineRule="auto"/>
              <w:ind w:left="705"/>
            </w:pPr>
            <w:r>
              <w:t>Forest Resilience: Resilient forest ecosystems that provide essential ecosystem services, support cultural heritage, and sustain economic opportunities.</w:t>
            </w:r>
          </w:p>
          <w:p w14:paraId="62DD7E0F" w14:textId="77777777" w:rsidR="00091B06" w:rsidRDefault="00091B06">
            <w:pPr>
              <w:pStyle w:val="BodyText"/>
              <w:numPr>
                <w:ilvl w:val="1"/>
                <w:numId w:val="59"/>
              </w:numPr>
              <w:spacing w:after="160" w:line="259" w:lineRule="auto"/>
              <w:ind w:left="705"/>
            </w:pPr>
            <w:r>
              <w:t>Social and Cultural Well-being: A community connected with nature to recreate, maintain, and improve overall health and contribute to environmental stewardship as a critical component of their identity.</w:t>
            </w:r>
          </w:p>
          <w:p w14:paraId="4D240986" w14:textId="77777777" w:rsidR="00091B06" w:rsidRDefault="00091B06">
            <w:pPr>
              <w:pStyle w:val="BodyText"/>
              <w:numPr>
                <w:ilvl w:val="1"/>
                <w:numId w:val="59"/>
              </w:numPr>
              <w:spacing w:after="160" w:line="259" w:lineRule="auto"/>
              <w:ind w:left="705"/>
            </w:pPr>
            <w:r>
              <w:t>Water Security: Reliable, safe, and equitable access to clean, potable water for all Lake County communities.</w:t>
            </w:r>
          </w:p>
          <w:p w14:paraId="4857F044" w14:textId="304E767B" w:rsidR="00091B06" w:rsidRPr="00091B06" w:rsidRDefault="00091B06">
            <w:pPr>
              <w:pStyle w:val="BodyText"/>
              <w:numPr>
                <w:ilvl w:val="1"/>
                <w:numId w:val="59"/>
              </w:numPr>
              <w:spacing w:after="160" w:line="259" w:lineRule="auto"/>
              <w:ind w:left="705"/>
            </w:pPr>
            <w:r w:rsidRPr="00091B06">
              <w:t>Wetland Integrity: Protected and restored wetland and riparian ecosystems provide essential ecosystem services, provide natural climate resilience benefits, and are key linkages between upland and aquatic systems in forested landscapes.</w:t>
            </w:r>
          </w:p>
        </w:tc>
      </w:tr>
    </w:tbl>
    <w:p w14:paraId="10097744" w14:textId="0F3AB2A7" w:rsidR="00CF71BD" w:rsidRDefault="00CF71BD" w:rsidP="00F706D5">
      <w:pPr>
        <w:pStyle w:val="BodyText"/>
        <w:spacing w:before="160" w:line="240" w:lineRule="auto"/>
        <w:rPr>
          <w:spacing w:val="-2"/>
        </w:rPr>
      </w:pPr>
      <w:r>
        <w:t>When designing goals, it is essential to consider how they will be monitored and tracked for effectiveness.</w:t>
      </w:r>
      <w:r>
        <w:rPr>
          <w:spacing w:val="-7"/>
        </w:rPr>
        <w:t xml:space="preserve"> </w:t>
      </w:r>
      <w:r>
        <w:t>Some</w:t>
      </w:r>
      <w:r>
        <w:rPr>
          <w:spacing w:val="-7"/>
        </w:rPr>
        <w:t xml:space="preserve"> </w:t>
      </w:r>
      <w:r>
        <w:t>communities</w:t>
      </w:r>
      <w:r>
        <w:rPr>
          <w:spacing w:val="-7"/>
        </w:rPr>
        <w:t xml:space="preserve"> </w:t>
      </w:r>
      <w:r>
        <w:t>may</w:t>
      </w:r>
      <w:r>
        <w:rPr>
          <w:spacing w:val="-7"/>
        </w:rPr>
        <w:t xml:space="preserve"> </w:t>
      </w:r>
      <w:r>
        <w:t>prepare</w:t>
      </w:r>
      <w:r>
        <w:rPr>
          <w:spacing w:val="-7"/>
        </w:rPr>
        <w:t xml:space="preserve"> </w:t>
      </w:r>
      <w:r>
        <w:t>one</w:t>
      </w:r>
      <w:r>
        <w:rPr>
          <w:spacing w:val="-7"/>
        </w:rPr>
        <w:t xml:space="preserve"> </w:t>
      </w:r>
      <w:r>
        <w:t>or</w:t>
      </w:r>
      <w:r>
        <w:rPr>
          <w:spacing w:val="-7"/>
        </w:rPr>
        <w:t xml:space="preserve"> </w:t>
      </w:r>
      <w:r>
        <w:t>more</w:t>
      </w:r>
      <w:r>
        <w:rPr>
          <w:spacing w:val="-7"/>
        </w:rPr>
        <w:t xml:space="preserve"> </w:t>
      </w:r>
      <w:r>
        <w:t>“objective”</w:t>
      </w:r>
      <w:r>
        <w:rPr>
          <w:spacing w:val="-7"/>
        </w:rPr>
        <w:t xml:space="preserve"> </w:t>
      </w:r>
      <w:r>
        <w:t>statements</w:t>
      </w:r>
      <w:r>
        <w:rPr>
          <w:spacing w:val="-7"/>
        </w:rPr>
        <w:t xml:space="preserve"> </w:t>
      </w:r>
      <w:r>
        <w:t>for each goal. These objective statements are meant to be specifically measurable in some way that shows progress toward the goal. For example, a goal to reduce community vulnerability to wildfires might include objectives for the percentage of homes that meet defensible-space best practices. Whether specific objective statements are prepared or not, the goal and strategy development process should proceed</w:t>
      </w:r>
      <w:r>
        <w:rPr>
          <w:spacing w:val="-6"/>
        </w:rPr>
        <w:t xml:space="preserve"> </w:t>
      </w:r>
      <w:r>
        <w:t>with</w:t>
      </w:r>
      <w:r>
        <w:rPr>
          <w:spacing w:val="-6"/>
        </w:rPr>
        <w:t xml:space="preserve"> </w:t>
      </w:r>
      <w:r>
        <w:t>consideration</w:t>
      </w:r>
      <w:r>
        <w:rPr>
          <w:spacing w:val="-6"/>
        </w:rPr>
        <w:t xml:space="preserve"> </w:t>
      </w:r>
      <w:r>
        <w:t>of</w:t>
      </w:r>
      <w:r>
        <w:rPr>
          <w:spacing w:val="-6"/>
        </w:rPr>
        <w:t xml:space="preserve"> </w:t>
      </w:r>
      <w:r>
        <w:t>how to develop specific, monitorable indicators of progress</w:t>
      </w:r>
      <w:r>
        <w:rPr>
          <w:spacing w:val="-2"/>
        </w:rPr>
        <w:t>.</w:t>
      </w:r>
    </w:p>
    <w:p w14:paraId="5631203A" w14:textId="70E99134" w:rsidR="00106C73" w:rsidRDefault="00106C73">
      <w:r>
        <w:br w:type="page"/>
      </w:r>
    </w:p>
    <w:p w14:paraId="19544D46" w14:textId="69E75DB8" w:rsidR="00CF71BD" w:rsidRDefault="00AE3E45" w:rsidP="00F706D5">
      <w:pPr>
        <w:pStyle w:val="Heading2"/>
        <w:spacing w:before="160" w:after="160" w:line="240" w:lineRule="auto"/>
      </w:pPr>
      <w:bookmarkStart w:id="156" w:name="_Toc224913498"/>
      <w:bookmarkStart w:id="157" w:name="_Toc224732805"/>
      <w:bookmarkStart w:id="158" w:name="_Toc224732978"/>
      <w:bookmarkStart w:id="159" w:name="_Toc224733067"/>
      <w:bookmarkStart w:id="160" w:name="_Toc224733147"/>
      <w:bookmarkStart w:id="161" w:name="_Toc224733223"/>
      <w:bookmarkStart w:id="162" w:name="_Toc224733299"/>
      <w:bookmarkStart w:id="163" w:name="_Toc224734960"/>
      <w:bookmarkStart w:id="164" w:name="_Toc224722695"/>
      <w:bookmarkStart w:id="165" w:name="_Toc235802710"/>
      <w:r>
        <w:t>S</w:t>
      </w:r>
      <w:bookmarkEnd w:id="156"/>
      <w:bookmarkEnd w:id="157"/>
      <w:bookmarkEnd w:id="158"/>
      <w:bookmarkEnd w:id="159"/>
      <w:bookmarkEnd w:id="160"/>
      <w:bookmarkEnd w:id="161"/>
      <w:bookmarkEnd w:id="162"/>
      <w:bookmarkEnd w:id="163"/>
      <w:r>
        <w:t>tep</w:t>
      </w:r>
      <w:r>
        <w:rPr>
          <w:spacing w:val="-20"/>
        </w:rPr>
        <w:t xml:space="preserve"> </w:t>
      </w:r>
      <w:r>
        <w:t>3.3:</w:t>
      </w:r>
      <w:r>
        <w:rPr>
          <w:spacing w:val="-18"/>
        </w:rPr>
        <w:t xml:space="preserve"> </w:t>
      </w:r>
      <w:r>
        <w:t>Prepare</w:t>
      </w:r>
      <w:r>
        <w:rPr>
          <w:spacing w:val="-18"/>
        </w:rPr>
        <w:t xml:space="preserve"> </w:t>
      </w:r>
      <w:r>
        <w:t>Adaptation</w:t>
      </w:r>
      <w:r>
        <w:rPr>
          <w:spacing w:val="-17"/>
        </w:rPr>
        <w:t xml:space="preserve"> </w:t>
      </w:r>
      <w:r>
        <w:rPr>
          <w:spacing w:val="-2"/>
        </w:rPr>
        <w:t>Strategies</w:t>
      </w:r>
      <w:bookmarkEnd w:id="164"/>
      <w:bookmarkEnd w:id="165"/>
    </w:p>
    <w:p w14:paraId="52252A81" w14:textId="3EA40867" w:rsidR="00CF71BD" w:rsidRDefault="00CF71BD" w:rsidP="00F706D5">
      <w:pPr>
        <w:pStyle w:val="BodyText"/>
        <w:spacing w:before="160" w:line="240" w:lineRule="auto"/>
      </w:pPr>
      <w:r>
        <w:t>Goal: Develop adaptation strategies informed by the vulnerability assessment, community priorities, and community and partner engagement.</w:t>
      </w:r>
    </w:p>
    <w:p w14:paraId="033E0B29" w14:textId="717FA1E2" w:rsidR="00CF71BD" w:rsidRDefault="00F8211D" w:rsidP="00F706D5">
      <w:pPr>
        <w:spacing w:before="160" w:line="240" w:lineRule="auto"/>
      </w:pPr>
      <w:r>
        <w:t>With the community’s vulnerabilities, problem statements, and adaptation goals established, the planning team can begin developing adaptation strategies. Use the Vulnerability Assessment prepared in Phase 2 to identify priority areas for action and the problem statements developed in Step 3.1 to explore how those vulnerabilities could be addressed.</w:t>
      </w:r>
    </w:p>
    <w:p w14:paraId="19A6D49B" w14:textId="0DEEA80B" w:rsidR="00D43611" w:rsidRDefault="000E1584" w:rsidP="00F706D5">
      <w:pPr>
        <w:pStyle w:val="BodyText"/>
        <w:spacing w:before="160" w:line="240" w:lineRule="auto"/>
      </w:pPr>
      <w:r>
        <w:t xml:space="preserve">Adaptation strategies should reflect the community’s priorities, values, assets, and local context.  Depending on the planning mechanism, strategies may take the form of policies, programs, projects, measures, or other actions that increase resilience. Because planning requirements vary, strategies should be developed in accordance with applicable laws, regulations and guidance. For example, strategies developed for a General Plan Safety Element should comply with the specifications in California Government Code § 65302(g)(4), while those prepared for a Hazard Mitigation </w:t>
      </w:r>
      <w:r w:rsidR="005735F0">
        <w:t>Plans should</w:t>
      </w:r>
      <w:r>
        <w:t xml:space="preserve"> be consistent with Local Mitigation Planning Policy Guide, or Tribal Hazard Mitigation Policy Guide. The following steps provide a framework for developing adaptation strategies that build on the outcomes identified in Phases 1 and 2, and can be integrated across multiple planning mechanisms.</w:t>
      </w:r>
    </w:p>
    <w:tbl>
      <w:tblPr>
        <w:tblStyle w:val="TableGrid"/>
        <w:tblW w:w="0" w:type="auto"/>
        <w:tblLook w:val="04A0" w:firstRow="1" w:lastRow="0" w:firstColumn="1" w:lastColumn="0" w:noHBand="0" w:noVBand="1"/>
      </w:tblPr>
      <w:tblGrid>
        <w:gridCol w:w="9350"/>
      </w:tblGrid>
      <w:tr w:rsidR="00A223DC" w:rsidRPr="003C6E70" w14:paraId="4B8B5C64" w14:textId="77777777" w:rsidTr="00064769">
        <w:trPr>
          <w:trHeight w:val="576"/>
        </w:trPr>
        <w:tc>
          <w:tcPr>
            <w:tcW w:w="9350" w:type="dxa"/>
            <w:tcBorders>
              <w:top w:val="nil"/>
              <w:left w:val="nil"/>
              <w:bottom w:val="nil"/>
              <w:right w:val="nil"/>
            </w:tcBorders>
            <w:shd w:val="clear" w:color="auto" w:fill="58257F"/>
            <w:vAlign w:val="center"/>
          </w:tcPr>
          <w:p w14:paraId="4E19B6EC" w14:textId="0D9801BB" w:rsidR="00A223DC" w:rsidRPr="00BA4C0A" w:rsidRDefault="00A223DC" w:rsidP="00BB5ACB">
            <w:pPr>
              <w:pStyle w:val="CalloutBoxTitle"/>
              <w:rPr>
                <w:color w:val="FFFFFF" w:themeColor="background1"/>
              </w:rPr>
            </w:pPr>
            <w:r>
              <w:rPr>
                <w:color w:val="FFFFFF" w:themeColor="background1"/>
              </w:rPr>
              <w:t xml:space="preserve">Policy Connection: Local and Tribal Hazard Mitigation Plans  </w:t>
            </w:r>
          </w:p>
        </w:tc>
      </w:tr>
      <w:tr w:rsidR="00A223DC" w14:paraId="1A2DF8A1" w14:textId="77777777" w:rsidTr="00BA4C0A">
        <w:tc>
          <w:tcPr>
            <w:tcW w:w="9350" w:type="dxa"/>
            <w:tcBorders>
              <w:top w:val="nil"/>
              <w:left w:val="nil"/>
              <w:bottom w:val="nil"/>
              <w:right w:val="nil"/>
            </w:tcBorders>
            <w:shd w:val="clear" w:color="auto" w:fill="E4D2F2"/>
          </w:tcPr>
          <w:p w14:paraId="122B176A" w14:textId="122A31EA" w:rsidR="00A223DC" w:rsidRPr="008747F4" w:rsidRDefault="00724980" w:rsidP="00D33AC8">
            <w:pPr>
              <w:spacing w:before="120" w:after="120"/>
              <w:rPr>
                <w:color w:val="000000" w:themeColor="text1"/>
              </w:rPr>
            </w:pPr>
            <w:r>
              <w:rPr>
                <w:color w:val="000000" w:themeColor="text1"/>
              </w:rPr>
              <w:t>Local and Tribal Hazard Mitigation Plans are required to include mitigation goals, actions, and an implementation strategy to guide efforts to reduce harm from hazard impacts. It is suggested that vulnerability assessments, community outreach, and community or State-wide goals be used to inform mitigation measures.</w:t>
            </w:r>
          </w:p>
        </w:tc>
      </w:tr>
    </w:tbl>
    <w:p w14:paraId="40E67A7C" w14:textId="77777777" w:rsidR="00A223DC" w:rsidRDefault="00A223DC" w:rsidP="00F706D5">
      <w:pPr>
        <w:pStyle w:val="BodyText"/>
        <w:spacing w:before="160" w:line="240" w:lineRule="auto"/>
      </w:pPr>
    </w:p>
    <w:p w14:paraId="0B79E964" w14:textId="31C2657E" w:rsidR="00CF71BD" w:rsidRDefault="00C63A3C" w:rsidP="00F706D5">
      <w:pPr>
        <w:pStyle w:val="Heading3"/>
        <w:spacing w:after="160" w:line="240" w:lineRule="auto"/>
      </w:pPr>
      <w:bookmarkStart w:id="166" w:name="_Toc235802711"/>
      <w:r>
        <w:t>Step 3.3A: Identify Opportunities to Strengthen Existing Strategies</w:t>
      </w:r>
      <w:bookmarkEnd w:id="166"/>
    </w:p>
    <w:p w14:paraId="2E4A341F" w14:textId="645496A2" w:rsidR="00CF71BD" w:rsidRDefault="00CB2693" w:rsidP="00F706D5">
      <w:pPr>
        <w:spacing w:before="160" w:line="240" w:lineRule="auto"/>
      </w:pPr>
      <w:r w:rsidRPr="00586228">
        <w:t>Strategy development should identify existing projects that need climate-related adjustment.</w:t>
      </w:r>
      <w:r>
        <w:t xml:space="preserve"> Refer to the strategies pulled from existing plans in Step 2.3B to assess adaptive capacity and identify opportunities to build on them. These opportunities might include:</w:t>
      </w:r>
    </w:p>
    <w:p w14:paraId="57792F7C" w14:textId="263AE951" w:rsidR="00CF71BD" w:rsidRDefault="56A1E2DE">
      <w:pPr>
        <w:pStyle w:val="ListParagraph"/>
        <w:widowControl w:val="0"/>
        <w:numPr>
          <w:ilvl w:val="0"/>
          <w:numId w:val="33"/>
        </w:numPr>
        <w:tabs>
          <w:tab w:val="left" w:pos="1620"/>
        </w:tabs>
        <w:autoSpaceDE w:val="0"/>
        <w:autoSpaceDN w:val="0"/>
        <w:spacing w:before="160" w:line="240" w:lineRule="auto"/>
        <w:ind w:left="720"/>
      </w:pPr>
      <w:r>
        <w:t>Expanding a strategy to address additional or secondary climate impacts</w:t>
      </w:r>
    </w:p>
    <w:p w14:paraId="29961D3A" w14:textId="67598ABC" w:rsidR="00CF71BD" w:rsidRDefault="56A1E2DE">
      <w:pPr>
        <w:pStyle w:val="ListParagraph"/>
        <w:widowControl w:val="0"/>
        <w:numPr>
          <w:ilvl w:val="0"/>
          <w:numId w:val="33"/>
        </w:numPr>
        <w:tabs>
          <w:tab w:val="left" w:pos="1620"/>
        </w:tabs>
        <w:autoSpaceDE w:val="0"/>
        <w:autoSpaceDN w:val="0"/>
        <w:spacing w:before="160" w:line="240" w:lineRule="auto"/>
        <w:ind w:left="720"/>
      </w:pPr>
      <w:r>
        <w:t>Strengthening equity considerations or targeting underserved populations including individuals experiencing homelessness</w:t>
      </w:r>
    </w:p>
    <w:p w14:paraId="2D6B6F77" w14:textId="64A05D82" w:rsidR="00CF71BD" w:rsidRDefault="56A1E2DE">
      <w:pPr>
        <w:pStyle w:val="ListParagraph"/>
        <w:widowControl w:val="0"/>
        <w:numPr>
          <w:ilvl w:val="0"/>
          <w:numId w:val="33"/>
        </w:numPr>
        <w:tabs>
          <w:tab w:val="left" w:pos="1620"/>
        </w:tabs>
        <w:autoSpaceDE w:val="0"/>
        <w:autoSpaceDN w:val="0"/>
        <w:spacing w:before="160" w:line="240" w:lineRule="auto"/>
        <w:ind w:left="720"/>
      </w:pPr>
      <w:r>
        <w:t>Improving coordination across departments or agencies</w:t>
      </w:r>
    </w:p>
    <w:p w14:paraId="4D3E7DD8" w14:textId="5DC4DB9D" w:rsidR="00CF71BD" w:rsidRDefault="56A1E2DE">
      <w:pPr>
        <w:pStyle w:val="ListParagraph"/>
        <w:widowControl w:val="0"/>
        <w:numPr>
          <w:ilvl w:val="0"/>
          <w:numId w:val="33"/>
        </w:numPr>
        <w:tabs>
          <w:tab w:val="left" w:pos="1620"/>
        </w:tabs>
        <w:autoSpaceDE w:val="0"/>
        <w:autoSpaceDN w:val="0"/>
        <w:spacing w:before="160" w:line="240" w:lineRule="auto"/>
        <w:ind w:left="720"/>
      </w:pPr>
      <w:r>
        <w:t>Updating standards or thresholds to reflect future climate projections</w:t>
      </w:r>
    </w:p>
    <w:p w14:paraId="7174590F" w14:textId="407F2337" w:rsidR="00CF71BD" w:rsidRDefault="56A1E2DE">
      <w:pPr>
        <w:pStyle w:val="ListParagraph"/>
        <w:widowControl w:val="0"/>
        <w:numPr>
          <w:ilvl w:val="0"/>
          <w:numId w:val="33"/>
        </w:numPr>
        <w:tabs>
          <w:tab w:val="left" w:pos="1620"/>
        </w:tabs>
        <w:autoSpaceDE w:val="0"/>
        <w:autoSpaceDN w:val="0"/>
        <w:spacing w:before="160" w:line="240" w:lineRule="auto"/>
        <w:ind w:left="720"/>
      </w:pPr>
      <w:r>
        <w:t>Aligning funding or capital improvement plans with climate risk priorities</w:t>
      </w:r>
    </w:p>
    <w:p w14:paraId="7EFDECE6" w14:textId="55777CBF" w:rsidR="00CF71BD" w:rsidRDefault="56A1E2DE">
      <w:pPr>
        <w:pStyle w:val="ListParagraph"/>
        <w:widowControl w:val="0"/>
        <w:numPr>
          <w:ilvl w:val="0"/>
          <w:numId w:val="33"/>
        </w:numPr>
        <w:tabs>
          <w:tab w:val="left" w:pos="1620"/>
        </w:tabs>
        <w:autoSpaceDE w:val="0"/>
        <w:autoSpaceDN w:val="0"/>
        <w:spacing w:before="160" w:line="240" w:lineRule="auto"/>
        <w:ind w:left="720"/>
      </w:pPr>
      <w:r>
        <w:t>Identify strategies that have been planned but not implemented</w:t>
      </w:r>
    </w:p>
    <w:p w14:paraId="566721BF" w14:textId="7AD2DB81" w:rsidR="00CF71BD" w:rsidRDefault="56A1E2DE" w:rsidP="00F706D5">
      <w:pPr>
        <w:spacing w:before="160" w:line="240" w:lineRule="auto"/>
      </w:pPr>
      <w:r>
        <w:t>Consider also where there are gaps in addressing climate impacts,</w:t>
      </w:r>
      <w:r w:rsidR="00323748">
        <w:t xml:space="preserve"> </w:t>
      </w:r>
      <w:r>
        <w:t>and consider what strategies could respond to these gaps.</w:t>
      </w:r>
    </w:p>
    <w:p w14:paraId="512FFFC0" w14:textId="434E1D65" w:rsidR="001F3599" w:rsidRDefault="56A1E2DE" w:rsidP="00F706D5">
      <w:pPr>
        <w:spacing w:before="160" w:line="240" w:lineRule="auto"/>
      </w:pPr>
      <w:r>
        <w:t>If a plan is being updated, a similar set of questions can help determine how to update strategies. Considering how strategies have performed, have they achieved the desired outcomes and reached the target population? If not, what barriers have impeded implementation or success?</w:t>
      </w:r>
    </w:p>
    <w:tbl>
      <w:tblPr>
        <w:tblStyle w:val="TableGrid"/>
        <w:tblW w:w="0" w:type="auto"/>
        <w:tblLayout w:type="fixed"/>
        <w:tblLook w:val="04A0" w:firstRow="1" w:lastRow="0" w:firstColumn="1" w:lastColumn="0" w:noHBand="0" w:noVBand="1"/>
      </w:tblPr>
      <w:tblGrid>
        <w:gridCol w:w="9450"/>
      </w:tblGrid>
      <w:tr w:rsidR="00CF71BD" w14:paraId="7B000002" w14:textId="77777777">
        <w:trPr>
          <w:trHeight w:val="576"/>
        </w:trPr>
        <w:tc>
          <w:tcPr>
            <w:tcW w:w="9450" w:type="dxa"/>
            <w:tcBorders>
              <w:top w:val="nil"/>
              <w:left w:val="nil"/>
              <w:bottom w:val="nil"/>
              <w:right w:val="nil"/>
            </w:tcBorders>
            <w:shd w:val="clear" w:color="auto" w:fill="14581C"/>
            <w:vAlign w:val="center"/>
          </w:tcPr>
          <w:p w14:paraId="7B000001" w14:textId="1ECBC337" w:rsidR="00CF71BD" w:rsidRDefault="00CF71BD">
            <w:pPr>
              <w:pStyle w:val="CalloutBoxTitle"/>
              <w:rPr>
                <w:color w:val="FFFFFF" w:themeColor="background1"/>
              </w:rPr>
            </w:pPr>
            <w:r>
              <w:rPr>
                <w:color w:val="FFFFFF" w:themeColor="background1"/>
              </w:rPr>
              <w:t xml:space="preserve">Homelessness and </w:t>
            </w:r>
            <w:r w:rsidR="00AE2C1E">
              <w:rPr>
                <w:color w:val="FFFFFF" w:themeColor="background1"/>
              </w:rPr>
              <w:t>E</w:t>
            </w:r>
            <w:r>
              <w:rPr>
                <w:color w:val="FFFFFF" w:themeColor="background1"/>
              </w:rPr>
              <w:t>quity resources</w:t>
            </w:r>
          </w:p>
        </w:tc>
      </w:tr>
      <w:tr w:rsidR="00CF71BD" w14:paraId="7B000003" w14:textId="77777777">
        <w:tc>
          <w:tcPr>
            <w:tcW w:w="9450" w:type="dxa"/>
            <w:tcBorders>
              <w:top w:val="nil"/>
              <w:left w:val="nil"/>
              <w:bottom w:val="nil"/>
              <w:right w:val="nil"/>
            </w:tcBorders>
            <w:shd w:val="clear" w:color="auto" w:fill="C2F1C8"/>
          </w:tcPr>
          <w:p w14:paraId="49B2B901" w14:textId="7745BD7D" w:rsidR="00CF71BD" w:rsidRPr="00E60FAE" w:rsidRDefault="00F2750C" w:rsidP="00F706D5">
            <w:pPr>
              <w:spacing w:before="120" w:after="160"/>
              <w:rPr>
                <w:color w:val="000000" w:themeColor="text1"/>
              </w:rPr>
            </w:pPr>
            <w:r>
              <w:t>Consider referring to and using the</w:t>
            </w:r>
            <w:r w:rsidR="005E32EA">
              <w:t xml:space="preserve"> </w:t>
            </w:r>
            <w:hyperlink r:id="rId230" w:history="1">
              <w:r w:rsidR="005E32EA">
                <w:rPr>
                  <w:rStyle w:val="Hyperlink"/>
                </w:rPr>
                <w:t xml:space="preserve">Homeless Emergency and Active Readiness Toolkit </w:t>
              </w:r>
            </w:hyperlink>
            <w:r w:rsidR="005E32EA">
              <w:t xml:space="preserve">(HEART), </w:t>
            </w:r>
            <w:r>
              <w:t xml:space="preserve">to ensure plans address the needs of people experiencing homelessness, particularly people experiencing unsheltered homelessness. For additional guidance, including webinars, best practices, case studies, and other resources, visit the </w:t>
            </w:r>
            <w:hyperlink r:id="rId231" w:history="1">
              <w:r w:rsidR="005E32EA">
                <w:rPr>
                  <w:rStyle w:val="Hyperlink"/>
                </w:rPr>
                <w:t>California Interagency Council on Homelessness</w:t>
              </w:r>
            </w:hyperlink>
            <w:r w:rsidR="005E32EA">
              <w:t xml:space="preserve">. </w:t>
            </w:r>
          </w:p>
        </w:tc>
      </w:tr>
    </w:tbl>
    <w:p w14:paraId="7B000004" w14:textId="77777777" w:rsidR="00CF71BD" w:rsidRDefault="00CF71BD">
      <w:pPr>
        <w:spacing w:before="160" w:line="240" w:lineRule="auto"/>
      </w:pPr>
    </w:p>
    <w:p w14:paraId="4FEF43A7" w14:textId="13C2C18F" w:rsidR="00CF71BD" w:rsidRPr="000E667C" w:rsidRDefault="00C63A3C" w:rsidP="00F706D5">
      <w:pPr>
        <w:pStyle w:val="Heading3"/>
        <w:spacing w:after="160" w:line="240" w:lineRule="auto"/>
      </w:pPr>
      <w:bookmarkStart w:id="167" w:name="_Toc235802712"/>
      <w:r>
        <w:t>Step 3.3B: Draft Adaptation Strategies</w:t>
      </w:r>
      <w:bookmarkEnd w:id="167"/>
    </w:p>
    <w:p w14:paraId="1BBEE9C6" w14:textId="1B1C67E8" w:rsidR="00CF71BD" w:rsidRPr="000E667C" w:rsidRDefault="199C40C0" w:rsidP="00F706D5">
      <w:pPr>
        <w:pStyle w:val="BodyText"/>
        <w:spacing w:before="160" w:line="240" w:lineRule="auto"/>
      </w:pPr>
      <w:r>
        <w:t xml:space="preserve">Each goal drafted in </w:t>
      </w:r>
      <w:hyperlink w:anchor="Step_3.2:_Confirm_Vision_and_Goals" w:history="1">
        <w:r w:rsidR="005E32EA">
          <w:rPr>
            <w:rStyle w:val="Hyperlink"/>
          </w:rPr>
          <w:t>Step 3.2</w:t>
        </w:r>
      </w:hyperlink>
      <w:r w:rsidR="005E32EA">
        <w:t xml:space="preserve"> </w:t>
      </w:r>
      <w:r>
        <w:t xml:space="preserve">should have a set of strategies to support its achievement. Strategies should respond to the problem statements prepared in </w:t>
      </w:r>
      <w:hyperlink w:anchor="_Step_3.1:_Summarize" w:history="1">
        <w:r w:rsidR="005E32EA">
          <w:rPr>
            <w:rStyle w:val="Hyperlink"/>
          </w:rPr>
          <w:t>Step 3.1</w:t>
        </w:r>
      </w:hyperlink>
      <w:r>
        <w:t>. As part of strategy development, the planning team should answer these questions:</w:t>
      </w:r>
    </w:p>
    <w:p w14:paraId="35D0BBA8" w14:textId="1D140B68" w:rsidR="00CF71BD" w:rsidRPr="000E667C" w:rsidRDefault="199C40C0">
      <w:pPr>
        <w:pStyle w:val="ListParagraph"/>
        <w:widowControl w:val="0"/>
        <w:numPr>
          <w:ilvl w:val="0"/>
          <w:numId w:val="33"/>
        </w:numPr>
        <w:tabs>
          <w:tab w:val="left" w:pos="1620"/>
        </w:tabs>
        <w:autoSpaceDE w:val="0"/>
        <w:autoSpaceDN w:val="0"/>
        <w:spacing w:before="160" w:line="240" w:lineRule="auto"/>
        <w:ind w:left="720"/>
      </w:pPr>
      <w:r>
        <w:t>Who will be responsible for the strategy?</w:t>
      </w:r>
    </w:p>
    <w:p w14:paraId="257F219D" w14:textId="1B95A16C" w:rsidR="00CF71BD" w:rsidRPr="000E667C" w:rsidRDefault="199C40C0">
      <w:pPr>
        <w:pStyle w:val="ListParagraph"/>
        <w:widowControl w:val="0"/>
        <w:numPr>
          <w:ilvl w:val="0"/>
          <w:numId w:val="33"/>
        </w:numPr>
        <w:tabs>
          <w:tab w:val="left" w:pos="1620"/>
        </w:tabs>
        <w:autoSpaceDE w:val="0"/>
        <w:autoSpaceDN w:val="0"/>
        <w:spacing w:before="160" w:line="240" w:lineRule="auto"/>
        <w:ind w:left="720"/>
      </w:pPr>
      <w:r>
        <w:t>How will it be achieved?</w:t>
      </w:r>
    </w:p>
    <w:p w14:paraId="29FB2682" w14:textId="30F32AE8" w:rsidR="00CF71BD" w:rsidRPr="000E667C" w:rsidRDefault="199C40C0">
      <w:pPr>
        <w:pStyle w:val="ListParagraph"/>
        <w:widowControl w:val="0"/>
        <w:numPr>
          <w:ilvl w:val="0"/>
          <w:numId w:val="33"/>
        </w:numPr>
        <w:tabs>
          <w:tab w:val="left" w:pos="1620"/>
        </w:tabs>
        <w:autoSpaceDE w:val="0"/>
        <w:autoSpaceDN w:val="0"/>
        <w:spacing w:before="160" w:line="240" w:lineRule="auto"/>
        <w:ind w:left="720"/>
      </w:pPr>
      <w:r>
        <w:t>How will it be assessed?</w:t>
      </w:r>
    </w:p>
    <w:p w14:paraId="1F75E672" w14:textId="42B5F65C" w:rsidR="00CF71BD" w:rsidRPr="000E667C" w:rsidRDefault="199C40C0">
      <w:pPr>
        <w:pStyle w:val="ListParagraph"/>
        <w:widowControl w:val="0"/>
        <w:numPr>
          <w:ilvl w:val="0"/>
          <w:numId w:val="33"/>
        </w:numPr>
        <w:tabs>
          <w:tab w:val="left" w:pos="1620"/>
        </w:tabs>
        <w:autoSpaceDE w:val="0"/>
        <w:autoSpaceDN w:val="0"/>
        <w:spacing w:before="160" w:line="240" w:lineRule="auto"/>
        <w:ind w:left="720"/>
      </w:pPr>
      <w:r>
        <w:t>What is needed to accomplish it?</w:t>
      </w:r>
    </w:p>
    <w:p w14:paraId="3F1EB803" w14:textId="77777777" w:rsidR="005D52BB" w:rsidRDefault="005D52BB" w:rsidP="005D52BB">
      <w:pPr>
        <w:pStyle w:val="ListParagraph"/>
        <w:ind w:left="0"/>
      </w:pPr>
    </w:p>
    <w:p w14:paraId="30BA2388" w14:textId="72BCF3B3" w:rsidR="00CF71BD" w:rsidRPr="000E667C" w:rsidRDefault="199C40C0" w:rsidP="00BE48FE">
      <w:pPr>
        <w:pStyle w:val="ListParagraph"/>
        <w:ind w:left="0"/>
      </w:pPr>
      <w:r>
        <w:t>Strategy development should be an iterative, inclusive, and transparent process with the community. The initial phase may focus on brainstorming and generating a range of potential strategies that can be refined later in response to additional partner and community input, feasibility considerations, and the structure and requirements of the planning mechanism. As strategies are further developed, additional implementation details can be added, including responsible parties, resources, timelines, and performance measures. Engaging partners and the public throughout this process helps identify opportunities to integrate adaptation planning into multiple community programs and plans.</w:t>
      </w:r>
    </w:p>
    <w:p w14:paraId="350882C9" w14:textId="2366C743" w:rsidR="003921EE" w:rsidRPr="000E667C" w:rsidDel="00622BEE" w:rsidRDefault="199C40C0" w:rsidP="00F706D5">
      <w:pPr>
        <w:spacing w:before="160" w:line="240" w:lineRule="auto"/>
        <w:rPr>
          <w:color w:val="000000" w:themeColor="text1"/>
        </w:rPr>
      </w:pPr>
      <w:r>
        <w:rPr>
          <w:color w:val="000000" w:themeColor="text1"/>
        </w:rPr>
        <w:t xml:space="preserve">The examples below from the </w:t>
      </w:r>
      <w:hyperlink r:id="rId232">
        <w:r>
          <w:rPr>
            <w:rStyle w:val="Hyperlink"/>
          </w:rPr>
          <w:t>Local Mitigation Planning Handbook</w:t>
        </w:r>
      </w:hyperlink>
      <w:r>
        <w:t xml:space="preserve"> illustrate how problem statements</w:t>
      </w:r>
      <w:r>
        <w:rPr>
          <w:color w:val="000000" w:themeColor="text1"/>
        </w:rPr>
        <w:t xml:space="preserve"> can be used to identify a range of strategies.  </w:t>
      </w:r>
    </w:p>
    <w:p w14:paraId="5BD5808E" w14:textId="35087FD2" w:rsidR="00CF71BD" w:rsidRPr="000E667C" w:rsidRDefault="199C40C0" w:rsidP="00BE48FE">
      <w:pPr>
        <w:spacing w:before="160" w:line="240" w:lineRule="auto"/>
        <w:rPr>
          <w:color w:val="000000" w:themeColor="text1"/>
        </w:rPr>
      </w:pPr>
      <w:r>
        <w:rPr>
          <w:b/>
          <w:bCs/>
          <w:color w:val="000000" w:themeColor="text1"/>
        </w:rPr>
        <w:t>Problem Statement</w:t>
      </w:r>
      <w:r>
        <w:rPr>
          <w:color w:val="000000" w:themeColor="text1"/>
        </w:rPr>
        <w:t xml:space="preserve">: </w:t>
      </w:r>
      <w:r>
        <w:t>In wildland-urban interface (WUI) areas, two critical facilities (school and county maintenance shop), 200 low-income residents, and $500 million in property value are at risk from wildfires. Development pressure is also increasing.</w:t>
      </w:r>
    </w:p>
    <w:p w14:paraId="600AD08C" w14:textId="5CA13451" w:rsidR="00CF71BD" w:rsidRPr="000E667C" w:rsidRDefault="199C40C0">
      <w:pPr>
        <w:pStyle w:val="ListParagraph"/>
        <w:widowControl w:val="0"/>
        <w:numPr>
          <w:ilvl w:val="0"/>
          <w:numId w:val="33"/>
        </w:numPr>
        <w:tabs>
          <w:tab w:val="left" w:pos="1620"/>
        </w:tabs>
        <w:autoSpaceDE w:val="0"/>
        <w:autoSpaceDN w:val="0"/>
        <w:spacing w:before="160" w:line="240" w:lineRule="auto"/>
        <w:ind w:left="720"/>
        <w:rPr>
          <w:color w:val="000000" w:themeColor="text1"/>
        </w:rPr>
      </w:pPr>
      <w:r>
        <w:rPr>
          <w:b/>
          <w:bCs/>
        </w:rPr>
        <w:t>Potential Strategies</w:t>
      </w:r>
      <w:r>
        <w:t>:</w:t>
      </w:r>
    </w:p>
    <w:p w14:paraId="2EBBD024" w14:textId="244749D3" w:rsidR="00CF71BD" w:rsidRPr="000E667C" w:rsidRDefault="199C40C0">
      <w:pPr>
        <w:pStyle w:val="ListParagraph"/>
        <w:numPr>
          <w:ilvl w:val="1"/>
          <w:numId w:val="26"/>
        </w:numPr>
        <w:spacing w:line="240" w:lineRule="auto"/>
        <w:rPr>
          <w:color w:val="000000" w:themeColor="text1"/>
        </w:rPr>
      </w:pPr>
      <w:r>
        <w:t>Local Planning Regulations: Adopt a wildfire mitigation ordinance to limit the use and development of wildfire hazard areas to mitigate risk to life and property.</w:t>
      </w:r>
    </w:p>
    <w:p w14:paraId="194770D9" w14:textId="35C6A4C1" w:rsidR="00CF71BD" w:rsidRPr="000E667C" w:rsidRDefault="199C40C0">
      <w:pPr>
        <w:pStyle w:val="ListParagraph"/>
        <w:numPr>
          <w:ilvl w:val="1"/>
          <w:numId w:val="26"/>
        </w:numPr>
        <w:spacing w:line="240" w:lineRule="auto"/>
        <w:rPr>
          <w:color w:val="000000" w:themeColor="text1"/>
        </w:rPr>
      </w:pPr>
      <w:r>
        <w:t>Structure and Infrastructure Projects: Retrofit the school and the county maintenance shop with fire-resistant construction materials and create a defensible space around the buildings.</w:t>
      </w:r>
    </w:p>
    <w:p w14:paraId="0E16AEDF" w14:textId="5D2CEBB1" w:rsidR="00CF71BD" w:rsidRPr="00AB0AAE" w:rsidRDefault="199C40C0">
      <w:pPr>
        <w:pStyle w:val="ListParagraph"/>
        <w:numPr>
          <w:ilvl w:val="1"/>
          <w:numId w:val="26"/>
        </w:numPr>
        <w:spacing w:line="240" w:lineRule="auto"/>
        <w:contextualSpacing w:val="0"/>
        <w:rPr>
          <w:color w:val="000000" w:themeColor="text1"/>
        </w:rPr>
      </w:pPr>
      <w:r>
        <w:t>Natural Systems Protection and Nature-based Solutions (NBS): Identify large tracts of vacant land in high-hazard areas. The Department of Parks can acquire the land to develop trails and preserve open space.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64769" w:rsidRPr="00064769" w14:paraId="3A65CA98" w14:textId="77777777" w:rsidTr="55DEB025">
        <w:trPr>
          <w:trHeight w:val="576"/>
        </w:trPr>
        <w:tc>
          <w:tcPr>
            <w:tcW w:w="9350" w:type="dxa"/>
            <w:shd w:val="clear" w:color="auto" w:fill="1F5383"/>
            <w:vAlign w:val="center"/>
          </w:tcPr>
          <w:p w14:paraId="191AF641" w14:textId="1F47A5DA" w:rsidR="00064769" w:rsidRPr="00064769" w:rsidRDefault="00064769" w:rsidP="00BB5ACB">
            <w:pPr>
              <w:rPr>
                <w:b/>
                <w:bCs/>
                <w:color w:val="FFFFFF" w:themeColor="background1"/>
              </w:rPr>
            </w:pPr>
            <w:r>
              <w:rPr>
                <w:b/>
                <w:bCs/>
                <w:color w:val="FFFFFF" w:themeColor="background1"/>
              </w:rPr>
              <w:t>Case Study: Ramona-Barona Climate Adaptation and Resilience Plan</w:t>
            </w:r>
          </w:p>
        </w:tc>
      </w:tr>
      <w:tr w:rsidR="00064769" w14:paraId="76504F7D" w14:textId="77777777" w:rsidTr="55DEB025">
        <w:tc>
          <w:tcPr>
            <w:tcW w:w="9350" w:type="dxa"/>
            <w:shd w:val="clear" w:color="auto" w:fill="DCEAF7"/>
          </w:tcPr>
          <w:p w14:paraId="02EC8494" w14:textId="77F4AD47" w:rsidR="00064769" w:rsidRDefault="6D04F84D" w:rsidP="0008404F">
            <w:pPr>
              <w:pStyle w:val="BodyText"/>
              <w:spacing w:before="120" w:after="160"/>
              <w:rPr>
                <w:rFonts w:eastAsia="Century Gothic" w:cs="Century Gothic"/>
              </w:rPr>
            </w:pPr>
            <w:r w:rsidRPr="55DEB025">
              <w:rPr>
                <w:rFonts w:eastAsia="Century Gothic" w:cs="Century Gothic"/>
              </w:rPr>
              <w:t xml:space="preserve">The Ramona Municipal Water District and the Barona Band of Mission Indians co-developed the </w:t>
            </w:r>
            <w:hyperlink r:id="rId233">
              <w:r w:rsidRPr="55DEB025">
                <w:rPr>
                  <w:rStyle w:val="Hyperlink"/>
                  <w:rFonts w:eastAsia="Century Gothic" w:cs="Century Gothic"/>
                  <w:i/>
                  <w:iCs/>
                </w:rPr>
                <w:t>Ramona-Barona Climate Adaptation and Resilience Plan</w:t>
              </w:r>
            </w:hyperlink>
            <w:r w:rsidRPr="55DEB025">
              <w:rPr>
                <w:rFonts w:eastAsia="Century Gothic" w:cs="Century Gothic"/>
              </w:rPr>
              <w:t xml:space="preserve"> (CARP) in 2026 that provides a strategic roadmap for enhancing resilience in their rural region of unincorporated San Diego County. Step 3.1 includes an example problem statement from their plan related to wildfire, their proposed </w:t>
            </w:r>
            <w:r w:rsidR="7E1BDB2F" w:rsidRPr="55DEB025">
              <w:rPr>
                <w:rFonts w:eastAsia="Century Gothic" w:cs="Century Gothic"/>
              </w:rPr>
              <w:t>strategies</w:t>
            </w:r>
            <w:r w:rsidRPr="55DEB025">
              <w:rPr>
                <w:rFonts w:eastAsia="Century Gothic" w:cs="Century Gothic"/>
              </w:rPr>
              <w:t xml:space="preserve"> to address concerns with more frequent wildfires and inadequate evacuation routes are:</w:t>
            </w:r>
          </w:p>
          <w:p w14:paraId="46A6DEE8" w14:textId="22F5E19F" w:rsidR="00064769" w:rsidRPr="00064769" w:rsidRDefault="00064769">
            <w:pPr>
              <w:pStyle w:val="ListParagraph"/>
              <w:widowControl w:val="0"/>
              <w:numPr>
                <w:ilvl w:val="0"/>
                <w:numId w:val="33"/>
              </w:numPr>
              <w:tabs>
                <w:tab w:val="left" w:pos="1620"/>
              </w:tabs>
              <w:autoSpaceDE w:val="0"/>
              <w:autoSpaceDN w:val="0"/>
              <w:spacing w:before="160"/>
              <w:ind w:left="720"/>
              <w:rPr>
                <w:rFonts w:eastAsia="Century Gothic" w:cs="Century Gothic"/>
              </w:rPr>
            </w:pPr>
            <w:r>
              <w:rPr>
                <w:rFonts w:eastAsia="Century Gothic" w:cs="Century Gothic"/>
              </w:rPr>
              <w:t xml:space="preserve">“Implement vegetation </w:t>
            </w:r>
            <w:r>
              <w:rPr>
                <w:szCs w:val="22"/>
              </w:rPr>
              <w:t>management</w:t>
            </w:r>
            <w:r>
              <w:rPr>
                <w:rFonts w:eastAsia="Century Gothic" w:cs="Century Gothic"/>
              </w:rPr>
              <w:t xml:space="preserve"> and home-hardening programs,</w:t>
            </w:r>
          </w:p>
          <w:p w14:paraId="0AC24C85" w14:textId="0314B066" w:rsidR="00064769" w:rsidRPr="00064769" w:rsidRDefault="00064769">
            <w:pPr>
              <w:pStyle w:val="ListParagraph"/>
              <w:widowControl w:val="0"/>
              <w:numPr>
                <w:ilvl w:val="0"/>
                <w:numId w:val="33"/>
              </w:numPr>
              <w:tabs>
                <w:tab w:val="left" w:pos="1620"/>
              </w:tabs>
              <w:autoSpaceDE w:val="0"/>
              <w:autoSpaceDN w:val="0"/>
              <w:spacing w:before="160"/>
              <w:ind w:left="720"/>
              <w:rPr>
                <w:rFonts w:eastAsia="Century Gothic" w:cs="Century Gothic"/>
              </w:rPr>
            </w:pPr>
            <w:r>
              <w:rPr>
                <w:rFonts w:eastAsia="Century Gothic" w:cs="Century Gothic"/>
              </w:rPr>
              <w:t xml:space="preserve">Expand defensible space and </w:t>
            </w:r>
            <w:r>
              <w:rPr>
                <w:szCs w:val="22"/>
              </w:rPr>
              <w:t>fuel</w:t>
            </w:r>
            <w:r>
              <w:rPr>
                <w:rFonts w:eastAsia="Century Gothic" w:cs="Century Gothic"/>
              </w:rPr>
              <w:t>-break maintenance,</w:t>
            </w:r>
          </w:p>
          <w:p w14:paraId="5AFE3373" w14:textId="77777777" w:rsidR="00064769" w:rsidRPr="00064769" w:rsidRDefault="00064769">
            <w:pPr>
              <w:pStyle w:val="ListParagraph"/>
              <w:widowControl w:val="0"/>
              <w:numPr>
                <w:ilvl w:val="0"/>
                <w:numId w:val="33"/>
              </w:numPr>
              <w:tabs>
                <w:tab w:val="left" w:pos="1620"/>
              </w:tabs>
              <w:autoSpaceDE w:val="0"/>
              <w:autoSpaceDN w:val="0"/>
              <w:spacing w:before="160"/>
              <w:ind w:left="720"/>
              <w:rPr>
                <w:rFonts w:eastAsia="Century Gothic" w:cs="Century Gothic"/>
              </w:rPr>
            </w:pPr>
            <w:r>
              <w:rPr>
                <w:rFonts w:eastAsia="Century Gothic" w:cs="Century Gothic"/>
              </w:rPr>
              <w:t xml:space="preserve">Upgrade and add signs to </w:t>
            </w:r>
            <w:r>
              <w:rPr>
                <w:szCs w:val="22"/>
              </w:rPr>
              <w:t>evacuation</w:t>
            </w:r>
            <w:r>
              <w:rPr>
                <w:rFonts w:eastAsia="Century Gothic" w:cs="Century Gothic"/>
              </w:rPr>
              <w:t xml:space="preserve"> routes, and</w:t>
            </w:r>
          </w:p>
          <w:p w14:paraId="6E19FEC9" w14:textId="5AD761C4" w:rsidR="00064769" w:rsidRPr="0008404F" w:rsidRDefault="00064769" w:rsidP="0008404F">
            <w:pPr>
              <w:pStyle w:val="BodyText"/>
              <w:numPr>
                <w:ilvl w:val="0"/>
                <w:numId w:val="1"/>
              </w:numPr>
              <w:spacing w:after="120"/>
              <w:rPr>
                <w:rFonts w:eastAsia="Century Gothic" w:cs="Century Gothic"/>
              </w:rPr>
            </w:pPr>
            <w:r>
              <w:rPr>
                <w:rFonts w:eastAsia="Century Gothic" w:cs="Century Gothic"/>
              </w:rPr>
              <w:t>Coordinate interagency response planning through the Ramona Fire Safe Council and countywide wildfire mitigation efforts.”</w:t>
            </w:r>
          </w:p>
        </w:tc>
      </w:tr>
    </w:tbl>
    <w:p w14:paraId="36C0DA84" w14:textId="54657D57" w:rsidR="00CF71BD" w:rsidRPr="000E667C" w:rsidRDefault="008D538A" w:rsidP="00F706D5">
      <w:pPr>
        <w:pStyle w:val="Heading4"/>
        <w:spacing w:after="160" w:line="240" w:lineRule="auto"/>
      </w:pPr>
      <w:r>
        <w:t>Types of Adaptation Strategies</w:t>
      </w:r>
    </w:p>
    <w:p w14:paraId="1F8BCF13" w14:textId="3D3700A8" w:rsidR="00CF71BD" w:rsidRDefault="00CF71BD" w:rsidP="00F706D5">
      <w:pPr>
        <w:pStyle w:val="BodyText"/>
        <w:spacing w:before="160" w:line="240" w:lineRule="auto"/>
      </w:pPr>
      <w:r>
        <w:t>It is important to identify and analyze a range of strategies to address the impacts identified in the Vulnerability Assessment. Even when resources, funding, or support are not immediately available, identifying a broad set of potential strategies allows the community to pursue future funding and implementation opportunities.</w:t>
      </w:r>
    </w:p>
    <w:p w14:paraId="5193CC91" w14:textId="79B80709" w:rsidR="00F706D5" w:rsidRDefault="00CF71BD" w:rsidP="00F706D5">
      <w:pPr>
        <w:spacing w:before="160" w:line="240" w:lineRule="auto"/>
        <w:rPr>
          <w:color w:val="000000" w:themeColor="text1"/>
        </w:rPr>
      </w:pPr>
      <w:r>
        <w:t>It is common to categorize strategies in response to different implementation options. The 2019 Regional Resilience Toolkit provides examples of strategy categories or types:</w:t>
      </w:r>
    </w:p>
    <w:p w14:paraId="75E839CA" w14:textId="4F5DEBF0" w:rsidR="00CF71BD" w:rsidRDefault="00CF71BD">
      <w:pPr>
        <w:pStyle w:val="ListParagraph"/>
        <w:widowControl w:val="0"/>
        <w:numPr>
          <w:ilvl w:val="0"/>
          <w:numId w:val="33"/>
        </w:numPr>
        <w:tabs>
          <w:tab w:val="left" w:pos="1620"/>
        </w:tabs>
        <w:autoSpaceDE w:val="0"/>
        <w:autoSpaceDN w:val="0"/>
        <w:spacing w:before="160" w:line="240" w:lineRule="auto"/>
        <w:ind w:left="720"/>
      </w:pPr>
      <w:r>
        <w:rPr>
          <w:b/>
        </w:rPr>
        <w:t>Programmatic:</w:t>
      </w:r>
      <w:r>
        <w:rPr>
          <w:b/>
          <w:spacing w:val="-6"/>
        </w:rPr>
        <w:t xml:space="preserve"> </w:t>
      </w:r>
      <w:r>
        <w:t>Strategies</w:t>
      </w:r>
      <w:r>
        <w:rPr>
          <w:spacing w:val="-5"/>
        </w:rPr>
        <w:t xml:space="preserve"> </w:t>
      </w:r>
      <w:r>
        <w:t>to</w:t>
      </w:r>
      <w:r>
        <w:rPr>
          <w:spacing w:val="-4"/>
        </w:rPr>
        <w:t xml:space="preserve"> </w:t>
      </w:r>
      <w:r>
        <w:t>expand</w:t>
      </w:r>
      <w:r>
        <w:rPr>
          <w:spacing w:val="-5"/>
        </w:rPr>
        <w:t xml:space="preserve"> </w:t>
      </w:r>
      <w:r>
        <w:t>or</w:t>
      </w:r>
      <w:r>
        <w:rPr>
          <w:spacing w:val="-4"/>
        </w:rPr>
        <w:t xml:space="preserve"> </w:t>
      </w:r>
      <w:r>
        <w:t>create</w:t>
      </w:r>
      <w:r>
        <w:rPr>
          <w:spacing w:val="-5"/>
        </w:rPr>
        <w:t xml:space="preserve"> </w:t>
      </w:r>
      <w:r>
        <w:t>new</w:t>
      </w:r>
      <w:r>
        <w:rPr>
          <w:spacing w:val="-4"/>
        </w:rPr>
        <w:t xml:space="preserve"> </w:t>
      </w:r>
      <w:r>
        <w:t>programs,</w:t>
      </w:r>
      <w:r>
        <w:rPr>
          <w:spacing w:val="-5"/>
        </w:rPr>
        <w:t xml:space="preserve"> </w:t>
      </w:r>
      <w:r>
        <w:t>activities,</w:t>
      </w:r>
      <w:r>
        <w:rPr>
          <w:spacing w:val="-4"/>
        </w:rPr>
        <w:t xml:space="preserve"> </w:t>
      </w:r>
      <w:r>
        <w:rPr>
          <w:spacing w:val="-5"/>
        </w:rPr>
        <w:t xml:space="preserve">and </w:t>
      </w:r>
      <w:r>
        <w:rPr>
          <w:w w:val="90"/>
        </w:rPr>
        <w:t>initiatives</w:t>
      </w:r>
    </w:p>
    <w:p w14:paraId="68FDE42E" w14:textId="3C2C8198" w:rsidR="00CF71BD" w:rsidRDefault="00CF71BD">
      <w:pPr>
        <w:pStyle w:val="ListParagraph"/>
        <w:widowControl w:val="0"/>
        <w:numPr>
          <w:ilvl w:val="0"/>
          <w:numId w:val="33"/>
        </w:numPr>
        <w:tabs>
          <w:tab w:val="left" w:pos="1620"/>
        </w:tabs>
        <w:autoSpaceDE w:val="0"/>
        <w:autoSpaceDN w:val="0"/>
        <w:spacing w:before="160" w:line="240" w:lineRule="auto"/>
        <w:ind w:left="720"/>
      </w:pPr>
      <w:r>
        <w:rPr>
          <w:b/>
        </w:rPr>
        <w:t>Plans,</w:t>
      </w:r>
      <w:r>
        <w:rPr>
          <w:b/>
          <w:spacing w:val="-6"/>
        </w:rPr>
        <w:t xml:space="preserve"> </w:t>
      </w:r>
      <w:r>
        <w:rPr>
          <w:b/>
        </w:rPr>
        <w:t>regulations,</w:t>
      </w:r>
      <w:r>
        <w:rPr>
          <w:b/>
          <w:spacing w:val="-6"/>
        </w:rPr>
        <w:t xml:space="preserve"> </w:t>
      </w:r>
      <w:r>
        <w:rPr>
          <w:b/>
        </w:rPr>
        <w:t>and</w:t>
      </w:r>
      <w:r>
        <w:rPr>
          <w:b/>
          <w:spacing w:val="-6"/>
        </w:rPr>
        <w:t xml:space="preserve"> </w:t>
      </w:r>
      <w:r>
        <w:rPr>
          <w:b/>
        </w:rPr>
        <w:t>policy</w:t>
      </w:r>
      <w:r>
        <w:rPr>
          <w:b/>
          <w:spacing w:val="-6"/>
        </w:rPr>
        <w:t xml:space="preserve"> </w:t>
      </w:r>
      <w:r>
        <w:rPr>
          <w:b/>
        </w:rPr>
        <w:t>development:</w:t>
      </w:r>
      <w:r>
        <w:rPr>
          <w:b/>
          <w:spacing w:val="-7"/>
        </w:rPr>
        <w:t xml:space="preserve"> </w:t>
      </w:r>
      <w:r>
        <w:t>Strategies</w:t>
      </w:r>
      <w:r>
        <w:rPr>
          <w:spacing w:val="-6"/>
        </w:rPr>
        <w:t xml:space="preserve"> </w:t>
      </w:r>
      <w:r>
        <w:t>to</w:t>
      </w:r>
      <w:r>
        <w:rPr>
          <w:spacing w:val="-6"/>
        </w:rPr>
        <w:t xml:space="preserve"> </w:t>
      </w:r>
      <w:r>
        <w:t>develop</w:t>
      </w:r>
      <w:r>
        <w:rPr>
          <w:spacing w:val="-6"/>
        </w:rPr>
        <w:t xml:space="preserve"> </w:t>
      </w:r>
      <w:r>
        <w:t>or</w:t>
      </w:r>
      <w:r>
        <w:rPr>
          <w:spacing w:val="-6"/>
        </w:rPr>
        <w:t xml:space="preserve"> </w:t>
      </w:r>
      <w:r>
        <w:t>revise policies, plans, regulations, and guidelines</w:t>
      </w:r>
    </w:p>
    <w:p w14:paraId="6F27A4D4" w14:textId="5B89414E" w:rsidR="00CF71BD" w:rsidRDefault="00CF71BD">
      <w:pPr>
        <w:pStyle w:val="ListParagraph"/>
        <w:widowControl w:val="0"/>
        <w:numPr>
          <w:ilvl w:val="0"/>
          <w:numId w:val="33"/>
        </w:numPr>
        <w:tabs>
          <w:tab w:val="left" w:pos="1620"/>
        </w:tabs>
        <w:autoSpaceDE w:val="0"/>
        <w:autoSpaceDN w:val="0"/>
        <w:spacing w:before="160" w:line="240" w:lineRule="auto"/>
        <w:ind w:left="720"/>
      </w:pPr>
      <w:r>
        <w:rPr>
          <w:b/>
        </w:rPr>
        <w:t>Capital</w:t>
      </w:r>
      <w:r>
        <w:rPr>
          <w:b/>
          <w:spacing w:val="-2"/>
        </w:rPr>
        <w:t xml:space="preserve"> </w:t>
      </w:r>
      <w:r>
        <w:rPr>
          <w:b/>
        </w:rPr>
        <w:t>improvement/infrastructure</w:t>
      </w:r>
      <w:r>
        <w:rPr>
          <w:b/>
          <w:spacing w:val="-2"/>
        </w:rPr>
        <w:t xml:space="preserve"> </w:t>
      </w:r>
      <w:r>
        <w:rPr>
          <w:b/>
        </w:rPr>
        <w:t>projects:</w:t>
      </w:r>
      <w:r>
        <w:rPr>
          <w:b/>
          <w:spacing w:val="-3"/>
        </w:rPr>
        <w:t xml:space="preserve"> </w:t>
      </w:r>
      <w:r>
        <w:t>Strategies</w:t>
      </w:r>
      <w:r>
        <w:rPr>
          <w:spacing w:val="-2"/>
        </w:rPr>
        <w:t xml:space="preserve"> </w:t>
      </w:r>
      <w:r>
        <w:t>designed</w:t>
      </w:r>
      <w:r>
        <w:rPr>
          <w:spacing w:val="-2"/>
        </w:rPr>
        <w:t xml:space="preserve"> </w:t>
      </w:r>
      <w:r>
        <w:t>to</w:t>
      </w:r>
      <w:r>
        <w:rPr>
          <w:spacing w:val="-2"/>
        </w:rPr>
        <w:t xml:space="preserve"> </w:t>
      </w:r>
      <w:r>
        <w:t xml:space="preserve">address physical and functional deficiencies and needs in the built and natural </w:t>
      </w:r>
      <w:r>
        <w:rPr>
          <w:spacing w:val="-2"/>
        </w:rPr>
        <w:t>environment</w:t>
      </w:r>
    </w:p>
    <w:p w14:paraId="5EEB5D56" w14:textId="56405A50" w:rsidR="00CF71BD" w:rsidRDefault="00CF71BD">
      <w:pPr>
        <w:pStyle w:val="ListParagraph"/>
        <w:widowControl w:val="0"/>
        <w:numPr>
          <w:ilvl w:val="0"/>
          <w:numId w:val="33"/>
        </w:numPr>
        <w:tabs>
          <w:tab w:val="left" w:pos="1620"/>
        </w:tabs>
        <w:autoSpaceDE w:val="0"/>
        <w:autoSpaceDN w:val="0"/>
        <w:spacing w:before="160" w:line="240" w:lineRule="auto"/>
        <w:ind w:left="720"/>
      </w:pPr>
      <w:r>
        <w:rPr>
          <w:b/>
        </w:rPr>
        <w:t>Education/outreach/coordination:</w:t>
      </w:r>
      <w:r>
        <w:rPr>
          <w:b/>
          <w:spacing w:val="-12"/>
        </w:rPr>
        <w:t xml:space="preserve"> </w:t>
      </w:r>
      <w:r>
        <w:t>Strategies</w:t>
      </w:r>
      <w:r>
        <w:rPr>
          <w:spacing w:val="-11"/>
        </w:rPr>
        <w:t xml:space="preserve"> </w:t>
      </w:r>
      <w:r>
        <w:t>related</w:t>
      </w:r>
      <w:r>
        <w:rPr>
          <w:spacing w:val="-11"/>
        </w:rPr>
        <w:t xml:space="preserve"> </w:t>
      </w:r>
      <w:r>
        <w:t>to</w:t>
      </w:r>
      <w:r>
        <w:rPr>
          <w:spacing w:val="-11"/>
        </w:rPr>
        <w:t xml:space="preserve"> </w:t>
      </w:r>
      <w:r>
        <w:t>initiating</w:t>
      </w:r>
      <w:r>
        <w:rPr>
          <w:spacing w:val="-11"/>
        </w:rPr>
        <w:t xml:space="preserve"> </w:t>
      </w:r>
      <w:r>
        <w:t>or</w:t>
      </w:r>
      <w:r>
        <w:rPr>
          <w:spacing w:val="-11"/>
        </w:rPr>
        <w:t xml:space="preserve"> </w:t>
      </w:r>
      <w:r>
        <w:t>expanding partnerships and relationships, communicating and sharing information, and expanding awareness</w:t>
      </w:r>
    </w:p>
    <w:p w14:paraId="0668A40E" w14:textId="7147CA88" w:rsidR="00CF71BD" w:rsidRDefault="00CF71BD">
      <w:pPr>
        <w:pStyle w:val="ListParagraph"/>
        <w:widowControl w:val="0"/>
        <w:numPr>
          <w:ilvl w:val="0"/>
          <w:numId w:val="33"/>
        </w:numPr>
        <w:tabs>
          <w:tab w:val="left" w:pos="1620"/>
        </w:tabs>
        <w:autoSpaceDE w:val="0"/>
        <w:autoSpaceDN w:val="0"/>
        <w:spacing w:before="160" w:line="240" w:lineRule="auto"/>
        <w:ind w:left="720"/>
      </w:pPr>
      <w:r>
        <w:rPr>
          <w:b/>
        </w:rPr>
        <w:t>Evaluation:</w:t>
      </w:r>
      <w:r>
        <w:rPr>
          <w:b/>
          <w:spacing w:val="-7"/>
        </w:rPr>
        <w:t xml:space="preserve"> </w:t>
      </w:r>
      <w:r>
        <w:t>Strategies</w:t>
      </w:r>
      <w:r>
        <w:rPr>
          <w:spacing w:val="-6"/>
        </w:rPr>
        <w:t xml:space="preserve"> </w:t>
      </w:r>
      <w:r>
        <w:t>to</w:t>
      </w:r>
      <w:r>
        <w:rPr>
          <w:spacing w:val="-6"/>
        </w:rPr>
        <w:t xml:space="preserve"> </w:t>
      </w:r>
      <w:r>
        <w:t>improve</w:t>
      </w:r>
      <w:r>
        <w:rPr>
          <w:spacing w:val="-6"/>
        </w:rPr>
        <w:t xml:space="preserve"> </w:t>
      </w:r>
      <w:r>
        <w:t>feedback,</w:t>
      </w:r>
      <w:r>
        <w:rPr>
          <w:spacing w:val="-6"/>
        </w:rPr>
        <w:t xml:space="preserve"> </w:t>
      </w:r>
      <w:r>
        <w:t>input,</w:t>
      </w:r>
      <w:r>
        <w:rPr>
          <w:spacing w:val="-6"/>
        </w:rPr>
        <w:t xml:space="preserve"> </w:t>
      </w:r>
      <w:r>
        <w:t>and</w:t>
      </w:r>
      <w:r>
        <w:rPr>
          <w:spacing w:val="-6"/>
        </w:rPr>
        <w:t xml:space="preserve"> </w:t>
      </w:r>
      <w:r>
        <w:t>data</w:t>
      </w:r>
      <w:r>
        <w:rPr>
          <w:spacing w:val="-6"/>
        </w:rPr>
        <w:t xml:space="preserve"> </w:t>
      </w:r>
      <w:r>
        <w:t>and</w:t>
      </w:r>
      <w:r>
        <w:rPr>
          <w:spacing w:val="-6"/>
        </w:rPr>
        <w:t xml:space="preserve"> </w:t>
      </w:r>
      <w:r>
        <w:t>information</w:t>
      </w:r>
      <w:r>
        <w:rPr>
          <w:spacing w:val="-6"/>
        </w:rPr>
        <w:t xml:space="preserve"> </w:t>
      </w:r>
      <w:r>
        <w:t>or conduct further or new analyses</w:t>
      </w:r>
    </w:p>
    <w:p w14:paraId="13EC76EA" w14:textId="76DEA408" w:rsidR="00CF71BD" w:rsidRDefault="00152581" w:rsidP="000D1A34">
      <w:pPr>
        <w:pStyle w:val="Heading4"/>
        <w:spacing w:after="160" w:line="240" w:lineRule="auto"/>
      </w:pPr>
      <w:r>
        <w:t>Multi-Benefit Strategies and Co-Benefits</w:t>
      </w:r>
    </w:p>
    <w:p w14:paraId="5901D56D" w14:textId="172FFD6F" w:rsidR="00490833" w:rsidRPr="005870FC" w:rsidRDefault="00CF71BD" w:rsidP="00490833">
      <w:pPr>
        <w:spacing w:before="120"/>
        <w:rPr>
          <w:color w:val="000000" w:themeColor="text1"/>
        </w:rPr>
      </w:pPr>
      <w:r>
        <w:rPr>
          <w:color w:val="000000" w:themeColor="text1"/>
        </w:rPr>
        <w:t>Multi-benefit strategies are intentionally designed to achieve multiple outcomes at once. In addition to reducing vulnerability to climate hazards, they can advance equity, public health, ecosystem health, carbon reduction, and overall community well-being.</w:t>
      </w:r>
    </w:p>
    <w:p w14:paraId="58DDB7DF" w14:textId="3BB865A0" w:rsidR="00F846F2" w:rsidRDefault="00CF71BD" w:rsidP="00F846F2">
      <w:pPr>
        <w:pStyle w:val="ListParagraph"/>
        <w:spacing w:line="278" w:lineRule="auto"/>
        <w:ind w:left="0"/>
      </w:pPr>
      <w:r>
        <w:t>A co-benefit is an additional benefit that increases resilience. When evaluating adaptation strategies, the planning team should consider other benefits they may provide, as well as potential tradeoffs. Potential co-benefits and multi-benefits may include, but are not limited to:</w:t>
      </w:r>
    </w:p>
    <w:p w14:paraId="5882B0BD" w14:textId="3253DC60" w:rsidR="00CF71BD" w:rsidRDefault="00CF71BD">
      <w:pPr>
        <w:pStyle w:val="ListParagraph"/>
        <w:numPr>
          <w:ilvl w:val="0"/>
          <w:numId w:val="66"/>
        </w:numPr>
        <w:spacing w:line="278" w:lineRule="auto"/>
      </w:pPr>
      <w:r>
        <w:t>Cost</w:t>
      </w:r>
      <w:r>
        <w:rPr>
          <w:spacing w:val="-4"/>
        </w:rPr>
        <w:t xml:space="preserve"> </w:t>
      </w:r>
      <w:r>
        <w:t>savings</w:t>
      </w:r>
    </w:p>
    <w:p w14:paraId="28C321BF" w14:textId="671B840A" w:rsidR="00CF71BD" w:rsidRDefault="00CF71BD">
      <w:pPr>
        <w:pStyle w:val="ListParagraph"/>
        <w:widowControl w:val="0"/>
        <w:numPr>
          <w:ilvl w:val="0"/>
          <w:numId w:val="33"/>
        </w:numPr>
        <w:tabs>
          <w:tab w:val="left" w:pos="1620"/>
        </w:tabs>
        <w:autoSpaceDE w:val="0"/>
        <w:autoSpaceDN w:val="0"/>
        <w:spacing w:before="160" w:line="240" w:lineRule="auto"/>
        <w:ind w:left="720"/>
      </w:pPr>
      <w:r>
        <w:t>Air quality improvement</w:t>
      </w:r>
    </w:p>
    <w:p w14:paraId="60F2631E" w14:textId="133E3393" w:rsidR="00CF71BD" w:rsidRDefault="00CF71BD">
      <w:pPr>
        <w:pStyle w:val="ListParagraph"/>
        <w:widowControl w:val="0"/>
        <w:numPr>
          <w:ilvl w:val="0"/>
          <w:numId w:val="33"/>
        </w:numPr>
        <w:tabs>
          <w:tab w:val="left" w:pos="1620"/>
        </w:tabs>
        <w:autoSpaceDE w:val="0"/>
        <w:autoSpaceDN w:val="0"/>
        <w:spacing w:before="160" w:line="240" w:lineRule="auto"/>
        <w:ind w:left="720"/>
      </w:pPr>
      <w:r>
        <w:t>Water quality protection</w:t>
      </w:r>
    </w:p>
    <w:p w14:paraId="4DD161B8" w14:textId="35690971" w:rsidR="00CF71BD" w:rsidRDefault="00CF71BD">
      <w:pPr>
        <w:pStyle w:val="ListParagraph"/>
        <w:widowControl w:val="0"/>
        <w:numPr>
          <w:ilvl w:val="0"/>
          <w:numId w:val="33"/>
        </w:numPr>
        <w:tabs>
          <w:tab w:val="left" w:pos="1620"/>
        </w:tabs>
        <w:autoSpaceDE w:val="0"/>
        <w:autoSpaceDN w:val="0"/>
        <w:spacing w:before="160" w:line="240" w:lineRule="auto"/>
        <w:ind w:left="720"/>
      </w:pPr>
      <w:r>
        <w:t>Stormwater management</w:t>
      </w:r>
    </w:p>
    <w:p w14:paraId="749EB84A" w14:textId="66ABB959" w:rsidR="00CF71BD" w:rsidRDefault="00CF71BD">
      <w:pPr>
        <w:pStyle w:val="ListParagraph"/>
        <w:widowControl w:val="0"/>
        <w:numPr>
          <w:ilvl w:val="0"/>
          <w:numId w:val="33"/>
        </w:numPr>
        <w:tabs>
          <w:tab w:val="left" w:pos="1620"/>
        </w:tabs>
        <w:autoSpaceDE w:val="0"/>
        <w:autoSpaceDN w:val="0"/>
        <w:spacing w:before="160" w:line="240" w:lineRule="auto"/>
        <w:ind w:left="720"/>
      </w:pPr>
      <w:r>
        <w:t>Increased public safety</w:t>
      </w:r>
    </w:p>
    <w:p w14:paraId="0810F708" w14:textId="2D1D5924" w:rsidR="00CF71BD" w:rsidRDefault="00CF71BD">
      <w:pPr>
        <w:pStyle w:val="ListParagraph"/>
        <w:widowControl w:val="0"/>
        <w:numPr>
          <w:ilvl w:val="0"/>
          <w:numId w:val="33"/>
        </w:numPr>
        <w:tabs>
          <w:tab w:val="left" w:pos="1620"/>
        </w:tabs>
        <w:autoSpaceDE w:val="0"/>
        <w:autoSpaceDN w:val="0"/>
        <w:spacing w:before="160" w:line="240" w:lineRule="auto"/>
        <w:ind w:left="720"/>
      </w:pPr>
      <w:r>
        <w:t>Recreation, open space, and tourism</w:t>
      </w:r>
    </w:p>
    <w:p w14:paraId="0DE1A309" w14:textId="5BEDB779" w:rsidR="00CF71BD" w:rsidRDefault="00CF71BD">
      <w:pPr>
        <w:pStyle w:val="ListParagraph"/>
        <w:widowControl w:val="0"/>
        <w:numPr>
          <w:ilvl w:val="0"/>
          <w:numId w:val="33"/>
        </w:numPr>
        <w:tabs>
          <w:tab w:val="left" w:pos="1620"/>
        </w:tabs>
        <w:autoSpaceDE w:val="0"/>
        <w:autoSpaceDN w:val="0"/>
        <w:spacing w:before="160" w:line="240" w:lineRule="auto"/>
        <w:ind w:left="720"/>
      </w:pPr>
      <w:r>
        <w:t>Greenhouse gas emissions reduction</w:t>
      </w:r>
    </w:p>
    <w:p w14:paraId="24383B6E" w14:textId="5EF24785" w:rsidR="00CF71BD" w:rsidRDefault="00CF71BD">
      <w:pPr>
        <w:pStyle w:val="ListParagraph"/>
        <w:widowControl w:val="0"/>
        <w:numPr>
          <w:ilvl w:val="0"/>
          <w:numId w:val="33"/>
        </w:numPr>
        <w:tabs>
          <w:tab w:val="left" w:pos="1620"/>
        </w:tabs>
        <w:autoSpaceDE w:val="0"/>
        <w:autoSpaceDN w:val="0"/>
        <w:spacing w:before="160" w:line="240" w:lineRule="auto"/>
        <w:ind w:left="720"/>
      </w:pPr>
      <w:r>
        <w:t>Public health improvement</w:t>
      </w:r>
    </w:p>
    <w:p w14:paraId="1C4CB66B" w14:textId="39E53362" w:rsidR="00CF71BD" w:rsidRDefault="00CF71BD">
      <w:pPr>
        <w:pStyle w:val="ListParagraph"/>
        <w:widowControl w:val="0"/>
        <w:numPr>
          <w:ilvl w:val="0"/>
          <w:numId w:val="33"/>
        </w:numPr>
        <w:tabs>
          <w:tab w:val="left" w:pos="1620"/>
        </w:tabs>
        <w:autoSpaceDE w:val="0"/>
        <w:autoSpaceDN w:val="0"/>
        <w:spacing w:before="160" w:line="240" w:lineRule="auto"/>
        <w:ind w:left="720"/>
      </w:pPr>
      <w:r>
        <w:t>Enhanced or restored natural systems</w:t>
      </w:r>
    </w:p>
    <w:p w14:paraId="45FED6FA" w14:textId="40B20C03" w:rsidR="00CF71BD" w:rsidRDefault="00CF71BD">
      <w:pPr>
        <w:pStyle w:val="ListParagraph"/>
        <w:widowControl w:val="0"/>
        <w:numPr>
          <w:ilvl w:val="0"/>
          <w:numId w:val="33"/>
        </w:numPr>
        <w:tabs>
          <w:tab w:val="left" w:pos="1620"/>
        </w:tabs>
        <w:autoSpaceDE w:val="0"/>
        <w:autoSpaceDN w:val="0"/>
        <w:spacing w:before="160" w:line="240" w:lineRule="auto"/>
        <w:ind w:left="720"/>
      </w:pPr>
      <w:r>
        <w:t>Economic continuity</w:t>
      </w:r>
    </w:p>
    <w:p w14:paraId="7BE0C176" w14:textId="4205F2D4" w:rsidR="002F71B3" w:rsidRDefault="00CF71BD" w:rsidP="001F1579">
      <w:pPr>
        <w:pStyle w:val="BodyText"/>
        <w:spacing w:before="160" w:line="240" w:lineRule="auto"/>
      </w:pPr>
      <w:r>
        <w:t>Ideally, all</w:t>
      </w:r>
      <w:r>
        <w:rPr>
          <w:spacing w:val="-1"/>
        </w:rPr>
        <w:t xml:space="preserve"> </w:t>
      </w:r>
      <w:r>
        <w:t>strategies will</w:t>
      </w:r>
      <w:r>
        <w:rPr>
          <w:spacing w:val="-1"/>
        </w:rPr>
        <w:t xml:space="preserve"> </w:t>
      </w:r>
      <w:r>
        <w:t>have one or more</w:t>
      </w:r>
      <w:r>
        <w:rPr>
          <w:spacing w:val="-8"/>
        </w:rPr>
        <w:t xml:space="preserve"> </w:t>
      </w:r>
      <w:r>
        <w:t>co-benefits.</w:t>
      </w:r>
      <w:r>
        <w:rPr>
          <w:spacing w:val="-8"/>
        </w:rPr>
        <w:t xml:space="preserve"> </w:t>
      </w:r>
      <w:r>
        <w:t>In</w:t>
      </w:r>
      <w:r>
        <w:rPr>
          <w:spacing w:val="-8"/>
        </w:rPr>
        <w:t xml:space="preserve"> </w:t>
      </w:r>
      <w:r>
        <w:t>some</w:t>
      </w:r>
      <w:r>
        <w:rPr>
          <w:spacing w:val="-8"/>
        </w:rPr>
        <w:t xml:space="preserve"> </w:t>
      </w:r>
      <w:r>
        <w:t>cases,</w:t>
      </w:r>
      <w:r>
        <w:rPr>
          <w:spacing w:val="-8"/>
        </w:rPr>
        <w:t xml:space="preserve"> </w:t>
      </w:r>
      <w:r>
        <w:t>the co-benefit</w:t>
      </w:r>
      <w:r>
        <w:rPr>
          <w:spacing w:val="-1"/>
        </w:rPr>
        <w:t xml:space="preserve"> </w:t>
      </w:r>
      <w:r>
        <w:t>may</w:t>
      </w:r>
      <w:r>
        <w:rPr>
          <w:spacing w:val="-1"/>
        </w:rPr>
        <w:t xml:space="preserve"> </w:t>
      </w:r>
      <w:r>
        <w:t>be</w:t>
      </w:r>
      <w:r>
        <w:rPr>
          <w:spacing w:val="-1"/>
        </w:rPr>
        <w:t xml:space="preserve"> </w:t>
      </w:r>
      <w:r>
        <w:t>more</w:t>
      </w:r>
      <w:r>
        <w:rPr>
          <w:spacing w:val="-1"/>
        </w:rPr>
        <w:t xml:space="preserve"> </w:t>
      </w:r>
      <w:r>
        <w:rPr>
          <w:spacing w:val="-2"/>
        </w:rPr>
        <w:t xml:space="preserve">compelling </w:t>
      </w:r>
      <w:r>
        <w:t>than</w:t>
      </w:r>
      <w:r>
        <w:rPr>
          <w:spacing w:val="-6"/>
        </w:rPr>
        <w:t xml:space="preserve"> </w:t>
      </w:r>
      <w:r>
        <w:t>the</w:t>
      </w:r>
      <w:r>
        <w:rPr>
          <w:spacing w:val="-6"/>
        </w:rPr>
        <w:t xml:space="preserve"> </w:t>
      </w:r>
      <w:r>
        <w:t>primary</w:t>
      </w:r>
      <w:r>
        <w:rPr>
          <w:spacing w:val="-6"/>
        </w:rPr>
        <w:t xml:space="preserve"> </w:t>
      </w:r>
      <w:r>
        <w:t>adaptation</w:t>
      </w:r>
      <w:r>
        <w:rPr>
          <w:spacing w:val="-6"/>
        </w:rPr>
        <w:t xml:space="preserve"> </w:t>
      </w:r>
      <w:r>
        <w:t>benefit.</w:t>
      </w:r>
      <w:r>
        <w:rPr>
          <w:spacing w:val="-6"/>
        </w:rPr>
        <w:t xml:space="preserve"> For example, </w:t>
      </w:r>
      <w:r>
        <w:t>identifying land for preservation as open space to serve as a wildfire buffer can also provide valuable co-benefits, such as creating recreational areas and enhancing overall community well-being.</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C15E5" w:rsidRPr="008D246C" w14:paraId="19F369F9" w14:textId="77777777" w:rsidTr="001F1579">
        <w:trPr>
          <w:trHeight w:val="576"/>
        </w:trPr>
        <w:tc>
          <w:tcPr>
            <w:tcW w:w="9350" w:type="dxa"/>
            <w:shd w:val="clear" w:color="auto" w:fill="1F5383"/>
            <w:vAlign w:val="center"/>
          </w:tcPr>
          <w:p w14:paraId="63C50F93" w14:textId="1EBDCFFC" w:rsidR="001C15E5" w:rsidRPr="00EE4684" w:rsidRDefault="001C15E5" w:rsidP="001F1579">
            <w:pPr>
              <w:rPr>
                <w:b/>
                <w:bCs/>
                <w:color w:val="FFFFFF" w:themeColor="background1"/>
              </w:rPr>
            </w:pPr>
            <w:r>
              <w:rPr>
                <w:b/>
                <w:bCs/>
                <w:color w:val="FFFFFF" w:themeColor="background1"/>
              </w:rPr>
              <w:t>Case Study: City of West Sacramento Climate Action and Adaptation Plan</w:t>
            </w:r>
          </w:p>
        </w:tc>
      </w:tr>
      <w:tr w:rsidR="0003156F" w14:paraId="27A76B40" w14:textId="77777777" w:rsidTr="0003156F">
        <w:trPr>
          <w:trHeight w:val="1440"/>
        </w:trPr>
        <w:tc>
          <w:tcPr>
            <w:tcW w:w="9350" w:type="dxa"/>
            <w:shd w:val="clear" w:color="auto" w:fill="DCEAF7"/>
          </w:tcPr>
          <w:p w14:paraId="100EED04" w14:textId="5F7D6955" w:rsidR="0003156F" w:rsidRDefault="0003156F" w:rsidP="00317FD8">
            <w:pPr>
              <w:spacing w:before="120" w:after="120"/>
            </w:pPr>
            <w:r>
              <w:t xml:space="preserve">In June 2025, the </w:t>
            </w:r>
            <w:hyperlink r:id="rId234" w:history="1">
              <w:r>
                <w:rPr>
                  <w:rStyle w:val="Hyperlink"/>
                  <w:i/>
                  <w:iCs/>
                </w:rPr>
                <w:t>City of West Sacramento Climate Action and Adaptation Plan: Roadmap to Reduce Greenhouse Gas Emission &amp; Strengthen Climate Adaptation and Resiliency</w:t>
              </w:r>
            </w:hyperlink>
            <w:r>
              <w:t xml:space="preserve"> was published. They displayed their 26 CAAP actions in a matrix to show how each supports up to 7 co-benefits. Their first 10 actions are captured in </w:t>
            </w:r>
            <w:r>
              <w:rPr>
                <w:u w:val="single"/>
              </w:rPr>
              <w:fldChar w:fldCharType="begin"/>
            </w:r>
            <w:r>
              <w:rPr>
                <w:u w:val="single"/>
              </w:rPr>
              <w:instrText xml:space="preserve"> REF _Ref230967367 \h  \* MERGEFORMAT </w:instrText>
            </w:r>
            <w:r>
              <w:rPr>
                <w:u w:val="single"/>
              </w:rPr>
            </w:r>
            <w:r>
              <w:rPr>
                <w:u w:val="single"/>
              </w:rPr>
              <w:fldChar w:fldCharType="separate"/>
            </w:r>
            <w:r w:rsidR="00517691" w:rsidRPr="00517691">
              <w:rPr>
                <w:u w:val="single"/>
              </w:rPr>
              <w:t xml:space="preserve">Figure </w:t>
            </w:r>
            <w:r w:rsidR="00517691" w:rsidRPr="00517691">
              <w:rPr>
                <w:noProof/>
                <w:u w:val="single"/>
              </w:rPr>
              <w:t>20</w:t>
            </w:r>
            <w:r>
              <w:rPr>
                <w:u w:val="single"/>
              </w:rPr>
              <w:fldChar w:fldCharType="end"/>
            </w:r>
            <w:r>
              <w:t>.</w:t>
            </w:r>
          </w:p>
        </w:tc>
      </w:tr>
      <w:tr w:rsidR="001C15E5" w14:paraId="73F160C9" w14:textId="77777777" w:rsidTr="0003156F">
        <w:trPr>
          <w:trHeight w:val="5328"/>
        </w:trPr>
        <w:tc>
          <w:tcPr>
            <w:tcW w:w="9350" w:type="dxa"/>
            <w:shd w:val="clear" w:color="auto" w:fill="DCEAF7"/>
          </w:tcPr>
          <w:p w14:paraId="2A353AB1" w14:textId="796867A4" w:rsidR="001C15E5" w:rsidRPr="0003156F" w:rsidRDefault="001C15E5" w:rsidP="0003156F">
            <w:pPr>
              <w:rPr>
                <w:sz w:val="12"/>
                <w:szCs w:val="12"/>
              </w:rPr>
            </w:pPr>
          </w:p>
          <w:tbl>
            <w:tblPr>
              <w:tblStyle w:val="TableGrid"/>
              <w:tblW w:w="0" w:type="auto"/>
              <w:tblLook w:val="04A0" w:firstRow="1" w:lastRow="0" w:firstColumn="1" w:lastColumn="0" w:noHBand="0" w:noVBand="1"/>
            </w:tblPr>
            <w:tblGrid>
              <w:gridCol w:w="9124"/>
            </w:tblGrid>
            <w:tr w:rsidR="001C15E5" w14:paraId="2FD50053" w14:textId="77777777" w:rsidTr="001F1579">
              <w:trPr>
                <w:trHeight w:val="432"/>
              </w:trPr>
              <w:tc>
                <w:tcPr>
                  <w:tcW w:w="9124" w:type="dxa"/>
                  <w:shd w:val="clear" w:color="auto" w:fill="000000" w:themeFill="text1"/>
                  <w:vAlign w:val="center"/>
                </w:tcPr>
                <w:p w14:paraId="054B2B9E" w14:textId="3BB5E6D2" w:rsidR="001C15E5" w:rsidRPr="00EE4684" w:rsidRDefault="001C15E5" w:rsidP="001F1579">
                  <w:pPr>
                    <w:rPr>
                      <w:b/>
                      <w:bCs/>
                    </w:rPr>
                  </w:pPr>
                  <w:bookmarkStart w:id="168" w:name="_Ref230967367"/>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20</w:t>
                  </w:r>
                  <w:r>
                    <w:rPr>
                      <w:b/>
                      <w:bCs/>
                    </w:rPr>
                    <w:fldChar w:fldCharType="end"/>
                  </w:r>
                  <w:bookmarkEnd w:id="168"/>
                  <w:r>
                    <w:rPr>
                      <w:b/>
                      <w:bCs/>
                    </w:rPr>
                    <w:t>. West Sacramento’s CAAP displays actions vs co-benefits</w:t>
                  </w:r>
                </w:p>
              </w:tc>
            </w:tr>
            <w:tr w:rsidR="001C15E5" w14:paraId="02C04F19" w14:textId="77777777" w:rsidTr="002F71B3">
              <w:trPr>
                <w:trHeight w:val="4464"/>
              </w:trPr>
              <w:tc>
                <w:tcPr>
                  <w:tcW w:w="9124" w:type="dxa"/>
                  <w:shd w:val="clear" w:color="auto" w:fill="FFFFFF" w:themeFill="background1"/>
                </w:tcPr>
                <w:p w14:paraId="197A4546" w14:textId="77777777" w:rsidR="001C15E5" w:rsidRDefault="001C15E5" w:rsidP="0038391D">
                  <w:pPr>
                    <w:spacing w:before="120" w:after="120"/>
                  </w:pPr>
                  <w:r>
                    <w:rPr>
                      <w:noProof/>
                    </w:rPr>
                    <w:drawing>
                      <wp:inline distT="0" distB="0" distL="0" distR="0" wp14:anchorId="0E1AFFD3" wp14:editId="208C24C9">
                        <wp:extent cx="5638165" cy="3666067"/>
                        <wp:effectExtent l="0" t="0" r="635" b="0"/>
                        <wp:docPr id="80891465" name="Picture 1" descr="Screenshot of Table 3.1 with a column of numbered CAAP actions and a row of co-benefits. Dots are placed in cells that are applicable to both the action and co-ben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1465" name="Picture 1" descr="Screenshot of Table 3.1 with a column of numbered CAAP actions and a row of co-benefits. Dots are placed in cells that are applicable to both the action and co-benefit."/>
                                <pic:cNvPicPr/>
                              </pic:nvPicPr>
                              <pic:blipFill rotWithShape="1">
                                <a:blip r:embed="rId235">
                                  <a:extLst>
                                    <a:ext uri="{BEBA8EAE-BF5A-486C-A8C5-ECC9F3942E4B}">
                                      <a14:imgProps xmlns:a14="http://schemas.microsoft.com/office/drawing/2010/main">
                                        <a14:imgLayer r:embed="rId236">
                                          <a14:imgEffect>
                                            <a14:sharpenSoften amount="25000"/>
                                          </a14:imgEffect>
                                          <a14:imgEffect>
                                            <a14:brightnessContrast bright="11000" contrast="40000"/>
                                          </a14:imgEffect>
                                        </a14:imgLayer>
                                      </a14:imgProps>
                                    </a:ext>
                                  </a:extLst>
                                </a:blip>
                                <a:srcRect t="7038" b="229"/>
                                <a:stretch>
                                  <a:fillRect/>
                                </a:stretch>
                              </pic:blipFill>
                              <pic:spPr bwMode="auto">
                                <a:xfrm>
                                  <a:off x="0" y="0"/>
                                  <a:ext cx="5649914" cy="367370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6A71C32" w14:textId="13F17A36" w:rsidR="001C15E5" w:rsidRPr="00C51DDB" w:rsidRDefault="00C51DDB" w:rsidP="00BB5ACB">
            <w:pPr>
              <w:rPr>
                <w:sz w:val="12"/>
                <w:szCs w:val="12"/>
              </w:rPr>
            </w:pPr>
            <w:r>
              <w:rPr>
                <w:sz w:val="12"/>
                <w:szCs w:val="12"/>
              </w:rPr>
              <w:t xml:space="preserve">  </w:t>
            </w:r>
          </w:p>
        </w:tc>
      </w:tr>
    </w:tbl>
    <w:p w14:paraId="7E880991" w14:textId="35B1BDF9" w:rsidR="006F456E" w:rsidRDefault="00CF71BD" w:rsidP="00E60FAE">
      <w:pPr>
        <w:pStyle w:val="BodyText"/>
        <w:spacing w:before="160" w:line="240" w:lineRule="auto"/>
        <w:rPr>
          <w:szCs w:val="20"/>
        </w:rPr>
      </w:pPr>
      <w:r>
        <w:t>Clearly showing co-benefits of strategies is effective for communicating to the public and decision-makers the value of investing in climate adaptation planning. Co-benefits can advance broader community planning goals, reinforcing the principle of integrating climate adaptation across all plans and policies while delivering multiple, complementary outcomes for the community.</w:t>
      </w:r>
    </w:p>
    <w:p w14:paraId="3BF29B38" w14:textId="77777777" w:rsidR="004B6530" w:rsidRDefault="004B6530" w:rsidP="00E60FAE">
      <w:pPr>
        <w:pStyle w:val="BodyText"/>
        <w:spacing w:before="160" w:line="240" w:lineRule="auto"/>
        <w:rPr>
          <w:szCs w:val="20"/>
        </w:rPr>
      </w:pPr>
    </w:p>
    <w:p w14:paraId="6888DCAC" w14:textId="77777777" w:rsidR="004B6530" w:rsidRDefault="004B6530" w:rsidP="00E60FAE">
      <w:pPr>
        <w:pStyle w:val="BodyText"/>
        <w:spacing w:before="160" w:line="240" w:lineRule="auto"/>
        <w:rPr>
          <w:szCs w:val="20"/>
        </w:rPr>
      </w:pPr>
    </w:p>
    <w:p w14:paraId="62EF7979" w14:textId="77777777" w:rsidR="00091B06" w:rsidRDefault="00091B06" w:rsidP="00E60FAE">
      <w:pPr>
        <w:pStyle w:val="BodyText"/>
        <w:spacing w:before="160" w:line="240" w:lineRule="auto"/>
        <w:rPr>
          <w:szCs w:val="20"/>
        </w:rPr>
      </w:pPr>
    </w:p>
    <w:p w14:paraId="54A41EC2" w14:textId="77777777" w:rsidR="00091B06" w:rsidRDefault="00091B06" w:rsidP="00E60FAE">
      <w:pPr>
        <w:pStyle w:val="BodyText"/>
        <w:spacing w:before="160" w:line="240" w:lineRule="auto"/>
        <w:rPr>
          <w:szCs w:val="20"/>
        </w:rPr>
      </w:pPr>
    </w:p>
    <w:tbl>
      <w:tblPr>
        <w:tblStyle w:val="TableGrid"/>
        <w:tblW w:w="0" w:type="auto"/>
        <w:tblLook w:val="04A0" w:firstRow="1" w:lastRow="0" w:firstColumn="1" w:lastColumn="0" w:noHBand="0" w:noVBand="1"/>
      </w:tblPr>
      <w:tblGrid>
        <w:gridCol w:w="9350"/>
      </w:tblGrid>
      <w:tr w:rsidR="002942FB" w:rsidRPr="00542484" w14:paraId="38928819" w14:textId="77777777" w:rsidTr="001F1579">
        <w:trPr>
          <w:trHeight w:val="576"/>
        </w:trPr>
        <w:tc>
          <w:tcPr>
            <w:tcW w:w="9350" w:type="dxa"/>
            <w:tcBorders>
              <w:top w:val="nil"/>
              <w:left w:val="nil"/>
              <w:bottom w:val="nil"/>
              <w:right w:val="nil"/>
            </w:tcBorders>
            <w:shd w:val="clear" w:color="auto" w:fill="404040" w:themeFill="text1" w:themeFillTint="BF"/>
            <w:vAlign w:val="center"/>
          </w:tcPr>
          <w:p w14:paraId="07BB5402" w14:textId="431A58A4" w:rsidR="002942FB" w:rsidRPr="00D03A89" w:rsidRDefault="002942FB" w:rsidP="001F1579">
            <w:pPr>
              <w:pStyle w:val="CalloutBoxTitle"/>
              <w:rPr>
                <w:color w:val="FFFFFF" w:themeColor="background1"/>
              </w:rPr>
            </w:pPr>
            <w:r>
              <w:rPr>
                <w:color w:val="FFFFFF" w:themeColor="background1"/>
              </w:rPr>
              <w:t>Nature-Based Solutions (NBS)</w:t>
            </w:r>
          </w:p>
        </w:tc>
      </w:tr>
      <w:tr w:rsidR="002942FB" w14:paraId="6072CF84" w14:textId="77777777">
        <w:tc>
          <w:tcPr>
            <w:tcW w:w="9350" w:type="dxa"/>
            <w:tcBorders>
              <w:top w:val="nil"/>
              <w:left w:val="nil"/>
              <w:bottom w:val="nil"/>
              <w:right w:val="nil"/>
            </w:tcBorders>
            <w:shd w:val="clear" w:color="auto" w:fill="F2F2F2" w:themeFill="background1" w:themeFillShade="F2"/>
          </w:tcPr>
          <w:p w14:paraId="3C87179D" w14:textId="2A2F6B6D" w:rsidR="002942FB" w:rsidRDefault="002942FB" w:rsidP="00AE6F3D">
            <w:pPr>
              <w:spacing w:before="120" w:after="120"/>
            </w:pPr>
            <w:r>
              <w:rPr>
                <w:color w:val="1A1A1A"/>
              </w:rPr>
              <w:t xml:space="preserve">Nature-based  solutions </w:t>
            </w:r>
            <w:r>
              <w:rPr>
                <w:color w:val="1A1A1A"/>
                <w:sz w:val="21"/>
                <w:szCs w:val="21"/>
              </w:rPr>
              <w:t xml:space="preserve"> </w:t>
            </w:r>
            <w:r>
              <w:rPr>
                <w:rFonts w:eastAsia="Aptos" w:cs="Arial"/>
                <w:color w:val="1A1A1A"/>
              </w:rPr>
              <w:t xml:space="preserve">that deliver on California’s climate change goals are land management practices that increase the health and resilience of natural systems, which supports their ability to buffer climate impacts and serve as a durable carbon sink (lands that absorb more carbon than they release) </w:t>
            </w:r>
            <w:r>
              <w:t>(</w:t>
            </w:r>
            <w:hyperlink r:id="rId237" w:history="1">
              <w:r>
                <w:rPr>
                  <w:rStyle w:val="Hyperlink"/>
                  <w:color w:val="3333FF"/>
                </w:rPr>
                <w:t>California Climate Adaptation Strategy</w:t>
              </w:r>
            </w:hyperlink>
            <w:r>
              <w:t>, 2024)</w:t>
            </w:r>
            <w:r>
              <w:rPr>
                <w:i/>
                <w:iCs/>
              </w:rPr>
              <w:t>.</w:t>
            </w:r>
          </w:p>
          <w:p w14:paraId="0DED3765" w14:textId="3E1FC50D" w:rsidR="00AE6F3D" w:rsidRPr="00AE6F3D" w:rsidRDefault="00AE6F3D" w:rsidP="00AE6F3D">
            <w:pPr>
              <w:spacing w:before="160" w:after="120"/>
              <w:rPr>
                <w:i/>
                <w:iCs/>
              </w:rPr>
            </w:pPr>
            <w:r>
              <w:rPr>
                <w:color w:val="000000" w:themeColor="text1"/>
              </w:rPr>
              <w:t>One of the strategy’s North Star priorities, “</w:t>
            </w:r>
            <w:hyperlink r:id="rId238" w:history="1">
              <w:r>
                <w:rPr>
                  <w:rStyle w:val="Hyperlink"/>
                  <w:bCs/>
                  <w:szCs w:val="14"/>
                </w:rPr>
                <w:t>Accelerate Nature-Based Climate Solutions and Strengthen Climate Resilience of Natural Systems</w:t>
              </w:r>
            </w:hyperlink>
            <w:r>
              <w:rPr>
                <w:color w:val="000000" w:themeColor="text1"/>
              </w:rPr>
              <w:t>,”</w:t>
            </w:r>
            <w:r>
              <w:rPr>
                <w:i/>
                <w:iCs/>
                <w:color w:val="000000" w:themeColor="text1"/>
              </w:rPr>
              <w:t xml:space="preserve"> </w:t>
            </w:r>
            <w:r>
              <w:rPr>
                <w:color w:val="000000" w:themeColor="text1"/>
              </w:rPr>
              <w:t>encourages adaptation measures that protect natural and managed ecosystems, reduce community exposure to hazards, durably store carbon, and enhance equity and public health.</w:t>
            </w:r>
          </w:p>
        </w:tc>
      </w:tr>
    </w:tbl>
    <w:tbl>
      <w:tblPr>
        <w:tblStyle w:val="TableGrid"/>
        <w:tblW w:w="9450" w:type="dxa"/>
        <w:tblLayout w:type="fixed"/>
        <w:tblLook w:val="04A0" w:firstRow="1" w:lastRow="0" w:firstColumn="1" w:lastColumn="0" w:noHBand="0" w:noVBand="1"/>
      </w:tblPr>
      <w:tblGrid>
        <w:gridCol w:w="9450"/>
      </w:tblGrid>
      <w:tr w:rsidR="000E348E" w14:paraId="7A000001" w14:textId="77777777" w:rsidTr="00921B02">
        <w:trPr>
          <w:trHeight w:val="576"/>
        </w:trPr>
        <w:tc>
          <w:tcPr>
            <w:tcW w:w="9450" w:type="dxa"/>
            <w:tcBorders>
              <w:top w:val="nil"/>
              <w:left w:val="nil"/>
              <w:bottom w:val="nil"/>
              <w:right w:val="nil"/>
            </w:tcBorders>
            <w:shd w:val="clear" w:color="auto" w:fill="1F5383"/>
            <w:vAlign w:val="center"/>
          </w:tcPr>
          <w:p w14:paraId="0BDED1EC" w14:textId="1F767E8D" w:rsidR="000E348E" w:rsidRPr="00BE48FE" w:rsidRDefault="000E348E" w:rsidP="0028335F">
            <w:pPr>
              <w:pStyle w:val="CalloutBoxTitle"/>
              <w:rPr>
                <w:color w:val="FFFFFF" w:themeColor="background1"/>
              </w:rPr>
            </w:pPr>
            <w:bookmarkStart w:id="169" w:name="_bookmark84"/>
            <w:bookmarkEnd w:id="169"/>
            <w:r>
              <w:rPr>
                <w:color w:val="FFFFFF" w:themeColor="background1"/>
              </w:rPr>
              <w:t>Case Study: Wildlife Connectivity as a Nature-Based Solution in the Coachella Valley</w:t>
            </w:r>
          </w:p>
        </w:tc>
      </w:tr>
      <w:tr w:rsidR="000E348E" w14:paraId="7A000002" w14:textId="77777777" w:rsidTr="00921B02">
        <w:tc>
          <w:tcPr>
            <w:tcW w:w="9450" w:type="dxa"/>
            <w:tcBorders>
              <w:top w:val="nil"/>
              <w:left w:val="nil"/>
              <w:bottom w:val="nil"/>
              <w:right w:val="nil"/>
            </w:tcBorders>
            <w:shd w:val="clear" w:color="auto" w:fill="DCEAF7"/>
          </w:tcPr>
          <w:p w14:paraId="6EE7CFF2" w14:textId="77777777" w:rsidR="00FE7BFA" w:rsidRPr="00FE7BFA" w:rsidRDefault="00FE7BFA" w:rsidP="00FE7BFA">
            <w:pPr>
              <w:spacing w:before="160"/>
            </w:pPr>
            <w:r>
              <w:t>In desert and semi-arid landscapes, wildlife connectivity is a critical nature-based climate adaptation strategy. Maintaining connected habitat and movement corridors enables species to shift their ranges in response to changing climate conditions, including movement northward and upslope to track suitable habitat. As climate change alters species distributions, conserving and restoring landscape connectivity increases ecosystem resilience by facilitating dispersal, maintaining genetic exchange, and improving long-term species persistence. Species distribution modeling and climate refugia analyses can be used to identify and prioritize corridor investments where they will provide the greatest adaptation benefits.</w:t>
            </w:r>
          </w:p>
          <w:p w14:paraId="00DCE451" w14:textId="77777777" w:rsidR="005A16E3" w:rsidRDefault="005A16E3" w:rsidP="005A16E3">
            <w:pPr>
              <w:spacing w:before="160"/>
            </w:pPr>
            <w:r>
              <w:t xml:space="preserve">Recent scientific analyses further demonstrate the need for this strategy. Biodiversity modeling conducted for the Desert Conservation and Resilience Initiative projects that approximately 90 percent of desert indicator plant species will shift their distributions northward within the Coachella Valley under future climate conditions. </w:t>
            </w:r>
          </w:p>
          <w:p w14:paraId="352FB132" w14:textId="77777777" w:rsidR="005A16E3" w:rsidRDefault="005A16E3" w:rsidP="005A16E3">
            <w:pPr>
              <w:spacing w:before="160"/>
            </w:pPr>
            <w:r>
              <w:t xml:space="preserve">Complementary genetic studies of the Palm Springs pocket mouse and Coachella Valley round-tailed ground squirrel are evaluating whether existing corridors are effectively supporting these climate-driven movements. </w:t>
            </w:r>
          </w:p>
          <w:p w14:paraId="7F1C6AFE" w14:textId="7EFEFF50" w:rsidR="005A16E3" w:rsidRDefault="00443EC0" w:rsidP="005A16E3">
            <w:pPr>
              <w:spacing w:before="160"/>
            </w:pPr>
            <w:r>
              <w:t>The Coachella region has embedded this approach within the region’s multi-agency conservation framework and is being implemented through several coordinated initiatives:</w:t>
            </w:r>
          </w:p>
          <w:p w14:paraId="742525BC" w14:textId="2E03CCD5" w:rsidR="00443EC0" w:rsidRDefault="005A16E3">
            <w:pPr>
              <w:pStyle w:val="ListParagraph"/>
              <w:numPr>
                <w:ilvl w:val="0"/>
                <w:numId w:val="69"/>
              </w:numPr>
              <w:spacing w:before="160"/>
            </w:pPr>
            <w:r>
              <w:t xml:space="preserve">Land protection efforts, including the acquisition of nearly 160 acres within the Upper Mission Creek/Big Morongo Canyon Conservation Area to complete the Morongo Wash wildlife corridor. </w:t>
            </w:r>
          </w:p>
          <w:p w14:paraId="30F30A6A" w14:textId="3978629D" w:rsidR="005A16E3" w:rsidRDefault="00FE7BFA">
            <w:pPr>
              <w:pStyle w:val="ListParagraph"/>
              <w:numPr>
                <w:ilvl w:val="0"/>
                <w:numId w:val="69"/>
              </w:numPr>
              <w:spacing w:before="160"/>
            </w:pPr>
            <w:r>
              <w:t xml:space="preserve">The SR-62 Wildlife Crossing Project, led by </w:t>
            </w:r>
            <w:r w:rsidR="001F1143">
              <w:t xml:space="preserve">Coachella Valley </w:t>
            </w:r>
            <w:r w:rsidR="00DD550B">
              <w:t>Mountain Conservancy</w:t>
            </w:r>
            <w:r>
              <w:t xml:space="preserve"> in partnership with the Mojave Desert Land Trust and the Wildlife Conservation Board, will improve connectivity across an important elevational gradient linking the low desert to surrounding mountain ecosystems. </w:t>
            </w:r>
          </w:p>
          <w:p w14:paraId="4E217902" w14:textId="5935A316" w:rsidR="00FE7BFA" w:rsidRPr="00FE7BFA" w:rsidRDefault="005A16E3">
            <w:pPr>
              <w:pStyle w:val="ListParagraph"/>
              <w:numPr>
                <w:ilvl w:val="0"/>
                <w:numId w:val="69"/>
              </w:numPr>
              <w:spacing w:before="160"/>
            </w:pPr>
            <w:r>
              <w:t xml:space="preserve">The </w:t>
            </w:r>
            <w:r w:rsidR="006C58BC">
              <w:t xml:space="preserve">2025 </w:t>
            </w:r>
            <w:hyperlink r:id="rId239" w:history="1">
              <w:r w:rsidR="006C58BC">
                <w:rPr>
                  <w:rStyle w:val="Hyperlink"/>
                </w:rPr>
                <w:t xml:space="preserve">Coachella Valley Multiple Species Habitat Conservation Plan </w:t>
              </w:r>
            </w:hyperlink>
            <w:r>
              <w:t>Wildlife Connectivity Assessment identified priority crossing locations along Interstate 10 in the Banning Pass, where design work is now underway to improve wildlife movement through Stubbe Wash and the Whitewater River corridor.</w:t>
            </w:r>
          </w:p>
        </w:tc>
      </w:tr>
    </w:tbl>
    <w:p w14:paraId="2FE4DD32" w14:textId="77777777" w:rsidR="001E654D" w:rsidRPr="001E654D" w:rsidRDefault="008B5F25" w:rsidP="0028335F">
      <w:pPr>
        <w:pStyle w:val="BodyText"/>
        <w:spacing w:before="160" w:line="240" w:lineRule="auto"/>
        <w:rPr>
          <w:b/>
          <w:bCs/>
        </w:rPr>
      </w:pPr>
      <w:r w:rsidRPr="001E654D">
        <w:rPr>
          <w:b/>
          <w:bCs/>
        </w:rPr>
        <w:t>Determining the Appropriate Level of Detail for Adaptation Strategies</w:t>
      </w:r>
    </w:p>
    <w:p w14:paraId="4CEE4F43" w14:textId="7521E1EB" w:rsidR="003256FA" w:rsidRDefault="008B5F25" w:rsidP="001E654D">
      <w:pPr>
        <w:pStyle w:val="BodyText"/>
        <w:spacing w:after="0" w:line="240" w:lineRule="auto"/>
        <w:rPr>
          <w:spacing w:val="-2"/>
        </w:rPr>
      </w:pPr>
      <w:r>
        <w:t>Some</w:t>
      </w:r>
      <w:r>
        <w:rPr>
          <w:spacing w:val="-13"/>
        </w:rPr>
        <w:t xml:space="preserve"> </w:t>
      </w:r>
      <w:r>
        <w:t>strategies</w:t>
      </w:r>
      <w:r>
        <w:rPr>
          <w:spacing w:val="-13"/>
        </w:rPr>
        <w:t xml:space="preserve"> </w:t>
      </w:r>
      <w:r>
        <w:t>look</w:t>
      </w:r>
      <w:r>
        <w:rPr>
          <w:spacing w:val="-12"/>
        </w:rPr>
        <w:t xml:space="preserve"> </w:t>
      </w:r>
      <w:r>
        <w:t>like</w:t>
      </w:r>
      <w:r>
        <w:rPr>
          <w:spacing w:val="-13"/>
        </w:rPr>
        <w:t xml:space="preserve"> </w:t>
      </w:r>
      <w:r>
        <w:t>general</w:t>
      </w:r>
      <w:r>
        <w:rPr>
          <w:spacing w:val="-13"/>
        </w:rPr>
        <w:t xml:space="preserve"> </w:t>
      </w:r>
      <w:r>
        <w:t>statements</w:t>
      </w:r>
      <w:r>
        <w:rPr>
          <w:spacing w:val="-12"/>
        </w:rPr>
        <w:t xml:space="preserve"> </w:t>
      </w:r>
      <w:r>
        <w:t>of</w:t>
      </w:r>
      <w:r>
        <w:rPr>
          <w:spacing w:val="-13"/>
        </w:rPr>
        <w:t xml:space="preserve"> </w:t>
      </w:r>
      <w:r>
        <w:t>policy</w:t>
      </w:r>
      <w:r>
        <w:rPr>
          <w:spacing w:val="-12"/>
        </w:rPr>
        <w:t xml:space="preserve"> </w:t>
      </w:r>
      <w:r>
        <w:t>preference</w:t>
      </w:r>
      <w:r>
        <w:rPr>
          <w:spacing w:val="-13"/>
        </w:rPr>
        <w:t xml:space="preserve"> </w:t>
      </w:r>
      <w:r>
        <w:t>or</w:t>
      </w:r>
      <w:r>
        <w:rPr>
          <w:spacing w:val="-13"/>
        </w:rPr>
        <w:t xml:space="preserve"> </w:t>
      </w:r>
      <w:r>
        <w:t>desired</w:t>
      </w:r>
      <w:r>
        <w:rPr>
          <w:spacing w:val="-12"/>
        </w:rPr>
        <w:t xml:space="preserve"> </w:t>
      </w:r>
      <w:r>
        <w:t>direction,</w:t>
      </w:r>
      <w:r>
        <w:rPr>
          <w:spacing w:val="-13"/>
        </w:rPr>
        <w:t xml:space="preserve"> </w:t>
      </w:r>
      <w:r>
        <w:t xml:space="preserve">and </w:t>
      </w:r>
      <w:r>
        <w:rPr>
          <w:spacing w:val="-2"/>
        </w:rPr>
        <w:t>others</w:t>
      </w:r>
      <w:r>
        <w:rPr>
          <w:spacing w:val="-12"/>
        </w:rPr>
        <w:t xml:space="preserve"> </w:t>
      </w:r>
      <w:r>
        <w:rPr>
          <w:spacing w:val="-2"/>
        </w:rPr>
        <w:t>are</w:t>
      </w:r>
      <w:r>
        <w:rPr>
          <w:spacing w:val="-12"/>
        </w:rPr>
        <w:t xml:space="preserve"> </w:t>
      </w:r>
      <w:r>
        <w:rPr>
          <w:spacing w:val="-2"/>
        </w:rPr>
        <w:t>highly</w:t>
      </w:r>
      <w:r>
        <w:rPr>
          <w:spacing w:val="-12"/>
        </w:rPr>
        <w:t xml:space="preserve"> </w:t>
      </w:r>
      <w:r>
        <w:rPr>
          <w:spacing w:val="-2"/>
        </w:rPr>
        <w:t>detailed</w:t>
      </w:r>
      <w:r>
        <w:rPr>
          <w:spacing w:val="-12"/>
        </w:rPr>
        <w:t xml:space="preserve"> </w:t>
      </w:r>
      <w:r>
        <w:rPr>
          <w:spacing w:val="-2"/>
        </w:rPr>
        <w:t>and</w:t>
      </w:r>
      <w:r>
        <w:rPr>
          <w:spacing w:val="-12"/>
        </w:rPr>
        <w:t xml:space="preserve"> </w:t>
      </w:r>
      <w:r>
        <w:rPr>
          <w:spacing w:val="-2"/>
        </w:rPr>
        <w:t>contain</w:t>
      </w:r>
      <w:r>
        <w:rPr>
          <w:spacing w:val="-12"/>
        </w:rPr>
        <w:t xml:space="preserve"> </w:t>
      </w:r>
      <w:r>
        <w:rPr>
          <w:spacing w:val="-2"/>
        </w:rPr>
        <w:t>specific</w:t>
      </w:r>
      <w:r>
        <w:rPr>
          <w:spacing w:val="-12"/>
        </w:rPr>
        <w:t xml:space="preserve"> </w:t>
      </w:r>
      <w:r>
        <w:rPr>
          <w:spacing w:val="-2"/>
        </w:rPr>
        <w:t>implementation</w:t>
      </w:r>
      <w:r>
        <w:rPr>
          <w:spacing w:val="-12"/>
        </w:rPr>
        <w:t xml:space="preserve"> </w:t>
      </w:r>
      <w:r>
        <w:rPr>
          <w:spacing w:val="-2"/>
        </w:rPr>
        <w:t>direction.</w:t>
      </w:r>
    </w:p>
    <w:tbl>
      <w:tblPr>
        <w:tblStyle w:val="TableGrid"/>
        <w:tblW w:w="0" w:type="auto"/>
        <w:tblLook w:val="04A0" w:firstRow="1" w:lastRow="0" w:firstColumn="1" w:lastColumn="0" w:noHBand="0" w:noVBand="1"/>
      </w:tblPr>
      <w:tblGrid>
        <w:gridCol w:w="9350"/>
      </w:tblGrid>
      <w:tr w:rsidR="00224CC0" w:rsidRPr="00224CC0" w14:paraId="1B8EFD36" w14:textId="77777777" w:rsidTr="0028335F">
        <w:trPr>
          <w:trHeight w:val="576"/>
        </w:trPr>
        <w:tc>
          <w:tcPr>
            <w:tcW w:w="9350" w:type="dxa"/>
            <w:tcBorders>
              <w:top w:val="nil"/>
              <w:left w:val="nil"/>
              <w:bottom w:val="nil"/>
              <w:right w:val="nil"/>
            </w:tcBorders>
            <w:shd w:val="clear" w:color="auto" w:fill="1F5383"/>
            <w:vAlign w:val="center"/>
          </w:tcPr>
          <w:p w14:paraId="0BECEEBA" w14:textId="1FDE9F20" w:rsidR="00224CC0" w:rsidRPr="00224CC0" w:rsidRDefault="00224CC0" w:rsidP="0028335F">
            <w:pPr>
              <w:pStyle w:val="BodyText"/>
              <w:rPr>
                <w:b/>
                <w:bCs/>
                <w:color w:val="FFFFFF" w:themeColor="background1"/>
                <w:spacing w:val="-2"/>
              </w:rPr>
            </w:pPr>
            <w:r>
              <w:rPr>
                <w:b/>
                <w:bCs/>
                <w:color w:val="FFFFFF" w:themeColor="background1"/>
                <w:spacing w:val="-2"/>
              </w:rPr>
              <w:t xml:space="preserve">Case </w:t>
            </w:r>
            <w:r>
              <w:rPr>
                <w:b/>
                <w:color w:val="FFFFFF" w:themeColor="background1"/>
              </w:rPr>
              <w:t>Study: Safety Element Strategies</w:t>
            </w:r>
          </w:p>
        </w:tc>
      </w:tr>
      <w:tr w:rsidR="003C016C" w14:paraId="6900A405" w14:textId="77777777" w:rsidTr="003C016C">
        <w:tc>
          <w:tcPr>
            <w:tcW w:w="9350" w:type="dxa"/>
            <w:tcBorders>
              <w:top w:val="nil"/>
              <w:left w:val="nil"/>
              <w:bottom w:val="nil"/>
              <w:right w:val="nil"/>
            </w:tcBorders>
            <w:shd w:val="clear" w:color="auto" w:fill="DCEAF7"/>
          </w:tcPr>
          <w:p w14:paraId="1A52B4EA" w14:textId="17976212" w:rsidR="003C016C" w:rsidRDefault="003C016C" w:rsidP="007B0402">
            <w:pPr>
              <w:pStyle w:val="BodyText"/>
              <w:spacing w:before="120" w:after="160"/>
            </w:pPr>
            <w:r>
              <w:rPr>
                <w:spacing w:val="-2"/>
              </w:rPr>
              <w:t>The</w:t>
            </w:r>
            <w:r>
              <w:rPr>
                <w:spacing w:val="-12"/>
              </w:rPr>
              <w:t xml:space="preserve"> </w:t>
            </w:r>
            <w:r>
              <w:rPr>
                <w:spacing w:val="-2"/>
              </w:rPr>
              <w:t xml:space="preserve">following </w:t>
            </w:r>
            <w:r>
              <w:t>strategies</w:t>
            </w:r>
            <w:r>
              <w:rPr>
                <w:spacing w:val="-7"/>
              </w:rPr>
              <w:t xml:space="preserve"> </w:t>
            </w:r>
            <w:r>
              <w:t>are</w:t>
            </w:r>
            <w:r>
              <w:rPr>
                <w:spacing w:val="-7"/>
              </w:rPr>
              <w:t xml:space="preserve"> </w:t>
            </w:r>
            <w:r>
              <w:t>from</w:t>
            </w:r>
            <w:r>
              <w:rPr>
                <w:spacing w:val="-7"/>
              </w:rPr>
              <w:t xml:space="preserve"> </w:t>
            </w:r>
            <w:r>
              <w:t>the</w:t>
            </w:r>
            <w:r>
              <w:rPr>
                <w:spacing w:val="-7"/>
              </w:rPr>
              <w:t xml:space="preserve"> </w:t>
            </w:r>
            <w:hyperlink r:id="rId240" w:history="1">
              <w:r>
                <w:rPr>
                  <w:rStyle w:val="Hyperlink"/>
                </w:rPr>
                <w:t>Town</w:t>
              </w:r>
              <w:r>
                <w:rPr>
                  <w:rStyle w:val="Hyperlink"/>
                  <w:spacing w:val="-7"/>
                </w:rPr>
                <w:t xml:space="preserve"> </w:t>
              </w:r>
              <w:r>
                <w:rPr>
                  <w:rStyle w:val="Hyperlink"/>
                </w:rPr>
                <w:t>of</w:t>
              </w:r>
              <w:r>
                <w:rPr>
                  <w:rStyle w:val="Hyperlink"/>
                  <w:spacing w:val="-7"/>
                </w:rPr>
                <w:t xml:space="preserve"> </w:t>
              </w:r>
              <w:r>
                <w:rPr>
                  <w:rStyle w:val="Hyperlink"/>
                </w:rPr>
                <w:t>Mammoth</w:t>
              </w:r>
              <w:r>
                <w:rPr>
                  <w:rStyle w:val="Hyperlink"/>
                  <w:spacing w:val="-7"/>
                </w:rPr>
                <w:t xml:space="preserve"> </w:t>
              </w:r>
              <w:r>
                <w:rPr>
                  <w:rStyle w:val="Hyperlink"/>
                </w:rPr>
                <w:t>Lakes</w:t>
              </w:r>
              <w:r>
                <w:rPr>
                  <w:rStyle w:val="Hyperlink"/>
                  <w:spacing w:val="-7"/>
                </w:rPr>
                <w:t xml:space="preserve"> </w:t>
              </w:r>
              <w:r>
                <w:rPr>
                  <w:rStyle w:val="Hyperlink"/>
                </w:rPr>
                <w:t>Safety</w:t>
              </w:r>
              <w:r>
                <w:rPr>
                  <w:rStyle w:val="Hyperlink"/>
                  <w:spacing w:val="-7"/>
                </w:rPr>
                <w:t xml:space="preserve"> </w:t>
              </w:r>
              <w:r>
                <w:rPr>
                  <w:rStyle w:val="Hyperlink"/>
                </w:rPr>
                <w:t>Element</w:t>
              </w:r>
            </w:hyperlink>
            <w:r>
              <w:t>, updated in 2019.</w:t>
            </w:r>
          </w:p>
          <w:p w14:paraId="71F32496" w14:textId="4CA6D7CB" w:rsidR="003C016C" w:rsidRDefault="003C016C" w:rsidP="00480243">
            <w:pPr>
              <w:pStyle w:val="BodyText"/>
              <w:rPr>
                <w:b/>
              </w:rPr>
            </w:pPr>
            <w:r>
              <w:t>General Statements</w:t>
            </w:r>
            <w:r>
              <w:rPr>
                <w:b/>
              </w:rPr>
              <w:t>:</w:t>
            </w:r>
          </w:p>
          <w:p w14:paraId="17CF7572" w14:textId="7D2075DB" w:rsidR="003C016C" w:rsidRPr="00554EF8" w:rsidRDefault="003C016C">
            <w:pPr>
              <w:pStyle w:val="ListParagraph"/>
              <w:widowControl w:val="0"/>
              <w:numPr>
                <w:ilvl w:val="0"/>
                <w:numId w:val="33"/>
              </w:numPr>
              <w:tabs>
                <w:tab w:val="left" w:pos="1620"/>
              </w:tabs>
              <w:autoSpaceDE w:val="0"/>
              <w:autoSpaceDN w:val="0"/>
              <w:spacing w:before="160" w:after="160"/>
              <w:ind w:left="720"/>
              <w:rPr>
                <w:szCs w:val="22"/>
              </w:rPr>
            </w:pPr>
            <w:r>
              <w:t>Establish</w:t>
            </w:r>
            <w:r>
              <w:rPr>
                <w:spacing w:val="-3"/>
              </w:rPr>
              <w:t xml:space="preserve"> </w:t>
            </w:r>
            <w:r>
              <w:t>public</w:t>
            </w:r>
            <w:r>
              <w:rPr>
                <w:spacing w:val="-3"/>
              </w:rPr>
              <w:t xml:space="preserve"> </w:t>
            </w:r>
            <w:r>
              <w:t>outreach</w:t>
            </w:r>
            <w:r>
              <w:rPr>
                <w:spacing w:val="-3"/>
              </w:rPr>
              <w:t xml:space="preserve"> </w:t>
            </w:r>
            <w:r>
              <w:t>and</w:t>
            </w:r>
            <w:r>
              <w:rPr>
                <w:spacing w:val="-3"/>
              </w:rPr>
              <w:t xml:space="preserve"> </w:t>
            </w:r>
            <w:r>
              <w:t>education</w:t>
            </w:r>
            <w:r>
              <w:rPr>
                <w:spacing w:val="-3"/>
              </w:rPr>
              <w:t xml:space="preserve"> </w:t>
            </w:r>
            <w:r>
              <w:t>programs</w:t>
            </w:r>
            <w:r>
              <w:rPr>
                <w:spacing w:val="-3"/>
              </w:rPr>
              <w:t xml:space="preserve"> </w:t>
            </w:r>
            <w:r>
              <w:t>to</w:t>
            </w:r>
            <w:r>
              <w:rPr>
                <w:spacing w:val="-3"/>
              </w:rPr>
              <w:t xml:space="preserve"> </w:t>
            </w:r>
            <w:r>
              <w:t>inform</w:t>
            </w:r>
            <w:r>
              <w:rPr>
                <w:spacing w:val="-3"/>
              </w:rPr>
              <w:t xml:space="preserve"> </w:t>
            </w:r>
            <w:r>
              <w:t>residents,</w:t>
            </w:r>
            <w:r>
              <w:rPr>
                <w:spacing w:val="-3"/>
              </w:rPr>
              <w:t xml:space="preserve"> </w:t>
            </w:r>
            <w:r>
              <w:t xml:space="preserve">businesses, and visitors of air </w:t>
            </w:r>
            <w:r>
              <w:rPr>
                <w:szCs w:val="22"/>
              </w:rPr>
              <w:t>quality alerts.</w:t>
            </w:r>
          </w:p>
          <w:p w14:paraId="0CD96012" w14:textId="62AC940C" w:rsidR="003C016C" w:rsidRPr="00554EF8" w:rsidRDefault="003C016C">
            <w:pPr>
              <w:pStyle w:val="ListParagraph"/>
              <w:widowControl w:val="0"/>
              <w:numPr>
                <w:ilvl w:val="0"/>
                <w:numId w:val="33"/>
              </w:numPr>
              <w:tabs>
                <w:tab w:val="left" w:pos="1620"/>
              </w:tabs>
              <w:autoSpaceDE w:val="0"/>
              <w:autoSpaceDN w:val="0"/>
              <w:spacing w:before="160" w:after="160"/>
              <w:ind w:left="720"/>
              <w:rPr>
                <w:szCs w:val="22"/>
              </w:rPr>
            </w:pPr>
            <w:r>
              <w:rPr>
                <w:szCs w:val="22"/>
              </w:rPr>
              <w:t>Support sustainable and feasible forest thinning by product economies and markets to create a revenue stream for mechanical treatments required to meet wildfire mitigation and protection needs.</w:t>
            </w:r>
          </w:p>
          <w:p w14:paraId="0A475B39" w14:textId="6D2B8F58" w:rsidR="003C016C" w:rsidRDefault="003C016C">
            <w:pPr>
              <w:pStyle w:val="ListParagraph"/>
              <w:widowControl w:val="0"/>
              <w:numPr>
                <w:ilvl w:val="0"/>
                <w:numId w:val="33"/>
              </w:numPr>
              <w:tabs>
                <w:tab w:val="left" w:pos="1620"/>
              </w:tabs>
              <w:autoSpaceDE w:val="0"/>
              <w:autoSpaceDN w:val="0"/>
              <w:spacing w:before="160" w:after="160"/>
              <w:ind w:left="720"/>
            </w:pPr>
            <w:r>
              <w:rPr>
                <w:szCs w:val="22"/>
              </w:rPr>
              <w:t xml:space="preserve">Increase the groundwater recharge </w:t>
            </w:r>
            <w:r>
              <w:t>potential</w:t>
            </w:r>
            <w:r>
              <w:rPr>
                <w:spacing w:val="-6"/>
              </w:rPr>
              <w:t xml:space="preserve"> </w:t>
            </w:r>
            <w:r>
              <w:t>within</w:t>
            </w:r>
            <w:r>
              <w:rPr>
                <w:spacing w:val="-5"/>
              </w:rPr>
              <w:t xml:space="preserve"> </w:t>
            </w:r>
            <w:r>
              <w:t>the</w:t>
            </w:r>
            <w:r>
              <w:rPr>
                <w:spacing w:val="-5"/>
              </w:rPr>
              <w:t xml:space="preserve"> </w:t>
            </w:r>
            <w:r>
              <w:t>Town</w:t>
            </w:r>
            <w:r>
              <w:rPr>
                <w:spacing w:val="-5"/>
              </w:rPr>
              <w:t xml:space="preserve"> </w:t>
            </w:r>
            <w:r>
              <w:t>boundaries</w:t>
            </w:r>
            <w:r>
              <w:rPr>
                <w:spacing w:val="-5"/>
              </w:rPr>
              <w:t xml:space="preserve"> </w:t>
            </w:r>
            <w:r>
              <w:t>and surrounding areas.</w:t>
            </w:r>
          </w:p>
          <w:p w14:paraId="6E835486" w14:textId="3A5D9BA7" w:rsidR="003C016C" w:rsidRDefault="003C016C">
            <w:pPr>
              <w:pStyle w:val="ListParagraph"/>
              <w:numPr>
                <w:ilvl w:val="0"/>
                <w:numId w:val="21"/>
              </w:numPr>
              <w:ind w:left="720"/>
            </w:pPr>
            <w:r>
              <w:t>Encourage</w:t>
            </w:r>
            <w:r>
              <w:rPr>
                <w:spacing w:val="-5"/>
              </w:rPr>
              <w:t xml:space="preserve"> </w:t>
            </w:r>
            <w:r>
              <w:t>a</w:t>
            </w:r>
            <w:r>
              <w:rPr>
                <w:spacing w:val="-5"/>
              </w:rPr>
              <w:t xml:space="preserve"> </w:t>
            </w:r>
            <w:r>
              <w:t>drought</w:t>
            </w:r>
            <w:r>
              <w:rPr>
                <w:spacing w:val="-5"/>
              </w:rPr>
              <w:t xml:space="preserve"> </w:t>
            </w:r>
            <w:r>
              <w:t>tolerant</w:t>
            </w:r>
            <w:r>
              <w:rPr>
                <w:spacing w:val="-5"/>
              </w:rPr>
              <w:t xml:space="preserve"> </w:t>
            </w:r>
            <w:r>
              <w:t>and</w:t>
            </w:r>
            <w:r>
              <w:rPr>
                <w:spacing w:val="-5"/>
              </w:rPr>
              <w:t xml:space="preserve"> </w:t>
            </w:r>
            <w:r>
              <w:t>fire-resistant</w:t>
            </w:r>
            <w:r>
              <w:rPr>
                <w:spacing w:val="-5"/>
              </w:rPr>
              <w:t xml:space="preserve"> </w:t>
            </w:r>
            <w:r>
              <w:t>landscaping</w:t>
            </w:r>
            <w:r>
              <w:rPr>
                <w:spacing w:val="-5"/>
              </w:rPr>
              <w:t xml:space="preserve"> </w:t>
            </w:r>
            <w:r>
              <w:t>demonstration garden to encourage public participation in water conservation and fire preparedness efforts</w:t>
            </w:r>
            <w:r>
              <w:rPr>
                <w:spacing w:val="-14"/>
              </w:rPr>
              <w:t>.</w:t>
            </w:r>
          </w:p>
          <w:p w14:paraId="3F4E8913" w14:textId="70C924CE" w:rsidR="003C016C" w:rsidRDefault="003C016C" w:rsidP="00224CC0">
            <w:pPr>
              <w:pStyle w:val="BodyText"/>
              <w:spacing w:before="160" w:after="160"/>
            </w:pPr>
            <w:r>
              <w:t>Detailed</w:t>
            </w:r>
            <w:r>
              <w:rPr>
                <w:spacing w:val="-6"/>
              </w:rPr>
              <w:t xml:space="preserve"> </w:t>
            </w:r>
            <w:r>
              <w:t>Implementation</w:t>
            </w:r>
            <w:r>
              <w:rPr>
                <w:spacing w:val="-5"/>
              </w:rPr>
              <w:t xml:space="preserve"> </w:t>
            </w:r>
            <w:r>
              <w:rPr>
                <w:spacing w:val="-2"/>
              </w:rPr>
              <w:t>Direction:</w:t>
            </w:r>
          </w:p>
          <w:p w14:paraId="42ED6310" w14:textId="2B2B439B" w:rsidR="003C016C" w:rsidRPr="00554EF8" w:rsidRDefault="003C016C">
            <w:pPr>
              <w:pStyle w:val="ListParagraph"/>
              <w:widowControl w:val="0"/>
              <w:numPr>
                <w:ilvl w:val="0"/>
                <w:numId w:val="33"/>
              </w:numPr>
              <w:tabs>
                <w:tab w:val="left" w:pos="1620"/>
              </w:tabs>
              <w:autoSpaceDE w:val="0"/>
              <w:autoSpaceDN w:val="0"/>
              <w:spacing w:before="160" w:after="160"/>
              <w:ind w:left="720"/>
              <w:rPr>
                <w:szCs w:val="22"/>
              </w:rPr>
            </w:pPr>
            <w:r>
              <w:t>Expand</w:t>
            </w:r>
            <w:r>
              <w:rPr>
                <w:spacing w:val="-3"/>
              </w:rPr>
              <w:t xml:space="preserve"> </w:t>
            </w:r>
            <w:r>
              <w:t>the</w:t>
            </w:r>
            <w:r>
              <w:rPr>
                <w:spacing w:val="-3"/>
              </w:rPr>
              <w:t xml:space="preserve"> </w:t>
            </w:r>
            <w:r>
              <w:rPr>
                <w:szCs w:val="22"/>
              </w:rPr>
              <w:t>Mammoth Lakes Mosquito Abatement District to include all areas within the Town boundary.</w:t>
            </w:r>
          </w:p>
          <w:p w14:paraId="27FE2964" w14:textId="2396FDE2" w:rsidR="003C016C" w:rsidRPr="00554EF8" w:rsidRDefault="003C016C">
            <w:pPr>
              <w:pStyle w:val="ListParagraph"/>
              <w:widowControl w:val="0"/>
              <w:numPr>
                <w:ilvl w:val="0"/>
                <w:numId w:val="33"/>
              </w:numPr>
              <w:tabs>
                <w:tab w:val="left" w:pos="1620"/>
              </w:tabs>
              <w:autoSpaceDE w:val="0"/>
              <w:autoSpaceDN w:val="0"/>
              <w:spacing w:before="160" w:after="160"/>
              <w:ind w:left="720"/>
              <w:rPr>
                <w:szCs w:val="22"/>
              </w:rPr>
            </w:pPr>
            <w:r>
              <w:rPr>
                <w:szCs w:val="22"/>
              </w:rPr>
              <w:t>Encourage Mammoth Community Water District</w:t>
            </w:r>
            <w:r w:rsidR="00DE7802">
              <w:rPr>
                <w:szCs w:val="22"/>
              </w:rPr>
              <w:t xml:space="preserve"> </w:t>
            </w:r>
            <w:r>
              <w:rPr>
                <w:szCs w:val="22"/>
              </w:rPr>
              <w:t>to add water wells to increase water supply reliability during drought years.</w:t>
            </w:r>
          </w:p>
          <w:p w14:paraId="5C86AD3B" w14:textId="1028F6F7" w:rsidR="003C016C" w:rsidRDefault="003C016C">
            <w:pPr>
              <w:pStyle w:val="ListParagraph"/>
              <w:widowControl w:val="0"/>
              <w:numPr>
                <w:ilvl w:val="0"/>
                <w:numId w:val="33"/>
              </w:numPr>
              <w:tabs>
                <w:tab w:val="left" w:pos="1620"/>
              </w:tabs>
              <w:autoSpaceDE w:val="0"/>
              <w:autoSpaceDN w:val="0"/>
              <w:spacing w:before="160" w:after="160"/>
              <w:ind w:left="720"/>
            </w:pPr>
            <w:r>
              <w:rPr>
                <w:szCs w:val="22"/>
              </w:rPr>
              <w:t>Improve wildfire management coordination between the Town, the Great Basin Unified Air Pollution Control District, Cal FIRE, and U.S. Forest Service (USFS), to mitigate economic impacts of prescribed or managed fires</w:t>
            </w:r>
            <w:r>
              <w:t>.</w:t>
            </w:r>
          </w:p>
          <w:p w14:paraId="0469C6EA" w14:textId="65C97D4B" w:rsidR="003C016C" w:rsidRPr="003C016C" w:rsidRDefault="003C016C">
            <w:pPr>
              <w:pStyle w:val="ListParagraph"/>
              <w:numPr>
                <w:ilvl w:val="0"/>
                <w:numId w:val="21"/>
              </w:numPr>
              <w:spacing w:after="120"/>
              <w:ind w:left="720"/>
              <w:contextualSpacing w:val="0"/>
            </w:pPr>
            <w:r>
              <w:t>Work with Mammoth Lakes Fire Protection District to create a Land Inventory using GIS to identify fuel reduction status and points of contact.</w:t>
            </w:r>
          </w:p>
        </w:tc>
      </w:tr>
    </w:tbl>
    <w:p w14:paraId="618DB97A" w14:textId="78F1DF54" w:rsidR="00864156" w:rsidRDefault="00CF71BD" w:rsidP="0028335F">
      <w:pPr>
        <w:pStyle w:val="ListParagraph"/>
        <w:spacing w:before="160" w:line="240" w:lineRule="auto"/>
        <w:ind w:left="0"/>
        <w:contextualSpacing w:val="0"/>
      </w:pPr>
      <w:r>
        <w:t>Where possible, strategies should provide details about who is responsible for the strategy and how it will be achieved and measured. Considering how strategies are measured and assessed is important in this phase of the planning process (more information on strategy assessment is in Phase 4.3). Providing these details supports implementation. When not included, additional engagement, assessments, or studies may be necessary to progress strategies.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C59CB" w:rsidRPr="00FC59CB" w14:paraId="17A4515D" w14:textId="77777777" w:rsidTr="003254A7">
        <w:trPr>
          <w:trHeight w:val="576"/>
        </w:trPr>
        <w:tc>
          <w:tcPr>
            <w:tcW w:w="9350" w:type="dxa"/>
            <w:shd w:val="clear" w:color="auto" w:fill="14581C"/>
            <w:vAlign w:val="center"/>
          </w:tcPr>
          <w:p w14:paraId="10729AAB" w14:textId="7BC7DFC3" w:rsidR="00884D71" w:rsidRPr="00FC59CB" w:rsidRDefault="00C832C1" w:rsidP="00FC59CB">
            <w:pPr>
              <w:widowControl w:val="0"/>
              <w:tabs>
                <w:tab w:val="left" w:pos="1620"/>
              </w:tabs>
              <w:autoSpaceDE w:val="0"/>
              <w:autoSpaceDN w:val="0"/>
              <w:rPr>
                <w:b/>
                <w:bCs/>
                <w:color w:val="FFFFFF" w:themeColor="background1"/>
              </w:rPr>
            </w:pPr>
            <w:r>
              <w:rPr>
                <w:b/>
                <w:bCs/>
                <w:color w:val="FFFFFF" w:themeColor="background1"/>
              </w:rPr>
              <w:t>Put It into Practice</w:t>
            </w:r>
          </w:p>
        </w:tc>
      </w:tr>
      <w:tr w:rsidR="00884D71" w14:paraId="388717D6" w14:textId="77777777" w:rsidTr="00C62B24">
        <w:trPr>
          <w:trHeight w:val="6336"/>
        </w:trPr>
        <w:tc>
          <w:tcPr>
            <w:tcW w:w="9350" w:type="dxa"/>
            <w:shd w:val="clear" w:color="auto" w:fill="C2F1C8"/>
          </w:tcPr>
          <w:p w14:paraId="26391B80" w14:textId="521C6F25" w:rsidR="004565F4" w:rsidRDefault="003254A7" w:rsidP="0065017D">
            <w:pPr>
              <w:widowControl w:val="0"/>
              <w:tabs>
                <w:tab w:val="left" w:pos="1620"/>
              </w:tabs>
              <w:autoSpaceDE w:val="0"/>
              <w:autoSpaceDN w:val="0"/>
              <w:spacing w:before="120" w:after="160"/>
            </w:pPr>
            <w:r>
              <w:t xml:space="preserve">See </w:t>
            </w:r>
            <w:r>
              <w:rPr>
                <w:b/>
                <w:bCs/>
              </w:rPr>
              <w:t xml:space="preserve">Appendix C – </w:t>
            </w:r>
            <w:r>
              <w:rPr>
                <w:b/>
                <w:bCs/>
              </w:rPr>
              <w:fldChar w:fldCharType="begin"/>
            </w:r>
            <w:r>
              <w:rPr>
                <w:b/>
                <w:bCs/>
              </w:rPr>
              <w:instrText xml:space="preserve"> REF _Ref230259719 \h  \* MERGEFORMAT </w:instrText>
            </w:r>
            <w:r>
              <w:rPr>
                <w:b/>
                <w:bCs/>
              </w:rPr>
            </w:r>
            <w:r>
              <w:rPr>
                <w:b/>
                <w:bCs/>
              </w:rPr>
              <w:fldChar w:fldCharType="separate"/>
            </w:r>
            <w:r w:rsidR="00517691" w:rsidRPr="00517691">
              <w:rPr>
                <w:b/>
                <w:bCs/>
              </w:rPr>
              <w:t>Draft Adaptation Strategies</w:t>
            </w:r>
            <w:r>
              <w:rPr>
                <w:b/>
                <w:bCs/>
              </w:rPr>
              <w:fldChar w:fldCharType="end"/>
            </w:r>
          </w:p>
          <w:p w14:paraId="6AA92CC7" w14:textId="447A2AAB" w:rsidR="00FC59CB" w:rsidRDefault="004C6B8F" w:rsidP="0065017D">
            <w:pPr>
              <w:widowControl w:val="0"/>
              <w:tabs>
                <w:tab w:val="left" w:pos="1620"/>
              </w:tabs>
              <w:autoSpaceDE w:val="0"/>
              <w:autoSpaceDN w:val="0"/>
              <w:spacing w:before="120" w:after="160"/>
            </w:pPr>
            <w:r>
              <w:t>Use the table below to help develop strategy details.</w:t>
            </w:r>
          </w:p>
          <w:tbl>
            <w:tblPr>
              <w:tblStyle w:val="TableGrid"/>
              <w:tblW w:w="9059" w:type="dxa"/>
              <w:tblLook w:val="06A0" w:firstRow="1" w:lastRow="0" w:firstColumn="1" w:lastColumn="0" w:noHBand="1" w:noVBand="1"/>
              <w:tblCaption w:val="Draft adaptation strategies"/>
              <w:tblDescription w:val="Fillable table to put together problem statements and their respective strategy statement, strategy result/objective, climate-related hazard(s) addressed, lead agency, etc."/>
            </w:tblPr>
            <w:tblGrid>
              <w:gridCol w:w="6562"/>
              <w:gridCol w:w="2497"/>
            </w:tblGrid>
            <w:tr w:rsidR="00FC59CB" w14:paraId="53A7C8FC" w14:textId="77777777" w:rsidTr="009554F3">
              <w:trPr>
                <w:trHeight w:val="285"/>
              </w:trPr>
              <w:tc>
                <w:tcPr>
                  <w:tcW w:w="6562" w:type="dxa"/>
                  <w:tcMar>
                    <w:left w:w="105" w:type="dxa"/>
                    <w:right w:w="105" w:type="dxa"/>
                  </w:tcMar>
                  <w:vAlign w:val="center"/>
                </w:tcPr>
                <w:p w14:paraId="7727BFE2" w14:textId="5A6F2CA1" w:rsidR="00FC59CB" w:rsidRDefault="00FC59CB" w:rsidP="00FC59CB">
                  <w:pPr>
                    <w:rPr>
                      <w:rFonts w:eastAsia="Century Gothic" w:cs="Century Gothic"/>
                      <w:color w:val="000000" w:themeColor="text1"/>
                    </w:rPr>
                  </w:pPr>
                  <w:r>
                    <w:rPr>
                      <w:rFonts w:eastAsia="Century Gothic" w:cs="Century Gothic"/>
                      <w:b/>
                      <w:bCs/>
                      <w:color w:val="000000" w:themeColor="text1"/>
                    </w:rPr>
                    <w:t xml:space="preserve">Problem Statement: </w:t>
                  </w:r>
                  <w:r>
                    <w:rPr>
                      <w:rFonts w:eastAsia="Century Gothic" w:cs="Century Gothic"/>
                      <w:color w:val="000000" w:themeColor="text1"/>
                    </w:rPr>
                    <w:t>This is the problem statement that the strategy is responding to. This should come out of the risk assessment and reflect community goals.</w:t>
                  </w:r>
                </w:p>
              </w:tc>
              <w:tc>
                <w:tcPr>
                  <w:tcW w:w="2497" w:type="dxa"/>
                  <w:tcMar>
                    <w:left w:w="105" w:type="dxa"/>
                    <w:right w:w="105" w:type="dxa"/>
                  </w:tcMar>
                </w:tcPr>
                <w:p w14:paraId="4AF92907" w14:textId="77777777" w:rsidR="00FC59CB" w:rsidRDefault="00FC59CB" w:rsidP="00FC59CB">
                  <w:pPr>
                    <w:rPr>
                      <w:rFonts w:eastAsia="Century Gothic" w:cs="Century Gothic"/>
                      <w:color w:val="000000" w:themeColor="text1"/>
                    </w:rPr>
                  </w:pPr>
                </w:p>
              </w:tc>
            </w:tr>
            <w:tr w:rsidR="00FC59CB" w14:paraId="5F94BE06" w14:textId="77777777" w:rsidTr="009554F3">
              <w:trPr>
                <w:trHeight w:val="288"/>
              </w:trPr>
              <w:tc>
                <w:tcPr>
                  <w:tcW w:w="6562" w:type="dxa"/>
                  <w:tcMar>
                    <w:left w:w="105" w:type="dxa"/>
                    <w:right w:w="105" w:type="dxa"/>
                  </w:tcMar>
                  <w:vAlign w:val="center"/>
                </w:tcPr>
                <w:p w14:paraId="66D64469" w14:textId="77777777" w:rsidR="00FC59CB" w:rsidRDefault="00FC59CB" w:rsidP="00FC59CB">
                  <w:pPr>
                    <w:rPr>
                      <w:rFonts w:eastAsia="Century Gothic" w:cs="Century Gothic"/>
                      <w:color w:val="000000" w:themeColor="text1"/>
                    </w:rPr>
                  </w:pPr>
                  <w:r>
                    <w:rPr>
                      <w:rFonts w:eastAsia="Century Gothic" w:cs="Century Gothic"/>
                      <w:b/>
                      <w:bCs/>
                      <w:color w:val="000000" w:themeColor="text1"/>
                    </w:rPr>
                    <w:t>Strategy Statement</w:t>
                  </w:r>
                </w:p>
              </w:tc>
              <w:tc>
                <w:tcPr>
                  <w:tcW w:w="2497" w:type="dxa"/>
                  <w:tcMar>
                    <w:left w:w="105" w:type="dxa"/>
                    <w:right w:w="105" w:type="dxa"/>
                  </w:tcMar>
                </w:tcPr>
                <w:p w14:paraId="450B5A51" w14:textId="77777777" w:rsidR="00FC59CB" w:rsidRDefault="00FC59CB" w:rsidP="00FC59CB">
                  <w:pPr>
                    <w:rPr>
                      <w:rFonts w:eastAsia="Century Gothic" w:cs="Century Gothic"/>
                      <w:color w:val="000000" w:themeColor="text1"/>
                    </w:rPr>
                  </w:pPr>
                </w:p>
              </w:tc>
            </w:tr>
            <w:tr w:rsidR="00FC59CB" w14:paraId="0BC77FE0" w14:textId="77777777" w:rsidTr="009554F3">
              <w:trPr>
                <w:trHeight w:val="285"/>
              </w:trPr>
              <w:tc>
                <w:tcPr>
                  <w:tcW w:w="6562" w:type="dxa"/>
                  <w:tcMar>
                    <w:left w:w="105" w:type="dxa"/>
                    <w:right w:w="105" w:type="dxa"/>
                  </w:tcMar>
                  <w:vAlign w:val="center"/>
                </w:tcPr>
                <w:p w14:paraId="684ADBE5" w14:textId="77777777" w:rsidR="00FC59CB" w:rsidRDefault="00FC59CB" w:rsidP="00FC59CB">
                  <w:pPr>
                    <w:rPr>
                      <w:rFonts w:eastAsia="Century Gothic" w:cs="Century Gothic"/>
                      <w:color w:val="000000" w:themeColor="text1"/>
                    </w:rPr>
                  </w:pPr>
                  <w:r>
                    <w:rPr>
                      <w:rFonts w:eastAsia="Century Gothic" w:cs="Century Gothic"/>
                      <w:b/>
                      <w:bCs/>
                      <w:color w:val="000000" w:themeColor="text1"/>
                    </w:rPr>
                    <w:t xml:space="preserve">Strategy Result or Objective: </w:t>
                  </w:r>
                  <w:r>
                    <w:rPr>
                      <w:rFonts w:eastAsia="Century Gothic" w:cs="Century Gothic"/>
                      <w:color w:val="000000" w:themeColor="text1"/>
                    </w:rPr>
                    <w:t>A short description of what the strategy is designed to achieve</w:t>
                  </w:r>
                </w:p>
              </w:tc>
              <w:tc>
                <w:tcPr>
                  <w:tcW w:w="2497" w:type="dxa"/>
                  <w:tcMar>
                    <w:left w:w="105" w:type="dxa"/>
                    <w:right w:w="105" w:type="dxa"/>
                  </w:tcMar>
                </w:tcPr>
                <w:p w14:paraId="1AE2D9BA" w14:textId="77777777" w:rsidR="00FC59CB" w:rsidRDefault="00FC59CB" w:rsidP="00FC59CB">
                  <w:pPr>
                    <w:rPr>
                      <w:rFonts w:eastAsia="Century Gothic" w:cs="Century Gothic"/>
                      <w:color w:val="000000" w:themeColor="text1"/>
                    </w:rPr>
                  </w:pPr>
                </w:p>
              </w:tc>
            </w:tr>
            <w:tr w:rsidR="00FC59CB" w14:paraId="450B4464" w14:textId="77777777" w:rsidTr="009554F3">
              <w:trPr>
                <w:trHeight w:val="288"/>
              </w:trPr>
              <w:tc>
                <w:tcPr>
                  <w:tcW w:w="6562" w:type="dxa"/>
                  <w:tcMar>
                    <w:left w:w="105" w:type="dxa"/>
                    <w:right w:w="105" w:type="dxa"/>
                  </w:tcMar>
                  <w:vAlign w:val="center"/>
                </w:tcPr>
                <w:p w14:paraId="7F817CE7" w14:textId="77777777" w:rsidR="00FC59CB" w:rsidRDefault="00FC59CB" w:rsidP="00FC59CB">
                  <w:pPr>
                    <w:rPr>
                      <w:rFonts w:eastAsia="Century Gothic" w:cs="Century Gothic"/>
                      <w:color w:val="000000" w:themeColor="text1"/>
                    </w:rPr>
                  </w:pPr>
                  <w:r>
                    <w:rPr>
                      <w:rFonts w:eastAsia="Century Gothic" w:cs="Century Gothic"/>
                      <w:b/>
                      <w:bCs/>
                      <w:color w:val="000000" w:themeColor="text1"/>
                    </w:rPr>
                    <w:t>Hazards Addressed</w:t>
                  </w:r>
                </w:p>
              </w:tc>
              <w:tc>
                <w:tcPr>
                  <w:tcW w:w="2497" w:type="dxa"/>
                  <w:tcMar>
                    <w:left w:w="105" w:type="dxa"/>
                    <w:right w:w="105" w:type="dxa"/>
                  </w:tcMar>
                </w:tcPr>
                <w:p w14:paraId="25A1A387" w14:textId="77777777" w:rsidR="00FC59CB" w:rsidRDefault="00FC59CB" w:rsidP="00FC59CB">
                  <w:pPr>
                    <w:rPr>
                      <w:rFonts w:eastAsia="Century Gothic" w:cs="Century Gothic"/>
                      <w:color w:val="000000" w:themeColor="text1"/>
                    </w:rPr>
                  </w:pPr>
                </w:p>
              </w:tc>
            </w:tr>
            <w:tr w:rsidR="00FC59CB" w14:paraId="5C24F2BC" w14:textId="77777777" w:rsidTr="009554F3">
              <w:trPr>
                <w:trHeight w:val="285"/>
              </w:trPr>
              <w:tc>
                <w:tcPr>
                  <w:tcW w:w="6562" w:type="dxa"/>
                  <w:tcMar>
                    <w:left w:w="105" w:type="dxa"/>
                    <w:right w:w="105" w:type="dxa"/>
                  </w:tcMar>
                  <w:vAlign w:val="center"/>
                </w:tcPr>
                <w:p w14:paraId="5C4B7BB4" w14:textId="77777777" w:rsidR="00FC59CB" w:rsidRPr="00937AA6" w:rsidRDefault="00FC59CB" w:rsidP="00FC59CB">
                  <w:pPr>
                    <w:rPr>
                      <w:rFonts w:eastAsia="Century Gothic" w:cs="Century Gothic"/>
                      <w:color w:val="000000" w:themeColor="text1"/>
                    </w:rPr>
                  </w:pPr>
                  <w:r>
                    <w:rPr>
                      <w:rFonts w:eastAsia="Century Gothic" w:cs="Century Gothic"/>
                      <w:b/>
                      <w:bCs/>
                      <w:color w:val="000000" w:themeColor="text1"/>
                    </w:rPr>
                    <w:t>Lead Agency:</w:t>
                  </w:r>
                  <w:r>
                    <w:rPr>
                      <w:rFonts w:eastAsia="Century Gothic" w:cs="Century Gothic"/>
                      <w:color w:val="000000" w:themeColor="text1"/>
                    </w:rPr>
                    <w:t xml:space="preserve"> Which agency has the authority, capacity, and knowledge to implement.</w:t>
                  </w:r>
                </w:p>
              </w:tc>
              <w:tc>
                <w:tcPr>
                  <w:tcW w:w="2497" w:type="dxa"/>
                  <w:tcMar>
                    <w:left w:w="105" w:type="dxa"/>
                    <w:right w:w="105" w:type="dxa"/>
                  </w:tcMar>
                </w:tcPr>
                <w:p w14:paraId="56D59E40" w14:textId="77777777" w:rsidR="00FC59CB" w:rsidRDefault="00FC59CB" w:rsidP="00FC59CB">
                  <w:pPr>
                    <w:rPr>
                      <w:rFonts w:eastAsia="Century Gothic" w:cs="Century Gothic"/>
                      <w:color w:val="000000" w:themeColor="text1"/>
                    </w:rPr>
                  </w:pPr>
                </w:p>
              </w:tc>
            </w:tr>
            <w:tr w:rsidR="00FC59CB" w14:paraId="07E401E0" w14:textId="77777777" w:rsidTr="009554F3">
              <w:trPr>
                <w:trHeight w:val="285"/>
              </w:trPr>
              <w:tc>
                <w:tcPr>
                  <w:tcW w:w="6562" w:type="dxa"/>
                  <w:tcMar>
                    <w:left w:w="105" w:type="dxa"/>
                    <w:right w:w="105" w:type="dxa"/>
                  </w:tcMar>
                  <w:vAlign w:val="center"/>
                </w:tcPr>
                <w:p w14:paraId="10810F4F" w14:textId="3A636EFC" w:rsidR="00FC59CB" w:rsidRDefault="00FC59CB" w:rsidP="00FC59CB">
                  <w:pPr>
                    <w:rPr>
                      <w:rFonts w:eastAsia="Century Gothic" w:cs="Century Gothic"/>
                      <w:color w:val="000000" w:themeColor="text1"/>
                    </w:rPr>
                  </w:pPr>
                  <w:r>
                    <w:rPr>
                      <w:rFonts w:eastAsia="Century Gothic" w:cs="Century Gothic"/>
                      <w:b/>
                      <w:bCs/>
                      <w:color w:val="000000" w:themeColor="text1"/>
                    </w:rPr>
                    <w:t>Partners:</w:t>
                  </w:r>
                  <w:r>
                    <w:rPr>
                      <w:rFonts w:eastAsia="Century Gothic" w:cs="Century Gothic"/>
                      <w:color w:val="000000" w:themeColor="text1"/>
                    </w:rPr>
                    <w:t xml:space="preserve"> Those who have some decision-making authority, political influence, policy or regulation authority, or who can assist with implementation</w:t>
                  </w:r>
                </w:p>
              </w:tc>
              <w:tc>
                <w:tcPr>
                  <w:tcW w:w="2497" w:type="dxa"/>
                  <w:tcMar>
                    <w:left w:w="105" w:type="dxa"/>
                    <w:right w:w="105" w:type="dxa"/>
                  </w:tcMar>
                </w:tcPr>
                <w:p w14:paraId="42350A96" w14:textId="77777777" w:rsidR="00FC59CB" w:rsidRDefault="00FC59CB" w:rsidP="00FC59CB">
                  <w:pPr>
                    <w:rPr>
                      <w:rFonts w:eastAsia="Century Gothic" w:cs="Century Gothic"/>
                      <w:color w:val="000000" w:themeColor="text1"/>
                    </w:rPr>
                  </w:pPr>
                </w:p>
              </w:tc>
            </w:tr>
            <w:tr w:rsidR="00FC59CB" w14:paraId="160AB27D" w14:textId="77777777" w:rsidTr="009554F3">
              <w:trPr>
                <w:trHeight w:val="285"/>
              </w:trPr>
              <w:tc>
                <w:tcPr>
                  <w:tcW w:w="6562" w:type="dxa"/>
                  <w:tcMar>
                    <w:left w:w="105" w:type="dxa"/>
                    <w:right w:w="105" w:type="dxa"/>
                  </w:tcMar>
                  <w:vAlign w:val="center"/>
                </w:tcPr>
                <w:p w14:paraId="512898A2" w14:textId="77777777" w:rsidR="00FC59CB" w:rsidRPr="004661E0" w:rsidRDefault="00FC59CB" w:rsidP="00FC59CB">
                  <w:pPr>
                    <w:rPr>
                      <w:rFonts w:eastAsia="Century Gothic" w:cs="Century Gothic"/>
                      <w:color w:val="000000" w:themeColor="text1"/>
                    </w:rPr>
                  </w:pPr>
                  <w:r>
                    <w:rPr>
                      <w:rFonts w:eastAsia="Century Gothic" w:cs="Century Gothic"/>
                      <w:b/>
                      <w:bCs/>
                      <w:color w:val="000000" w:themeColor="text1"/>
                    </w:rPr>
                    <w:t xml:space="preserve">Implementation Timeframe </w:t>
                  </w:r>
                  <w:r>
                    <w:rPr>
                      <w:rFonts w:eastAsia="Century Gothic" w:cs="Century Gothic"/>
                      <w:color w:val="000000" w:themeColor="text1"/>
                    </w:rPr>
                    <w:t>(e.g., Ongoing, Short-Term, Mid-Term, Long-Term, # of years/months, etc.)</w:t>
                  </w:r>
                </w:p>
              </w:tc>
              <w:tc>
                <w:tcPr>
                  <w:tcW w:w="2497" w:type="dxa"/>
                  <w:tcMar>
                    <w:left w:w="105" w:type="dxa"/>
                    <w:right w:w="105" w:type="dxa"/>
                  </w:tcMar>
                </w:tcPr>
                <w:p w14:paraId="1D7469C7" w14:textId="77777777" w:rsidR="00FC59CB" w:rsidRPr="00937AA6" w:rsidRDefault="00FC59CB" w:rsidP="00FC59CB">
                  <w:pPr>
                    <w:rPr>
                      <w:rFonts w:eastAsia="Century Gothic" w:cs="Century Gothic"/>
                      <w:color w:val="000000" w:themeColor="text1"/>
                    </w:rPr>
                  </w:pPr>
                </w:p>
              </w:tc>
            </w:tr>
            <w:tr w:rsidR="00FC59CB" w14:paraId="69DFBE55" w14:textId="77777777" w:rsidTr="009554F3">
              <w:trPr>
                <w:trHeight w:val="288"/>
              </w:trPr>
              <w:tc>
                <w:tcPr>
                  <w:tcW w:w="6562" w:type="dxa"/>
                  <w:tcMar>
                    <w:left w:w="105" w:type="dxa"/>
                    <w:right w:w="105" w:type="dxa"/>
                  </w:tcMar>
                  <w:vAlign w:val="center"/>
                </w:tcPr>
                <w:p w14:paraId="336E2BEB" w14:textId="77777777" w:rsidR="00FC59CB" w:rsidRPr="004661E0" w:rsidRDefault="00FC59CB" w:rsidP="00FC59CB">
                  <w:pPr>
                    <w:rPr>
                      <w:rFonts w:eastAsia="Century Gothic" w:cs="Century Gothic"/>
                      <w:b/>
                      <w:bCs/>
                      <w:color w:val="000000" w:themeColor="text1"/>
                    </w:rPr>
                  </w:pPr>
                  <w:r>
                    <w:rPr>
                      <w:rFonts w:eastAsia="Century Gothic" w:cs="Century Gothic"/>
                      <w:b/>
                      <w:bCs/>
                      <w:color w:val="000000" w:themeColor="text1"/>
                    </w:rPr>
                    <w:t>Co-Benefits</w:t>
                  </w:r>
                </w:p>
              </w:tc>
              <w:tc>
                <w:tcPr>
                  <w:tcW w:w="2497" w:type="dxa"/>
                  <w:tcMar>
                    <w:left w:w="105" w:type="dxa"/>
                    <w:right w:w="105" w:type="dxa"/>
                  </w:tcMar>
                </w:tcPr>
                <w:p w14:paraId="2497AD4A" w14:textId="77777777" w:rsidR="00FC59CB" w:rsidRPr="00937AA6" w:rsidRDefault="00FC59CB" w:rsidP="00FC59CB">
                  <w:pPr>
                    <w:rPr>
                      <w:rFonts w:eastAsia="Century Gothic" w:cs="Century Gothic"/>
                      <w:color w:val="000000" w:themeColor="text1"/>
                    </w:rPr>
                  </w:pPr>
                </w:p>
              </w:tc>
            </w:tr>
            <w:tr w:rsidR="00FC59CB" w14:paraId="37501565" w14:textId="77777777" w:rsidTr="009554F3">
              <w:trPr>
                <w:trHeight w:val="288"/>
              </w:trPr>
              <w:tc>
                <w:tcPr>
                  <w:tcW w:w="6562" w:type="dxa"/>
                  <w:tcMar>
                    <w:left w:w="105" w:type="dxa"/>
                    <w:right w:w="105" w:type="dxa"/>
                  </w:tcMar>
                  <w:vAlign w:val="center"/>
                </w:tcPr>
                <w:p w14:paraId="4795A389" w14:textId="77777777" w:rsidR="00FC59CB" w:rsidRPr="004661E0" w:rsidRDefault="00FC59CB" w:rsidP="00FC59CB">
                  <w:pPr>
                    <w:rPr>
                      <w:rFonts w:eastAsia="Century Gothic" w:cs="Century Gothic"/>
                      <w:b/>
                      <w:bCs/>
                      <w:color w:val="000000" w:themeColor="text1"/>
                    </w:rPr>
                  </w:pPr>
                  <w:r>
                    <w:rPr>
                      <w:rFonts w:eastAsia="Century Gothic" w:cs="Century Gothic"/>
                      <w:b/>
                      <w:bCs/>
                      <w:color w:val="000000" w:themeColor="text1"/>
                    </w:rPr>
                    <w:t>Monitoring Metrics</w:t>
                  </w:r>
                </w:p>
              </w:tc>
              <w:tc>
                <w:tcPr>
                  <w:tcW w:w="2497" w:type="dxa"/>
                  <w:tcMar>
                    <w:left w:w="105" w:type="dxa"/>
                    <w:right w:w="105" w:type="dxa"/>
                  </w:tcMar>
                </w:tcPr>
                <w:p w14:paraId="52AFA4BF" w14:textId="77777777" w:rsidR="00FC59CB" w:rsidRPr="00937AA6" w:rsidRDefault="00FC59CB" w:rsidP="00FC59CB">
                  <w:pPr>
                    <w:rPr>
                      <w:rFonts w:eastAsia="Century Gothic" w:cs="Century Gothic"/>
                      <w:color w:val="000000" w:themeColor="text1"/>
                    </w:rPr>
                  </w:pPr>
                </w:p>
              </w:tc>
            </w:tr>
            <w:tr w:rsidR="00FC59CB" w14:paraId="7B5EF3D5" w14:textId="77777777" w:rsidTr="009554F3">
              <w:trPr>
                <w:trHeight w:val="288"/>
              </w:trPr>
              <w:tc>
                <w:tcPr>
                  <w:tcW w:w="6562" w:type="dxa"/>
                  <w:tcMar>
                    <w:left w:w="105" w:type="dxa"/>
                    <w:right w:w="105" w:type="dxa"/>
                  </w:tcMar>
                  <w:vAlign w:val="center"/>
                </w:tcPr>
                <w:p w14:paraId="16518DA6" w14:textId="77777777" w:rsidR="00FC59CB" w:rsidRPr="004661E0" w:rsidRDefault="00FC59CB" w:rsidP="00FC59CB">
                  <w:pPr>
                    <w:rPr>
                      <w:rFonts w:eastAsia="Century Gothic" w:cs="Century Gothic"/>
                      <w:b/>
                      <w:bCs/>
                      <w:color w:val="000000" w:themeColor="text1"/>
                    </w:rPr>
                  </w:pPr>
                  <w:r>
                    <w:rPr>
                      <w:rFonts w:eastAsia="Century Gothic" w:cs="Century Gothic"/>
                      <w:b/>
                      <w:bCs/>
                      <w:color w:val="000000" w:themeColor="text1"/>
                    </w:rPr>
                    <w:t>Cost Estimate / Potential Funding Sources</w:t>
                  </w:r>
                </w:p>
              </w:tc>
              <w:tc>
                <w:tcPr>
                  <w:tcW w:w="2497" w:type="dxa"/>
                  <w:tcMar>
                    <w:left w:w="105" w:type="dxa"/>
                    <w:right w:w="105" w:type="dxa"/>
                  </w:tcMar>
                </w:tcPr>
                <w:p w14:paraId="51B3D77F" w14:textId="77777777" w:rsidR="00FC59CB" w:rsidRPr="00937AA6" w:rsidRDefault="00FC59CB" w:rsidP="00FC59CB">
                  <w:pPr>
                    <w:rPr>
                      <w:rFonts w:eastAsia="Century Gothic" w:cs="Century Gothic"/>
                      <w:color w:val="000000" w:themeColor="text1"/>
                    </w:rPr>
                  </w:pPr>
                </w:p>
              </w:tc>
            </w:tr>
          </w:tbl>
          <w:p w14:paraId="15D21BF4" w14:textId="5127D4A7" w:rsidR="00FC59CB" w:rsidRPr="00C62B24" w:rsidRDefault="00C62B24" w:rsidP="00FC59CB">
            <w:pPr>
              <w:widowControl w:val="0"/>
              <w:tabs>
                <w:tab w:val="left" w:pos="1620"/>
              </w:tabs>
              <w:autoSpaceDE w:val="0"/>
              <w:autoSpaceDN w:val="0"/>
              <w:rPr>
                <w:sz w:val="12"/>
                <w:szCs w:val="12"/>
              </w:rPr>
            </w:pPr>
            <w:r>
              <w:rPr>
                <w:sz w:val="12"/>
                <w:szCs w:val="12"/>
              </w:rPr>
              <w:t xml:space="preserve">  </w:t>
            </w:r>
          </w:p>
        </w:tc>
      </w:tr>
    </w:tbl>
    <w:p w14:paraId="311DF38E" w14:textId="76E8147A" w:rsidR="006645E8" w:rsidRDefault="006645E8" w:rsidP="00747DD7">
      <w:pPr>
        <w:pStyle w:val="BodyText"/>
        <w:spacing w:after="0" w:line="240" w:lineRule="auto"/>
      </w:pPr>
    </w:p>
    <w:p w14:paraId="406675BF" w14:textId="77777777" w:rsidR="006645E8" w:rsidRDefault="006645E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A21" w:rsidRPr="00A55A21" w14:paraId="59279F0B" w14:textId="77777777" w:rsidTr="00E76319">
        <w:trPr>
          <w:trHeight w:val="576"/>
        </w:trPr>
        <w:tc>
          <w:tcPr>
            <w:tcW w:w="9350" w:type="dxa"/>
            <w:shd w:val="clear" w:color="auto" w:fill="404040" w:themeFill="text1" w:themeFillTint="BF"/>
            <w:vAlign w:val="center"/>
          </w:tcPr>
          <w:p w14:paraId="79A8BB55" w14:textId="5BDE0795" w:rsidR="00A55A21" w:rsidRPr="00A55A21" w:rsidRDefault="00A55A21" w:rsidP="00BB5ACB">
            <w:pPr>
              <w:rPr>
                <w:b/>
                <w:bCs/>
                <w:color w:val="FFFFFF" w:themeColor="background1"/>
              </w:rPr>
            </w:pPr>
            <w:r>
              <w:rPr>
                <w:b/>
                <w:bCs/>
                <w:color w:val="FFFFFF" w:themeColor="background1"/>
              </w:rPr>
              <w:t>Example</w:t>
            </w:r>
            <w:r>
              <w:rPr>
                <w:b/>
                <w:bCs/>
                <w:color w:val="FFFFFF" w:themeColor="background1"/>
                <w:spacing w:val="-10"/>
              </w:rPr>
              <w:t xml:space="preserve"> </w:t>
            </w:r>
            <w:r>
              <w:rPr>
                <w:b/>
                <w:bCs/>
                <w:color w:val="FFFFFF" w:themeColor="background1"/>
              </w:rPr>
              <w:t>Adaptation</w:t>
            </w:r>
            <w:r>
              <w:rPr>
                <w:b/>
                <w:bCs/>
                <w:color w:val="FFFFFF" w:themeColor="background1"/>
                <w:spacing w:val="-10"/>
              </w:rPr>
              <w:t xml:space="preserve"> </w:t>
            </w:r>
            <w:r>
              <w:rPr>
                <w:b/>
                <w:bCs/>
                <w:color w:val="FFFFFF" w:themeColor="background1"/>
                <w:spacing w:val="-2"/>
              </w:rPr>
              <w:t>Strategies</w:t>
            </w:r>
          </w:p>
        </w:tc>
      </w:tr>
      <w:tr w:rsidR="003C016C" w14:paraId="7975A30D" w14:textId="77777777" w:rsidTr="00862F83">
        <w:tc>
          <w:tcPr>
            <w:tcW w:w="9350" w:type="dxa"/>
            <w:shd w:val="clear" w:color="auto" w:fill="F2F2F2" w:themeFill="background1" w:themeFillShade="F2"/>
          </w:tcPr>
          <w:p w14:paraId="761AC7EC" w14:textId="4231CE29" w:rsidR="007C3029" w:rsidRDefault="50DB1633" w:rsidP="00224CC0">
            <w:pPr>
              <w:pStyle w:val="BodyText"/>
              <w:spacing w:before="120" w:after="120"/>
            </w:pPr>
            <w:r>
              <w:t xml:space="preserve">Adaptation strategies from other communities can be a helpful starting point as the planning team drafts adaptation strategies tailored to the community’s </w:t>
            </w:r>
            <w:r>
              <w:rPr>
                <w:spacing w:val="-4"/>
              </w:rPr>
              <w:t>circumstances.</w:t>
            </w:r>
            <w:r>
              <w:t xml:space="preserve"> Additionally, the 2019 </w:t>
            </w:r>
            <w:hyperlink r:id="rId241">
              <w:r>
                <w:rPr>
                  <w:rStyle w:val="Hyperlink"/>
                </w:rPr>
                <w:t>Regional Resilience Toolkit</w:t>
              </w:r>
            </w:hyperlink>
            <w:r>
              <w:t xml:space="preserve">, </w:t>
            </w:r>
            <w:hyperlink r:id="rId242">
              <w:r>
                <w:rPr>
                  <w:rStyle w:val="Hyperlink"/>
                </w:rPr>
                <w:t>Tribal Resilience Action Database</w:t>
              </w:r>
            </w:hyperlink>
            <w:r>
              <w:t xml:space="preserve">, Local Mitigation Planning Handbook and </w:t>
            </w:r>
            <w:hyperlink r:id="rId243">
              <w:r>
                <w:rPr>
                  <w:rStyle w:val="Hyperlink"/>
                </w:rPr>
                <w:t>Tribal Mitigation Planning Handbook</w:t>
              </w:r>
            </w:hyperlink>
            <w:r>
              <w:t xml:space="preserve"> have worksheets and tools to support strategy development. These worksheets provide sources for and examples of strategies that address common hazards and assets.</w:t>
            </w:r>
          </w:p>
          <w:p w14:paraId="2E0E6641" w14:textId="034CDF1B" w:rsidR="007C3029" w:rsidRDefault="007C3029" w:rsidP="007C3029">
            <w:pPr>
              <w:pStyle w:val="BodyText"/>
              <w:spacing w:before="160"/>
            </w:pPr>
            <w:r>
              <w:rPr>
                <w:spacing w:val="-4"/>
              </w:rPr>
              <w:t>Strategies will require adjustment or greater specificity for application in a community. Communities should expect to go beyond these strategies to address all their high-priority adaptation needs. This may include bolstering programs that are already locally effective or developing innovative</w:t>
            </w:r>
            <w:r>
              <w:t xml:space="preserve"> strategies based on characteristics.</w:t>
            </w:r>
          </w:p>
        </w:tc>
      </w:tr>
    </w:tbl>
    <w:p w14:paraId="72FEDA8C" w14:textId="77777777" w:rsidR="007C3029" w:rsidRDefault="007C3029" w:rsidP="0028335F">
      <w:pPr>
        <w:pStyle w:val="BodyText"/>
        <w:spacing w:before="160" w:line="240" w:lineRule="auto"/>
      </w:pPr>
    </w:p>
    <w:tbl>
      <w:tblPr>
        <w:tblStyle w:val="TableGrid"/>
        <w:tblW w:w="0" w:type="auto"/>
        <w:tblLook w:val="04A0" w:firstRow="1" w:lastRow="0" w:firstColumn="1" w:lastColumn="0" w:noHBand="0" w:noVBand="1"/>
      </w:tblPr>
      <w:tblGrid>
        <w:gridCol w:w="9350"/>
      </w:tblGrid>
      <w:tr w:rsidR="007F0523" w:rsidRPr="007F0523" w14:paraId="55012D46" w14:textId="77777777" w:rsidTr="00E76319">
        <w:trPr>
          <w:trHeight w:val="576"/>
        </w:trPr>
        <w:tc>
          <w:tcPr>
            <w:tcW w:w="9350" w:type="dxa"/>
            <w:tcBorders>
              <w:top w:val="nil"/>
              <w:left w:val="nil"/>
              <w:bottom w:val="nil"/>
              <w:right w:val="nil"/>
            </w:tcBorders>
            <w:shd w:val="clear" w:color="auto" w:fill="404040" w:themeFill="text1" w:themeFillTint="BF"/>
            <w:vAlign w:val="center"/>
          </w:tcPr>
          <w:p w14:paraId="420F035F" w14:textId="17B9ADBE" w:rsidR="007F0523" w:rsidRPr="002809AB" w:rsidRDefault="007F0523" w:rsidP="00BB5ACB">
            <w:pPr>
              <w:pStyle w:val="CalloutBoxTitle"/>
              <w:rPr>
                <w:color w:val="FFFFFF" w:themeColor="background1"/>
              </w:rPr>
            </w:pPr>
            <w:r>
              <w:rPr>
                <w:color w:val="FFFFFF" w:themeColor="background1"/>
              </w:rPr>
              <w:t>Additional</w:t>
            </w:r>
            <w:r>
              <w:rPr>
                <w:color w:val="FFFFFF" w:themeColor="background1"/>
                <w:spacing w:val="-2"/>
              </w:rPr>
              <w:t xml:space="preserve"> </w:t>
            </w:r>
            <w:r>
              <w:rPr>
                <w:color w:val="FFFFFF" w:themeColor="background1"/>
              </w:rPr>
              <w:t xml:space="preserve">Resources for Adaptation Strategy </w:t>
            </w:r>
            <w:r>
              <w:rPr>
                <w:color w:val="FFFFFF" w:themeColor="background1"/>
                <w:spacing w:val="-2"/>
              </w:rPr>
              <w:t>Development</w:t>
            </w:r>
          </w:p>
        </w:tc>
      </w:tr>
      <w:tr w:rsidR="007F0523" w14:paraId="0749449F" w14:textId="77777777" w:rsidTr="005F13DF">
        <w:trPr>
          <w:trHeight w:val="4320"/>
        </w:trPr>
        <w:tc>
          <w:tcPr>
            <w:tcW w:w="9350" w:type="dxa"/>
            <w:tcBorders>
              <w:top w:val="nil"/>
              <w:left w:val="nil"/>
              <w:bottom w:val="nil"/>
              <w:right w:val="nil"/>
            </w:tcBorders>
            <w:shd w:val="clear" w:color="auto" w:fill="F2F2F2" w:themeFill="background1" w:themeFillShade="F2"/>
          </w:tcPr>
          <w:p w14:paraId="1C1C30A6" w14:textId="313C35C2" w:rsidR="007F0523" w:rsidRPr="00961166" w:rsidRDefault="007F0523">
            <w:pPr>
              <w:pStyle w:val="ListParagraph"/>
              <w:widowControl w:val="0"/>
              <w:numPr>
                <w:ilvl w:val="0"/>
                <w:numId w:val="22"/>
              </w:numPr>
              <w:tabs>
                <w:tab w:val="left" w:pos="1620"/>
              </w:tabs>
              <w:autoSpaceDE w:val="0"/>
              <w:autoSpaceDN w:val="0"/>
              <w:spacing w:before="120"/>
              <w:contextualSpacing w:val="0"/>
            </w:pPr>
            <w:hyperlink r:id="rId244" w:history="1">
              <w:r>
                <w:rPr>
                  <w:rStyle w:val="Hyperlink"/>
                </w:rPr>
                <w:t>California</w:t>
              </w:r>
              <w:r>
                <w:rPr>
                  <w:rStyle w:val="Hyperlink"/>
                  <w:spacing w:val="-7"/>
                </w:rPr>
                <w:t xml:space="preserve"> </w:t>
              </w:r>
              <w:r>
                <w:rPr>
                  <w:rStyle w:val="Hyperlink"/>
                </w:rPr>
                <w:t>Climate</w:t>
              </w:r>
              <w:r>
                <w:rPr>
                  <w:rStyle w:val="Hyperlink"/>
                  <w:spacing w:val="-5"/>
                </w:rPr>
                <w:t xml:space="preserve"> </w:t>
              </w:r>
              <w:r>
                <w:rPr>
                  <w:rStyle w:val="Hyperlink"/>
                </w:rPr>
                <w:t>Adaptation</w:t>
              </w:r>
              <w:r>
                <w:rPr>
                  <w:rStyle w:val="Hyperlink"/>
                  <w:spacing w:val="-5"/>
                </w:rPr>
                <w:t xml:space="preserve"> </w:t>
              </w:r>
              <w:r>
                <w:rPr>
                  <w:rStyle w:val="Hyperlink"/>
                </w:rPr>
                <w:t>Clearinghouse</w:t>
              </w:r>
            </w:hyperlink>
          </w:p>
          <w:p w14:paraId="00831E29" w14:textId="5572543F" w:rsidR="007F0523" w:rsidRPr="006F0B9F" w:rsidRDefault="007F0523">
            <w:pPr>
              <w:pStyle w:val="ListParagraph"/>
              <w:widowControl w:val="0"/>
              <w:numPr>
                <w:ilvl w:val="0"/>
                <w:numId w:val="22"/>
              </w:numPr>
              <w:tabs>
                <w:tab w:val="left" w:pos="1620"/>
              </w:tabs>
              <w:autoSpaceDE w:val="0"/>
              <w:autoSpaceDN w:val="0"/>
              <w:spacing w:before="160" w:after="160"/>
            </w:pPr>
            <w:hyperlink r:id="rId245" w:history="1">
              <w:r>
                <w:rPr>
                  <w:rStyle w:val="Hyperlink"/>
                </w:rPr>
                <w:t xml:space="preserve">State General Plan Guidelines, Appendix A: Example Model Goals, </w:t>
              </w:r>
              <w:r>
                <w:rPr>
                  <w:rStyle w:val="Hyperlink"/>
                  <w:spacing w:val="-2"/>
                </w:rPr>
                <w:t>Objectives,</w:t>
              </w:r>
              <w:r>
                <w:rPr>
                  <w:rStyle w:val="Hyperlink"/>
                  <w:spacing w:val="-9"/>
                </w:rPr>
                <w:t xml:space="preserve"> </w:t>
              </w:r>
              <w:r>
                <w:rPr>
                  <w:rStyle w:val="Hyperlink"/>
                  <w:spacing w:val="-2"/>
                </w:rPr>
                <w:t>and</w:t>
              </w:r>
              <w:r>
                <w:rPr>
                  <w:rStyle w:val="Hyperlink"/>
                  <w:spacing w:val="-9"/>
                </w:rPr>
                <w:t xml:space="preserve"> </w:t>
              </w:r>
              <w:r>
                <w:rPr>
                  <w:rStyle w:val="Hyperlink"/>
                  <w:spacing w:val="-2"/>
                </w:rPr>
                <w:t>Policies</w:t>
              </w:r>
              <w:r>
                <w:rPr>
                  <w:rStyle w:val="Hyperlink"/>
                  <w:spacing w:val="-9"/>
                </w:rPr>
                <w:t xml:space="preserve"> </w:t>
              </w:r>
              <w:r>
                <w:rPr>
                  <w:rStyle w:val="Hyperlink"/>
                  <w:spacing w:val="-2"/>
                </w:rPr>
                <w:t>and</w:t>
              </w:r>
              <w:r>
                <w:rPr>
                  <w:rStyle w:val="Hyperlink"/>
                  <w:spacing w:val="-9"/>
                </w:rPr>
                <w:t xml:space="preserve"> </w:t>
              </w:r>
              <w:r>
                <w:rPr>
                  <w:rStyle w:val="Hyperlink"/>
                  <w:spacing w:val="-2"/>
                </w:rPr>
                <w:t>Programs</w:t>
              </w:r>
            </w:hyperlink>
            <w:r>
              <w:t xml:space="preserve"> </w:t>
            </w:r>
          </w:p>
          <w:p w14:paraId="4C3B60C9" w14:textId="6FEDDA3C" w:rsidR="006316F1" w:rsidRPr="006F0B9F" w:rsidRDefault="006316F1">
            <w:pPr>
              <w:pStyle w:val="ListParagraph"/>
              <w:widowControl w:val="0"/>
              <w:numPr>
                <w:ilvl w:val="0"/>
                <w:numId w:val="22"/>
              </w:numPr>
              <w:tabs>
                <w:tab w:val="left" w:pos="1620"/>
              </w:tabs>
              <w:autoSpaceDE w:val="0"/>
              <w:autoSpaceDN w:val="0"/>
              <w:spacing w:before="160" w:after="160"/>
            </w:pPr>
            <w:r>
              <w:t xml:space="preserve">DWR Climate Change Program's </w:t>
            </w:r>
            <w:hyperlink r:id="rId246" w:history="1">
              <w:r>
                <w:rPr>
                  <w:rStyle w:val="Hyperlink"/>
                </w:rPr>
                <w:t>Resources for Water Managers</w:t>
              </w:r>
            </w:hyperlink>
          </w:p>
          <w:p w14:paraId="4128B3CE" w14:textId="552B9BDF" w:rsidR="007F0523" w:rsidRPr="00961166" w:rsidRDefault="007F0523">
            <w:pPr>
              <w:pStyle w:val="ListParagraph"/>
              <w:widowControl w:val="0"/>
              <w:numPr>
                <w:ilvl w:val="0"/>
                <w:numId w:val="22"/>
              </w:numPr>
              <w:tabs>
                <w:tab w:val="left" w:pos="1620"/>
              </w:tabs>
              <w:autoSpaceDE w:val="0"/>
              <w:autoSpaceDN w:val="0"/>
              <w:spacing w:before="160" w:after="160"/>
            </w:pPr>
            <w:hyperlink r:id="rId247" w:history="1">
              <w:r>
                <w:rPr>
                  <w:rStyle w:val="Hyperlink"/>
                </w:rPr>
                <w:t>U.S.</w:t>
              </w:r>
              <w:r>
                <w:rPr>
                  <w:rStyle w:val="Hyperlink"/>
                  <w:spacing w:val="-7"/>
                </w:rPr>
                <w:t xml:space="preserve"> </w:t>
              </w:r>
              <w:r>
                <w:rPr>
                  <w:rStyle w:val="Hyperlink"/>
                </w:rPr>
                <w:t>Climate</w:t>
              </w:r>
              <w:r>
                <w:rPr>
                  <w:rStyle w:val="Hyperlink"/>
                  <w:spacing w:val="-4"/>
                </w:rPr>
                <w:t xml:space="preserve"> </w:t>
              </w:r>
              <w:r>
                <w:rPr>
                  <w:rStyle w:val="Hyperlink"/>
                </w:rPr>
                <w:t>Resilience</w:t>
              </w:r>
              <w:r>
                <w:rPr>
                  <w:rStyle w:val="Hyperlink"/>
                  <w:spacing w:val="-4"/>
                </w:rPr>
                <w:t xml:space="preserve"> </w:t>
              </w:r>
              <w:r>
                <w:rPr>
                  <w:rStyle w:val="Hyperlink"/>
                </w:rPr>
                <w:t>Toolkit</w:t>
              </w:r>
            </w:hyperlink>
          </w:p>
          <w:p w14:paraId="5186C66B" w14:textId="0DFF4C89" w:rsidR="007F0523" w:rsidRPr="00961166" w:rsidRDefault="007F0523">
            <w:pPr>
              <w:pStyle w:val="ListParagraph"/>
              <w:widowControl w:val="0"/>
              <w:numPr>
                <w:ilvl w:val="0"/>
                <w:numId w:val="22"/>
              </w:numPr>
              <w:tabs>
                <w:tab w:val="left" w:pos="1620"/>
              </w:tabs>
              <w:autoSpaceDE w:val="0"/>
              <w:autoSpaceDN w:val="0"/>
              <w:spacing w:before="160" w:after="160"/>
            </w:pPr>
            <w:hyperlink r:id="rId248" w:history="1">
              <w:r>
                <w:rPr>
                  <w:rStyle w:val="Hyperlink"/>
                </w:rPr>
                <w:t>Climate</w:t>
              </w:r>
              <w:r>
                <w:rPr>
                  <w:rStyle w:val="Hyperlink"/>
                  <w:spacing w:val="-10"/>
                </w:rPr>
                <w:t xml:space="preserve"> </w:t>
              </w:r>
              <w:r>
                <w:rPr>
                  <w:rStyle w:val="Hyperlink"/>
                </w:rPr>
                <w:t>Adaptation</w:t>
              </w:r>
              <w:r>
                <w:rPr>
                  <w:rStyle w:val="Hyperlink"/>
                  <w:spacing w:val="-8"/>
                </w:rPr>
                <w:t xml:space="preserve"> </w:t>
              </w:r>
              <w:r>
                <w:rPr>
                  <w:rStyle w:val="Hyperlink"/>
                </w:rPr>
                <w:t>Knowledge</w:t>
              </w:r>
              <w:r>
                <w:rPr>
                  <w:rStyle w:val="Hyperlink"/>
                  <w:spacing w:val="-8"/>
                </w:rPr>
                <w:t xml:space="preserve"> </w:t>
              </w:r>
              <w:r>
                <w:rPr>
                  <w:rStyle w:val="Hyperlink"/>
                </w:rPr>
                <w:t>Exchange</w:t>
              </w:r>
              <w:r>
                <w:rPr>
                  <w:rStyle w:val="Hyperlink"/>
                  <w:spacing w:val="-8"/>
                </w:rPr>
                <w:t xml:space="preserve"> </w:t>
              </w:r>
              <w:r>
                <w:rPr>
                  <w:rStyle w:val="Hyperlink"/>
                </w:rPr>
                <w:t>(</w:t>
              </w:r>
              <w:proofErr w:type="spellStart"/>
              <w:r>
                <w:rPr>
                  <w:rStyle w:val="Hyperlink"/>
                </w:rPr>
                <w:t>CAKEx</w:t>
              </w:r>
              <w:proofErr w:type="spellEnd"/>
              <w:r>
                <w:rPr>
                  <w:rStyle w:val="Hyperlink"/>
                </w:rPr>
                <w:t>)</w:t>
              </w:r>
            </w:hyperlink>
          </w:p>
          <w:p w14:paraId="3A76E158" w14:textId="128A7147" w:rsidR="007F0523" w:rsidRPr="00961166" w:rsidRDefault="007F0523">
            <w:pPr>
              <w:pStyle w:val="ListParagraph"/>
              <w:widowControl w:val="0"/>
              <w:numPr>
                <w:ilvl w:val="0"/>
                <w:numId w:val="22"/>
              </w:numPr>
              <w:tabs>
                <w:tab w:val="left" w:pos="1620"/>
              </w:tabs>
              <w:autoSpaceDE w:val="0"/>
              <w:autoSpaceDN w:val="0"/>
              <w:spacing w:before="160" w:after="160"/>
            </w:pPr>
            <w:hyperlink r:id="rId249" w:history="1">
              <w:r>
                <w:rPr>
                  <w:rStyle w:val="Hyperlink"/>
                </w:rPr>
                <w:t>Georgetown</w:t>
              </w:r>
              <w:r>
                <w:rPr>
                  <w:rStyle w:val="Hyperlink"/>
                  <w:spacing w:val="-17"/>
                </w:rPr>
                <w:t xml:space="preserve"> </w:t>
              </w:r>
              <w:r>
                <w:rPr>
                  <w:rStyle w:val="Hyperlink"/>
                </w:rPr>
                <w:t>University’s</w:t>
              </w:r>
              <w:r>
                <w:rPr>
                  <w:rStyle w:val="Hyperlink"/>
                  <w:spacing w:val="-17"/>
                </w:rPr>
                <w:t xml:space="preserve"> </w:t>
              </w:r>
              <w:r>
                <w:rPr>
                  <w:rStyle w:val="Hyperlink"/>
                </w:rPr>
                <w:t>Adaptation</w:t>
              </w:r>
              <w:r>
                <w:rPr>
                  <w:rStyle w:val="Hyperlink"/>
                  <w:spacing w:val="-16"/>
                </w:rPr>
                <w:t xml:space="preserve"> </w:t>
              </w:r>
              <w:r>
                <w:rPr>
                  <w:rStyle w:val="Hyperlink"/>
                </w:rPr>
                <w:t>Clearinghouse</w:t>
              </w:r>
            </w:hyperlink>
          </w:p>
          <w:p w14:paraId="7DAFCB13" w14:textId="7B5C6B17" w:rsidR="007F0523" w:rsidRPr="006F0B9F" w:rsidRDefault="007F0523">
            <w:pPr>
              <w:pStyle w:val="ListParagraph"/>
              <w:widowControl w:val="0"/>
              <w:numPr>
                <w:ilvl w:val="0"/>
                <w:numId w:val="22"/>
              </w:numPr>
              <w:tabs>
                <w:tab w:val="left" w:pos="1620"/>
              </w:tabs>
              <w:autoSpaceDE w:val="0"/>
              <w:autoSpaceDN w:val="0"/>
              <w:spacing w:before="160" w:after="160"/>
            </w:pPr>
            <w:r>
              <w:t>Urban</w:t>
            </w:r>
            <w:r>
              <w:rPr>
                <w:spacing w:val="-5"/>
              </w:rPr>
              <w:t xml:space="preserve"> </w:t>
            </w:r>
            <w:r>
              <w:t>Sustainability</w:t>
            </w:r>
            <w:r>
              <w:rPr>
                <w:spacing w:val="-5"/>
              </w:rPr>
              <w:t xml:space="preserve"> </w:t>
            </w:r>
            <w:r>
              <w:t>Directors</w:t>
            </w:r>
            <w:r>
              <w:rPr>
                <w:spacing w:val="-5"/>
              </w:rPr>
              <w:t xml:space="preserve"> </w:t>
            </w:r>
            <w:r>
              <w:t>Network’s</w:t>
            </w:r>
            <w:r>
              <w:rPr>
                <w:spacing w:val="-5"/>
              </w:rPr>
              <w:t xml:space="preserve"> </w:t>
            </w:r>
            <w:hyperlink r:id="rId250" w:history="1">
              <w:r>
                <w:rPr>
                  <w:rStyle w:val="Hyperlink"/>
                </w:rPr>
                <w:t>Guide</w:t>
              </w:r>
              <w:r>
                <w:rPr>
                  <w:rStyle w:val="Hyperlink"/>
                  <w:spacing w:val="-5"/>
                </w:rPr>
                <w:t xml:space="preserve"> </w:t>
              </w:r>
              <w:r>
                <w:rPr>
                  <w:rStyle w:val="Hyperlink"/>
                </w:rPr>
                <w:t>to</w:t>
              </w:r>
              <w:r>
                <w:rPr>
                  <w:rStyle w:val="Hyperlink"/>
                  <w:spacing w:val="-5"/>
                </w:rPr>
                <w:t xml:space="preserve"> </w:t>
              </w:r>
              <w:r>
                <w:rPr>
                  <w:rStyle w:val="Hyperlink"/>
                </w:rPr>
                <w:t>Equitable,</w:t>
              </w:r>
              <w:r>
                <w:rPr>
                  <w:rStyle w:val="Hyperlink"/>
                  <w:spacing w:val="-5"/>
                </w:rPr>
                <w:t xml:space="preserve"> </w:t>
              </w:r>
              <w:r>
                <w:rPr>
                  <w:rStyle w:val="Hyperlink"/>
                </w:rPr>
                <w:t>Community-Driven Climate Preparedness Planning</w:t>
              </w:r>
            </w:hyperlink>
            <w:r>
              <w:t xml:space="preserve"> </w:t>
            </w:r>
          </w:p>
          <w:p w14:paraId="18A54BCC" w14:textId="4C155297" w:rsidR="007F0523" w:rsidRPr="00961166" w:rsidRDefault="007F0523">
            <w:pPr>
              <w:pStyle w:val="ListParagraph"/>
              <w:widowControl w:val="0"/>
              <w:numPr>
                <w:ilvl w:val="0"/>
                <w:numId w:val="22"/>
              </w:numPr>
              <w:tabs>
                <w:tab w:val="left" w:pos="1620"/>
              </w:tabs>
              <w:autoSpaceDE w:val="0"/>
              <w:autoSpaceDN w:val="0"/>
              <w:spacing w:before="160" w:after="160"/>
            </w:pPr>
            <w:r>
              <w:t xml:space="preserve">NAACP’s </w:t>
            </w:r>
            <w:hyperlink r:id="rId251" w:history="1">
              <w:r>
                <w:rPr>
                  <w:rStyle w:val="Hyperlink"/>
                </w:rPr>
                <w:t>Our Communities Our Power: Advancing Resistance and Resilience in Climate Change Adaptation Action Toolkit</w:t>
              </w:r>
            </w:hyperlink>
          </w:p>
          <w:p w14:paraId="18598AE2" w14:textId="647F460C" w:rsidR="007F0523" w:rsidRDefault="007F0523">
            <w:pPr>
              <w:pStyle w:val="ListParagraph"/>
              <w:widowControl w:val="0"/>
              <w:numPr>
                <w:ilvl w:val="0"/>
                <w:numId w:val="22"/>
              </w:numPr>
              <w:tabs>
                <w:tab w:val="left" w:pos="1620"/>
              </w:tabs>
              <w:autoSpaceDE w:val="0"/>
              <w:autoSpaceDN w:val="0"/>
              <w:spacing w:after="160"/>
            </w:pPr>
            <w:r>
              <w:t>Local</w:t>
            </w:r>
            <w:r>
              <w:rPr>
                <w:spacing w:val="-6"/>
              </w:rPr>
              <w:t xml:space="preserve"> </w:t>
            </w:r>
            <w:r>
              <w:t>and</w:t>
            </w:r>
            <w:r>
              <w:rPr>
                <w:spacing w:val="-5"/>
              </w:rPr>
              <w:t xml:space="preserve"> </w:t>
            </w:r>
            <w:r>
              <w:t>Regional</w:t>
            </w:r>
            <w:r>
              <w:rPr>
                <w:spacing w:val="-6"/>
              </w:rPr>
              <w:t xml:space="preserve"> </w:t>
            </w:r>
            <w:r>
              <w:t>Government</w:t>
            </w:r>
            <w:r>
              <w:rPr>
                <w:spacing w:val="-5"/>
              </w:rPr>
              <w:t xml:space="preserve"> </w:t>
            </w:r>
            <w:r>
              <w:t>Alliance</w:t>
            </w:r>
            <w:r>
              <w:rPr>
                <w:spacing w:val="-5"/>
              </w:rPr>
              <w:t xml:space="preserve"> </w:t>
            </w:r>
            <w:r>
              <w:t>on</w:t>
            </w:r>
            <w:r>
              <w:rPr>
                <w:spacing w:val="-5"/>
              </w:rPr>
              <w:t xml:space="preserve"> </w:t>
            </w:r>
            <w:r>
              <w:t>Race</w:t>
            </w:r>
            <w:r>
              <w:rPr>
                <w:spacing w:val="-5"/>
              </w:rPr>
              <w:t xml:space="preserve"> </w:t>
            </w:r>
            <w:r>
              <w:t>&amp;</w:t>
            </w:r>
            <w:r>
              <w:rPr>
                <w:spacing w:val="-5"/>
              </w:rPr>
              <w:t xml:space="preserve"> </w:t>
            </w:r>
            <w:r>
              <w:t>Equity’s</w:t>
            </w:r>
            <w:r>
              <w:rPr>
                <w:spacing w:val="-5"/>
              </w:rPr>
              <w:t xml:space="preserve"> </w:t>
            </w:r>
            <w:hyperlink r:id="rId252" w:history="1">
              <w:r>
                <w:rPr>
                  <w:rStyle w:val="Hyperlink"/>
                </w:rPr>
                <w:t>Racial</w:t>
              </w:r>
              <w:r>
                <w:rPr>
                  <w:rStyle w:val="Hyperlink"/>
                  <w:spacing w:val="-6"/>
                </w:rPr>
                <w:t xml:space="preserve"> </w:t>
              </w:r>
              <w:r>
                <w:rPr>
                  <w:rStyle w:val="Hyperlink"/>
                </w:rPr>
                <w:t>Equity: Getting To Results</w:t>
              </w:r>
            </w:hyperlink>
          </w:p>
          <w:p w14:paraId="208E4808" w14:textId="77777777" w:rsidR="00FA6201" w:rsidRDefault="007F0523">
            <w:pPr>
              <w:pStyle w:val="ListParagraph"/>
              <w:numPr>
                <w:ilvl w:val="0"/>
                <w:numId w:val="22"/>
              </w:numPr>
              <w:contextualSpacing w:val="0"/>
            </w:pPr>
            <w:r>
              <w:t xml:space="preserve">The Greenlining Institute’s </w:t>
            </w:r>
            <w:hyperlink r:id="rId253" w:history="1">
              <w:r>
                <w:rPr>
                  <w:rStyle w:val="Hyperlink"/>
                </w:rPr>
                <w:t>Making Equity Real in Climate Adaptation and Community</w:t>
              </w:r>
              <w:r>
                <w:rPr>
                  <w:rStyle w:val="Hyperlink"/>
                  <w:spacing w:val="-3"/>
                </w:rPr>
                <w:t xml:space="preserve"> </w:t>
              </w:r>
              <w:r>
                <w:rPr>
                  <w:rStyle w:val="Hyperlink"/>
                </w:rPr>
                <w:t>Policies</w:t>
              </w:r>
              <w:r>
                <w:rPr>
                  <w:rStyle w:val="Hyperlink"/>
                  <w:spacing w:val="-3"/>
                </w:rPr>
                <w:t xml:space="preserve"> </w:t>
              </w:r>
              <w:r>
                <w:rPr>
                  <w:rStyle w:val="Hyperlink"/>
                </w:rPr>
                <w:t>and</w:t>
              </w:r>
              <w:r>
                <w:rPr>
                  <w:rStyle w:val="Hyperlink"/>
                  <w:spacing w:val="-3"/>
                </w:rPr>
                <w:t xml:space="preserve"> </w:t>
              </w:r>
              <w:r>
                <w:rPr>
                  <w:rStyle w:val="Hyperlink"/>
                </w:rPr>
                <w:t>Programs:</w:t>
              </w:r>
              <w:r>
                <w:rPr>
                  <w:rStyle w:val="Hyperlink"/>
                  <w:spacing w:val="-3"/>
                </w:rPr>
                <w:t xml:space="preserve"> </w:t>
              </w:r>
              <w:r>
                <w:rPr>
                  <w:rStyle w:val="Hyperlink"/>
                </w:rPr>
                <w:t>A</w:t>
              </w:r>
              <w:r>
                <w:rPr>
                  <w:rStyle w:val="Hyperlink"/>
                  <w:spacing w:val="-3"/>
                </w:rPr>
                <w:t xml:space="preserve"> </w:t>
              </w:r>
              <w:r>
                <w:rPr>
                  <w:rStyle w:val="Hyperlink"/>
                </w:rPr>
                <w:t>Guidebook</w:t>
              </w:r>
            </w:hyperlink>
          </w:p>
          <w:p w14:paraId="0704C219" w14:textId="77777777" w:rsidR="000225AF" w:rsidRPr="00FA6201" w:rsidRDefault="000225AF">
            <w:pPr>
              <w:pStyle w:val="ListParagraph"/>
              <w:numPr>
                <w:ilvl w:val="0"/>
                <w:numId w:val="22"/>
              </w:numPr>
              <w:contextualSpacing w:val="0"/>
            </w:pPr>
            <w:r w:rsidRPr="00FA6201">
              <w:t xml:space="preserve">BCDC’s </w:t>
            </w:r>
            <w:hyperlink r:id="rId254" w:history="1">
              <w:r w:rsidR="00236B14" w:rsidRPr="00FA6201">
                <w:rPr>
                  <w:rStyle w:val="Hyperlink"/>
                </w:rPr>
                <w:t>Regional Shoreline Adaptation Plan</w:t>
              </w:r>
            </w:hyperlink>
          </w:p>
          <w:p w14:paraId="357052AD" w14:textId="77777777" w:rsidR="006B6213" w:rsidRDefault="001658B1">
            <w:pPr>
              <w:pStyle w:val="ListParagraph"/>
              <w:numPr>
                <w:ilvl w:val="0"/>
                <w:numId w:val="22"/>
              </w:numPr>
              <w:spacing w:after="160"/>
              <w:contextualSpacing w:val="0"/>
            </w:pPr>
            <w:hyperlink r:id="rId255" w:history="1">
              <w:r w:rsidRPr="00E47D53">
                <w:rPr>
                  <w:rStyle w:val="Hyperlink"/>
                </w:rPr>
                <w:t>Shoreline Adaptation and the Public Trust: Protecting California’s Public Trust Resources from Sea Level Rise</w:t>
              </w:r>
            </w:hyperlink>
          </w:p>
          <w:p w14:paraId="07AD8AA7" w14:textId="253EE9A4" w:rsidR="0059350D" w:rsidRPr="006B6213" w:rsidRDefault="0059350D">
            <w:pPr>
              <w:pStyle w:val="ListParagraph"/>
              <w:numPr>
                <w:ilvl w:val="0"/>
                <w:numId w:val="22"/>
              </w:numPr>
              <w:spacing w:after="160"/>
              <w:contextualSpacing w:val="0"/>
            </w:pPr>
            <w:r w:rsidRPr="006B6213">
              <w:t>California</w:t>
            </w:r>
            <w:r w:rsidRPr="006B6213">
              <w:rPr>
                <w:color w:val="000000" w:themeColor="text1"/>
              </w:rPr>
              <w:t xml:space="preserve"> Natural Resources Agency’s (CNRA’s) </w:t>
            </w:r>
            <w:hyperlink r:id="rId256">
              <w:r w:rsidRPr="006B6213">
                <w:rPr>
                  <w:rStyle w:val="Hyperlink"/>
                </w:rPr>
                <w:t xml:space="preserve">Strategies for Climate Action </w:t>
              </w:r>
            </w:hyperlink>
            <w:r w:rsidRPr="006B6213">
              <w:rPr>
                <w:color w:val="000000" w:themeColor="text1"/>
              </w:rPr>
              <w:t xml:space="preserve"> page for state climate-action resources.</w:t>
            </w:r>
          </w:p>
          <w:p w14:paraId="2C472684" w14:textId="77777777" w:rsidR="00652E5F" w:rsidRPr="00E47D53" w:rsidRDefault="00652E5F">
            <w:pPr>
              <w:pStyle w:val="ListParagraph"/>
              <w:numPr>
                <w:ilvl w:val="0"/>
                <w:numId w:val="22"/>
              </w:numPr>
              <w:contextualSpacing w:val="0"/>
              <w:rPr>
                <w:rFonts w:cs="Arial"/>
              </w:rPr>
            </w:pPr>
            <w:hyperlink r:id="rId257" w:history="1">
              <w:r w:rsidRPr="00E47D53">
                <w:rPr>
                  <w:rStyle w:val="Hyperlink"/>
                  <w:color w:val="3333FF"/>
                </w:rPr>
                <w:t>Climate Adaptation Strategies for Transportation Infrastructure</w:t>
              </w:r>
            </w:hyperlink>
          </w:p>
          <w:p w14:paraId="6A8B9112" w14:textId="0DA26818" w:rsidR="00E47D53" w:rsidRPr="00186387" w:rsidRDefault="00E47D53">
            <w:pPr>
              <w:pStyle w:val="pf0"/>
              <w:numPr>
                <w:ilvl w:val="0"/>
                <w:numId w:val="22"/>
              </w:numPr>
              <w:spacing w:before="0" w:beforeAutospacing="0"/>
              <w:rPr>
                <w:rFonts w:ascii="Century Gothic" w:hAnsi="Century Gothic" w:cs="Arial"/>
                <w:sz w:val="28"/>
                <w:szCs w:val="28"/>
              </w:rPr>
            </w:pPr>
            <w:r w:rsidRPr="00E47D53">
              <w:rPr>
                <w:rStyle w:val="Hyperlink"/>
                <w:rFonts w:ascii="Century Gothic" w:hAnsi="Century Gothic"/>
                <w:color w:val="3333FF"/>
              </w:rPr>
              <w:t xml:space="preserve">DWR </w:t>
            </w:r>
            <w:hyperlink r:id="rId258" w:history="1">
              <w:r w:rsidRPr="00E47D53">
                <w:rPr>
                  <w:rStyle w:val="Hyperlink"/>
                  <w:rFonts w:ascii="Century Gothic" w:hAnsi="Century Gothic"/>
                  <w:color w:val="3333FF"/>
                </w:rPr>
                <w:t>Climate Action Plan</w:t>
              </w:r>
            </w:hyperlink>
            <w:r w:rsidRPr="00E47D53">
              <w:rPr>
                <w:rStyle w:val="Hyperlink"/>
                <w:rFonts w:ascii="Century Gothic" w:hAnsi="Century Gothic"/>
                <w:color w:val="3333FF"/>
              </w:rPr>
              <w:t xml:space="preserve"> and </w:t>
            </w:r>
            <w:hyperlink r:id="rId259" w:history="1">
              <w:r w:rsidRPr="00E47D53">
                <w:rPr>
                  <w:rStyle w:val="Hyperlink"/>
                  <w:rFonts w:ascii="Century Gothic" w:hAnsi="Century Gothic"/>
                  <w:color w:val="3333FF"/>
                </w:rPr>
                <w:t>GHG Emission Reduction Plan</w:t>
              </w:r>
            </w:hyperlink>
          </w:p>
        </w:tc>
      </w:tr>
    </w:tbl>
    <w:p w14:paraId="1E3889BD" w14:textId="77777777" w:rsidR="007F0523" w:rsidRDefault="007F0523" w:rsidP="0028335F">
      <w:pPr>
        <w:spacing w:before="160" w:line="240" w:lineRule="auto"/>
      </w:pPr>
    </w:p>
    <w:p w14:paraId="13D46249" w14:textId="6B38126E" w:rsidR="00CF71BD" w:rsidRDefault="00C63A3C" w:rsidP="0028335F">
      <w:pPr>
        <w:pStyle w:val="Heading3"/>
        <w:spacing w:after="160" w:line="240" w:lineRule="auto"/>
      </w:pPr>
      <w:bookmarkStart w:id="170" w:name="_bookmark88"/>
      <w:bookmarkStart w:id="171" w:name="_Toc235802713"/>
      <w:bookmarkEnd w:id="170"/>
      <w:r>
        <w:t xml:space="preserve">Step 3.3C: Equity Considerations in </w:t>
      </w:r>
      <w:r>
        <w:rPr>
          <w:spacing w:val="-2"/>
        </w:rPr>
        <w:t>Strategy</w:t>
      </w:r>
      <w:bookmarkEnd w:id="171"/>
    </w:p>
    <w:p w14:paraId="75158344" w14:textId="5AF330E8" w:rsidR="00CF71BD" w:rsidRDefault="00CF71BD" w:rsidP="0028335F">
      <w:pPr>
        <w:pStyle w:val="BodyText"/>
        <w:spacing w:before="160" w:line="240" w:lineRule="auto"/>
        <w:rPr>
          <w:b/>
          <w:bCs/>
        </w:rPr>
      </w:pPr>
      <w:r>
        <w:t xml:space="preserve">Vulnerability has underlying historical roots that should be considered when developing strategies. The </w:t>
      </w:r>
      <w:hyperlink r:id="rId260">
        <w:r w:rsidRPr="55DEB025">
          <w:rPr>
            <w:rStyle w:val="Hyperlink"/>
          </w:rPr>
          <w:t>Movement Strategy Center</w:t>
        </w:r>
      </w:hyperlink>
      <w:r>
        <w:t>, an organization that supports visions and relationships necessary to move from incremental change to transformation,</w:t>
      </w:r>
      <w:r>
        <w:rPr>
          <w:spacing w:val="-3"/>
        </w:rPr>
        <w:t xml:space="preserve"> </w:t>
      </w:r>
      <w:r>
        <w:t>describes</w:t>
      </w:r>
      <w:r>
        <w:rPr>
          <w:spacing w:val="-3"/>
        </w:rPr>
        <w:t xml:space="preserve"> </w:t>
      </w:r>
      <w:r>
        <w:t>vulnerability</w:t>
      </w:r>
      <w:r>
        <w:rPr>
          <w:spacing w:val="-3"/>
        </w:rPr>
        <w:t xml:space="preserve"> </w:t>
      </w:r>
      <w:r>
        <w:t>as</w:t>
      </w:r>
      <w:r>
        <w:rPr>
          <w:spacing w:val="-3"/>
        </w:rPr>
        <w:t xml:space="preserve"> </w:t>
      </w:r>
      <w:r>
        <w:t>a</w:t>
      </w:r>
      <w:r>
        <w:rPr>
          <w:spacing w:val="-3"/>
        </w:rPr>
        <w:t xml:space="preserve"> </w:t>
      </w:r>
      <w:r>
        <w:t>consequence</w:t>
      </w:r>
      <w:r>
        <w:rPr>
          <w:spacing w:val="-3"/>
        </w:rPr>
        <w:t xml:space="preserve"> </w:t>
      </w:r>
      <w:r>
        <w:t>and</w:t>
      </w:r>
      <w:r>
        <w:rPr>
          <w:spacing w:val="-3"/>
        </w:rPr>
        <w:t xml:space="preserve"> </w:t>
      </w:r>
      <w:r>
        <w:t>not</w:t>
      </w:r>
      <w:r>
        <w:rPr>
          <w:spacing w:val="-3"/>
        </w:rPr>
        <w:t xml:space="preserve"> </w:t>
      </w:r>
      <w:r>
        <w:t>a</w:t>
      </w:r>
      <w:r>
        <w:rPr>
          <w:spacing w:val="-3"/>
        </w:rPr>
        <w:t xml:space="preserve"> </w:t>
      </w:r>
      <w:r>
        <w:t xml:space="preserve">condition.  This approach encourages adaptation strategies that address the root causes of climate risk and not only responding to its immediate impacts. </w:t>
      </w:r>
      <w:r>
        <w:rPr>
          <w:spacing w:val="23"/>
          <w:position w:val="8"/>
          <w:sz w:val="14"/>
          <w:szCs w:val="14"/>
        </w:rPr>
        <w:t xml:space="preserve"> </w:t>
      </w:r>
      <w:r>
        <w:t>For example, a community that has been underserved by health care may be more vulnerable to health impacts from extreme heat events.</w:t>
      </w:r>
    </w:p>
    <w:p w14:paraId="57AFB47B" w14:textId="130AD9E1" w:rsidR="00CF71BD" w:rsidRDefault="00D00126" w:rsidP="0028335F">
      <w:pPr>
        <w:pStyle w:val="BodyText"/>
        <w:spacing w:before="160" w:line="240" w:lineRule="auto"/>
      </w:pPr>
      <w:r>
        <w:t>Consider setting large-scale goals for the entire community, but targeted strategies are needed to meet those goals for underserved and socially vulnerable populations. For example, a plan could set a goal of making sure that all residents, workers, and visitors can access safe, cool spaces during a heat wave. While the wealthiest residents most likely have access to private homes with air conditioning, lower-income residents may lack such resources. Cooling centers are a common</w:t>
      </w:r>
      <w:r>
        <w:rPr>
          <w:spacing w:val="-4"/>
        </w:rPr>
        <w:t xml:space="preserve"> </w:t>
      </w:r>
      <w:r>
        <w:t>strategy</w:t>
      </w:r>
      <w:r>
        <w:rPr>
          <w:spacing w:val="-4"/>
        </w:rPr>
        <w:t xml:space="preserve"> </w:t>
      </w:r>
      <w:r>
        <w:t>to</w:t>
      </w:r>
      <w:r>
        <w:rPr>
          <w:spacing w:val="-4"/>
        </w:rPr>
        <w:t xml:space="preserve"> </w:t>
      </w:r>
      <w:r>
        <w:t>deal</w:t>
      </w:r>
      <w:r>
        <w:rPr>
          <w:spacing w:val="-5"/>
        </w:rPr>
        <w:t xml:space="preserve"> </w:t>
      </w:r>
      <w:r>
        <w:t>with</w:t>
      </w:r>
      <w:r>
        <w:rPr>
          <w:spacing w:val="-4"/>
        </w:rPr>
        <w:t xml:space="preserve"> </w:t>
      </w:r>
      <w:r>
        <w:t>the</w:t>
      </w:r>
      <w:r>
        <w:rPr>
          <w:spacing w:val="-4"/>
        </w:rPr>
        <w:t xml:space="preserve"> </w:t>
      </w:r>
      <w:r>
        <w:t>immediate</w:t>
      </w:r>
      <w:r>
        <w:rPr>
          <w:spacing w:val="-4"/>
        </w:rPr>
        <w:t xml:space="preserve"> </w:t>
      </w:r>
      <w:r>
        <w:t>impacts</w:t>
      </w:r>
      <w:r>
        <w:rPr>
          <w:spacing w:val="-4"/>
        </w:rPr>
        <w:t xml:space="preserve"> </w:t>
      </w:r>
      <w:r>
        <w:t>of</w:t>
      </w:r>
      <w:r>
        <w:rPr>
          <w:spacing w:val="-4"/>
        </w:rPr>
        <w:t xml:space="preserve"> </w:t>
      </w:r>
      <w:r>
        <w:t>heat,</w:t>
      </w:r>
      <w:r>
        <w:rPr>
          <w:spacing w:val="-4"/>
        </w:rPr>
        <w:t xml:space="preserve"> </w:t>
      </w:r>
      <w:r>
        <w:t>but</w:t>
      </w:r>
      <w:r>
        <w:rPr>
          <w:spacing w:val="-4"/>
        </w:rPr>
        <w:t xml:space="preserve"> this may not meet the needs. </w:t>
      </w:r>
      <w:r>
        <w:t xml:space="preserve">These spaces also need to be accessible to those who need them. Consider accessibility to people with disabilities, public transit availability and proximity. Also consider ways to provide travel vouchers, availability of wi-fi and charging stations (including power cords), access to potable water and facilities, and staff cultural or language competencies. Prioritizing vulnerable communities and individuals in adaptation strategies is distributional equity. Equitable adaptation strategies should also create an opportunity for the communities most affected by climate impacts to help shape the future of adaptation planning processes. </w:t>
      </w:r>
    </w:p>
    <w:p w14:paraId="5DD0953A" w14:textId="2DB84070" w:rsidR="008C26DA" w:rsidRDefault="00CF71BD" w:rsidP="0028335F">
      <w:pPr>
        <w:pStyle w:val="BodyText"/>
        <w:spacing w:before="160" w:line="240" w:lineRule="auto"/>
        <w:rPr>
          <w:rFonts w:eastAsia="Century Gothic" w:cs="Century Gothic"/>
          <w:color w:val="000000" w:themeColor="text1"/>
          <w:szCs w:val="24"/>
        </w:rPr>
      </w:pPr>
      <w:r>
        <w:t>Strategies</w:t>
      </w:r>
      <w:r>
        <w:rPr>
          <w:spacing w:val="-4"/>
        </w:rPr>
        <w:t xml:space="preserve"> </w:t>
      </w:r>
      <w:r>
        <w:t>aimed</w:t>
      </w:r>
      <w:r>
        <w:rPr>
          <w:spacing w:val="-4"/>
        </w:rPr>
        <w:t xml:space="preserve"> </w:t>
      </w:r>
      <w:r>
        <w:t xml:space="preserve">at improving overall public health, the root cause of vulnerability in this case, should also be considered. Structural equity and transformative adaptation aim at addressing social inequities that contribute to climate impacts. </w:t>
      </w:r>
      <w:r>
        <w:rPr>
          <w:rFonts w:eastAsia="Century Gothic" w:cs="Century Gothic"/>
          <w:szCs w:val="24"/>
          <w:u w:val="single"/>
        </w:rPr>
        <w:fldChar w:fldCharType="begin"/>
      </w:r>
      <w:r>
        <w:rPr>
          <w:u w:val="single"/>
        </w:rPr>
        <w:instrText xml:space="preserve"> REF _Ref228452636 \h </w:instrText>
      </w:r>
      <w:r>
        <w:rPr>
          <w:rFonts w:eastAsia="Century Gothic" w:cs="Century Gothic"/>
          <w:szCs w:val="24"/>
          <w:u w:val="single"/>
        </w:rPr>
        <w:instrText xml:space="preserve"> \* MERGEFORMAT </w:instrText>
      </w:r>
      <w:r>
        <w:rPr>
          <w:rFonts w:eastAsia="Century Gothic" w:cs="Century Gothic"/>
          <w:szCs w:val="24"/>
          <w:u w:val="single"/>
        </w:rPr>
      </w:r>
      <w:r>
        <w:rPr>
          <w:rFonts w:eastAsia="Century Gothic" w:cs="Century Gothic"/>
          <w:szCs w:val="24"/>
          <w:u w:val="single"/>
        </w:rPr>
        <w:fldChar w:fldCharType="separate"/>
      </w:r>
      <w:r w:rsidR="00517691" w:rsidRPr="00517691">
        <w:rPr>
          <w:u w:val="single"/>
        </w:rPr>
        <w:t xml:space="preserve">Figure </w:t>
      </w:r>
      <w:r w:rsidR="00517691" w:rsidRPr="00517691">
        <w:rPr>
          <w:noProof/>
          <w:u w:val="single"/>
        </w:rPr>
        <w:t>21</w:t>
      </w:r>
      <w:r>
        <w:rPr>
          <w:rFonts w:eastAsia="Century Gothic" w:cs="Century Gothic"/>
          <w:szCs w:val="24"/>
          <w:u w:val="single"/>
        </w:rPr>
        <w:fldChar w:fldCharType="end"/>
      </w:r>
      <w:r>
        <w:t xml:space="preserve"> </w:t>
      </w:r>
      <w:r>
        <w:rPr>
          <w:rFonts w:eastAsia="Century Gothic" w:cs="Century Gothic"/>
          <w:color w:val="000000" w:themeColor="text1"/>
          <w:szCs w:val="24"/>
        </w:rPr>
        <w:t>shows an example approach to developing adaptation strategies and achieving equity.</w:t>
      </w:r>
    </w:p>
    <w:p w14:paraId="43F35D44" w14:textId="77777777" w:rsidR="008C26DA" w:rsidRDefault="008C26DA">
      <w:pPr>
        <w:rPr>
          <w:rFonts w:eastAsia="Century Gothic" w:cs="Century Gothic"/>
          <w:color w:val="000000" w:themeColor="text1"/>
          <w:szCs w:val="24"/>
        </w:rPr>
      </w:pPr>
      <w:r>
        <w:rPr>
          <w:rFonts w:eastAsia="Century Gothic" w:cs="Century Gothic"/>
          <w:color w:val="000000" w:themeColor="text1"/>
          <w:szCs w:val="24"/>
        </w:rPr>
        <w:br w:type="page"/>
      </w:r>
    </w:p>
    <w:tbl>
      <w:tblPr>
        <w:tblStyle w:val="TableGrid"/>
        <w:tblW w:w="10165" w:type="dxa"/>
        <w:tblInd w:w="-365" w:type="dxa"/>
        <w:tblLook w:val="04A0" w:firstRow="1" w:lastRow="0" w:firstColumn="1" w:lastColumn="0" w:noHBand="0" w:noVBand="1"/>
      </w:tblPr>
      <w:tblGrid>
        <w:gridCol w:w="10165"/>
      </w:tblGrid>
      <w:tr w:rsidR="00801ACC" w14:paraId="5B6338C7" w14:textId="77777777" w:rsidTr="0028335F">
        <w:trPr>
          <w:trHeight w:val="432"/>
        </w:trPr>
        <w:tc>
          <w:tcPr>
            <w:tcW w:w="10165" w:type="dxa"/>
            <w:shd w:val="clear" w:color="auto" w:fill="000000" w:themeFill="text1"/>
            <w:vAlign w:val="center"/>
          </w:tcPr>
          <w:p w14:paraId="46FC62B3" w14:textId="4F78B709" w:rsidR="00801ACC" w:rsidRPr="0062776A" w:rsidRDefault="00801ACC" w:rsidP="00BB5ACB">
            <w:pPr>
              <w:rPr>
                <w:b/>
                <w:bCs/>
                <w:color w:val="FFFFFF" w:themeColor="background1"/>
              </w:rPr>
            </w:pPr>
            <w:bookmarkStart w:id="172" w:name="_Ref228452636"/>
            <w:r>
              <w:rPr>
                <w:b/>
                <w:bCs/>
                <w:color w:val="FFFFFF" w:themeColor="background1"/>
              </w:rPr>
              <w:t xml:space="preserve">Figure </w:t>
            </w:r>
            <w:r>
              <w:rPr>
                <w:b/>
                <w:bCs/>
                <w:color w:val="FFFFFF" w:themeColor="background1"/>
              </w:rPr>
              <w:fldChar w:fldCharType="begin"/>
            </w:r>
            <w:r>
              <w:rPr>
                <w:b/>
                <w:bCs/>
                <w:color w:val="FFFFFF" w:themeColor="background1"/>
              </w:rPr>
              <w:instrText xml:space="preserve"> SEQ Figure \* ARABIC </w:instrText>
            </w:r>
            <w:r>
              <w:rPr>
                <w:b/>
                <w:bCs/>
                <w:color w:val="FFFFFF" w:themeColor="background1"/>
              </w:rPr>
              <w:fldChar w:fldCharType="separate"/>
            </w:r>
            <w:r w:rsidR="00517691">
              <w:rPr>
                <w:b/>
                <w:bCs/>
                <w:noProof/>
                <w:color w:val="FFFFFF" w:themeColor="background1"/>
              </w:rPr>
              <w:t>21</w:t>
            </w:r>
            <w:r>
              <w:rPr>
                <w:b/>
                <w:bCs/>
                <w:color w:val="FFFFFF" w:themeColor="background1"/>
              </w:rPr>
              <w:fldChar w:fldCharType="end"/>
            </w:r>
            <w:bookmarkEnd w:id="172"/>
            <w:r>
              <w:rPr>
                <w:b/>
                <w:bCs/>
                <w:color w:val="FFFFFF" w:themeColor="background1"/>
              </w:rPr>
              <w:t>.</w:t>
            </w:r>
            <w:r>
              <w:rPr>
                <w:b/>
                <w:bCs/>
                <w:color w:val="FFFFFF" w:themeColor="background1"/>
                <w:spacing w:val="50"/>
                <w:w w:val="150"/>
              </w:rPr>
              <w:t xml:space="preserve"> </w:t>
            </w:r>
            <w:r>
              <w:rPr>
                <w:rFonts w:eastAsia="Aptos" w:cs="Arial"/>
                <w:b/>
                <w:bCs/>
              </w:rPr>
              <w:t>An example of community adaptation solutions and transformative actions</w:t>
            </w:r>
          </w:p>
        </w:tc>
      </w:tr>
      <w:tr w:rsidR="00801ACC" w14:paraId="672E1B0A" w14:textId="77777777" w:rsidTr="00A43725">
        <w:trPr>
          <w:trHeight w:val="6192"/>
        </w:trPr>
        <w:tc>
          <w:tcPr>
            <w:tcW w:w="10165" w:type="dxa"/>
          </w:tcPr>
          <w:p w14:paraId="707B6C02" w14:textId="3CBDA179" w:rsidR="00801ACC" w:rsidRPr="0030453A" w:rsidRDefault="008B34D7" w:rsidP="008B34D7">
            <w:pPr>
              <w:pStyle w:val="BodyText"/>
              <w:spacing w:before="120"/>
              <w:rPr>
                <w:position w:val="8"/>
              </w:rPr>
            </w:pPr>
            <w:r>
              <w:rPr>
                <w:noProof/>
                <w:position w:val="8"/>
              </w:rPr>
              <w:drawing>
                <wp:inline distT="0" distB="0" distL="0" distR="0" wp14:anchorId="7CA34718" wp14:editId="6293A4D1">
                  <wp:extent cx="6292094" cy="3546282"/>
                  <wp:effectExtent l="0" t="0" r="0" b="0"/>
                  <wp:docPr id="2076040879" name="Picture 23" descr="information organized into 3 rows. Top row is the problem statement: historic neighborhood at risk to urban flooding. Middle row is the community adaptation solution: Physical improvements, such as green infrastructure to manage stormwater. The bottom row is Transformative actions: 1) Work with non-profit or community college to train neighborhood residents in the design, construction, and maintenance of green infrastructure, 2) Require contractors to hire neighborhood residents, maintain a living wage, and 3) Ensure anti-displacement policies are in place to minimize housing dis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40879" name="Picture 23" descr="information organized into 3 rows. Top row is the problem statement: historic neighborhood at risk to urban flooding. Middle row is the community adaptation solution: Physical improvements, such as green infrastructure to manage stormwater. The bottom row is Transformative actions: 1) Work with non-profit or community college to train neighborhood residents in the design, construction, and maintenance of green infrastructure, 2) Require contractors to hire neighborhood residents, maintain a living wage, and 3) Ensure anti-displacement policies are in place to minimize housing displacement"/>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299385" cy="3550392"/>
                          </a:xfrm>
                          <a:prstGeom prst="rect">
                            <a:avLst/>
                          </a:prstGeom>
                          <a:noFill/>
                          <a:ln>
                            <a:noFill/>
                          </a:ln>
                        </pic:spPr>
                      </pic:pic>
                    </a:graphicData>
                  </a:graphic>
                </wp:inline>
              </w:drawing>
            </w:r>
          </w:p>
          <w:p w14:paraId="49EB6929" w14:textId="05238604" w:rsidR="00801ACC" w:rsidRPr="00BD1594" w:rsidRDefault="00801ACC" w:rsidP="008C26DA">
            <w:pPr>
              <w:pStyle w:val="BodyText"/>
              <w:spacing w:after="120"/>
              <w:rPr>
                <w:position w:val="8"/>
              </w:rPr>
            </w:pPr>
            <w:r>
              <w:rPr>
                <w:i/>
              </w:rPr>
              <w:t>Source:</w:t>
            </w:r>
            <w:r>
              <w:rPr>
                <w:color w:val="3333FF"/>
              </w:rPr>
              <w:fldChar w:fldCharType="begin"/>
            </w:r>
            <w:r>
              <w:rPr>
                <w:color w:val="3333FF"/>
              </w:rPr>
              <w:fldChar w:fldCharType="separate"/>
            </w:r>
            <w:r>
              <w:rPr>
                <w:i/>
                <w:color w:val="3333FF"/>
                <w:spacing w:val="-2"/>
                <w:u w:val="single" w:color="3E5A82"/>
              </w:rPr>
              <w:t>Guide to Equitable Community-Driven Climate Preparedness Planning</w:t>
            </w:r>
            <w:r>
              <w:rPr>
                <w:color w:val="3333FF"/>
              </w:rPr>
              <w:fldChar w:fldCharType="end"/>
            </w:r>
            <w:r>
              <w:rPr>
                <w:i/>
                <w:color w:val="3333FF"/>
                <w:spacing w:val="-2"/>
              </w:rPr>
              <w:t xml:space="preserve"> </w:t>
            </w:r>
            <w:hyperlink r:id="rId262">
              <w:r>
                <w:rPr>
                  <w:i/>
                  <w:color w:val="3333FF"/>
                  <w:spacing w:val="-2"/>
                  <w:u w:val="single" w:color="3E5A82"/>
                </w:rPr>
                <w:t>Guide to Equitable Community-Driven Climate Preparedness Planning</w:t>
              </w:r>
            </w:hyperlink>
            <w:r>
              <w:t xml:space="preserve"> (2017)</w:t>
            </w:r>
          </w:p>
        </w:tc>
      </w:tr>
    </w:tbl>
    <w:p w14:paraId="26532003" w14:textId="5C3184D8" w:rsidR="00EF53BE" w:rsidRDefault="00CF71BD" w:rsidP="0028335F">
      <w:pPr>
        <w:pStyle w:val="BodyText"/>
        <w:spacing w:before="160" w:line="240" w:lineRule="auto"/>
      </w:pPr>
      <w:r>
        <w:t xml:space="preserve">It is also important to think about the potential unintended consequences of the strategies being considered, as they can sometimes create new vulnerabilities or exacerbate existing inequities. This is known as </w:t>
      </w:r>
      <w:r w:rsidRPr="005046D1">
        <w:rPr>
          <w:b/>
          <w:bCs/>
        </w:rPr>
        <w:t>maladaptation</w:t>
      </w:r>
      <w:r>
        <w:t xml:space="preserve">, when adaptation measures result in harmful outcomes, shift risks to other communities, or reduce the ability of vulnerable populations to adapt over time. </w:t>
      </w:r>
    </w:p>
    <w:p w14:paraId="5FC2D1E1" w14:textId="686671B5" w:rsidR="000C5174" w:rsidRDefault="00CF71BD" w:rsidP="00BE48FE">
      <w:pPr>
        <w:pStyle w:val="BodyText"/>
        <w:spacing w:before="160" w:line="240" w:lineRule="auto"/>
      </w:pPr>
      <w:r>
        <w:t xml:space="preserve">For example, while resilience investments can improve neighborhood conditions and increase property values, they may also contribute to gentrification. Gentrification can displace low-income residents, erode community networks, and diminish the resilience of populations already facing disproportionate risks.  Where possible, consider complementary actions that help existing residents remain in and benefit from their communities as adaptation investments are made. </w:t>
      </w:r>
    </w:p>
    <w:p w14:paraId="4FFA8013" w14:textId="77777777" w:rsidR="000C5174" w:rsidRPr="005C11F8" w:rsidRDefault="000C5174" w:rsidP="00BE48FE">
      <w:pPr>
        <w:pStyle w:val="ListParagraph"/>
        <w:ind w:left="0"/>
      </w:pPr>
      <w:r>
        <w:t>By proactively evaluating potential unintended consequences, identifying co-benefits and multi-benefit strategies, and centering equity throughout the planning process, teams can avoid maladaptive outcomes and ensure that climate investments reduce vulnerability, advance community priorities, and deliver lasting resilience benefits for those most impacted by climate change.</w:t>
      </w:r>
    </w:p>
    <w:p w14:paraId="310260EF" w14:textId="2ED57887" w:rsidR="00747DD7" w:rsidRDefault="00747DD7" w:rsidP="0028335F">
      <w:pPr>
        <w:pStyle w:val="BodyText"/>
        <w:spacing w:before="160" w:line="240" w:lineRule="auto"/>
      </w:pPr>
    </w:p>
    <w:tbl>
      <w:tblPr>
        <w:tblStyle w:val="TableGrid"/>
        <w:tblW w:w="9535" w:type="dxa"/>
        <w:tblLook w:val="04A0" w:firstRow="1" w:lastRow="0" w:firstColumn="1" w:lastColumn="0" w:noHBand="0" w:noVBand="1"/>
      </w:tblPr>
      <w:tblGrid>
        <w:gridCol w:w="9535"/>
      </w:tblGrid>
      <w:tr w:rsidR="00843CDA" w:rsidRPr="001410BD" w14:paraId="21A124EE" w14:textId="77777777" w:rsidTr="00224CC0">
        <w:trPr>
          <w:trHeight w:val="576"/>
        </w:trPr>
        <w:tc>
          <w:tcPr>
            <w:tcW w:w="9535" w:type="dxa"/>
            <w:tcBorders>
              <w:top w:val="nil"/>
              <w:left w:val="nil"/>
              <w:bottom w:val="nil"/>
              <w:right w:val="nil"/>
            </w:tcBorders>
            <w:shd w:val="clear" w:color="auto" w:fill="1F5485"/>
            <w:vAlign w:val="center"/>
          </w:tcPr>
          <w:p w14:paraId="0F894ECF" w14:textId="0A5C1F81" w:rsidR="00843CDA" w:rsidRPr="002809AB" w:rsidRDefault="00843CDA" w:rsidP="00224CC0">
            <w:pPr>
              <w:rPr>
                <w:b/>
                <w:color w:val="FFFFFF" w:themeColor="background1"/>
                <w:position w:val="8"/>
              </w:rPr>
            </w:pPr>
            <w:r>
              <w:rPr>
                <w:b/>
                <w:color w:val="FFFFFF" w:themeColor="background1"/>
                <w:position w:val="8"/>
              </w:rPr>
              <w:t>Case</w:t>
            </w:r>
            <w:r>
              <w:rPr>
                <w:b/>
                <w:bCs/>
                <w:color w:val="FFFFFF" w:themeColor="background1"/>
                <w:position w:val="8"/>
              </w:rPr>
              <w:t xml:space="preserve"> </w:t>
            </w:r>
            <w:r>
              <w:rPr>
                <w:b/>
                <w:color w:val="FFFFFF" w:themeColor="background1"/>
                <w:position w:val="8"/>
              </w:rPr>
              <w:t>Study:</w:t>
            </w:r>
            <w:r>
              <w:rPr>
                <w:b/>
                <w:bCs/>
                <w:color w:val="FFFFFF" w:themeColor="background1"/>
                <w:position w:val="8"/>
              </w:rPr>
              <w:t xml:space="preserve"> Bay Area Rapid Transit (BART)</w:t>
            </w:r>
            <w:r>
              <w:rPr>
                <w:b/>
                <w:color w:val="FFFFFF" w:themeColor="background1"/>
                <w:position w:val="8"/>
              </w:rPr>
              <w:t>’s</w:t>
            </w:r>
            <w:r>
              <w:rPr>
                <w:b/>
                <w:bCs/>
                <w:color w:val="FFFFFF" w:themeColor="background1"/>
                <w:position w:val="8"/>
              </w:rPr>
              <w:t xml:space="preserve"> </w:t>
            </w:r>
            <w:r>
              <w:rPr>
                <w:b/>
                <w:color w:val="FFFFFF" w:themeColor="background1"/>
                <w:position w:val="8"/>
              </w:rPr>
              <w:t>Sustainability</w:t>
            </w:r>
            <w:r>
              <w:rPr>
                <w:b/>
                <w:bCs/>
                <w:color w:val="FFFFFF" w:themeColor="background1"/>
                <w:position w:val="8"/>
              </w:rPr>
              <w:t xml:space="preserve"> </w:t>
            </w:r>
            <w:r>
              <w:rPr>
                <w:b/>
                <w:color w:val="FFFFFF" w:themeColor="background1"/>
                <w:position w:val="8"/>
              </w:rPr>
              <w:t>Action</w:t>
            </w:r>
            <w:r>
              <w:rPr>
                <w:b/>
                <w:bCs/>
                <w:color w:val="FFFFFF" w:themeColor="background1"/>
                <w:position w:val="8"/>
              </w:rPr>
              <w:t xml:space="preserve"> </w:t>
            </w:r>
            <w:r>
              <w:rPr>
                <w:b/>
                <w:color w:val="FFFFFF" w:themeColor="background1"/>
                <w:position w:val="8"/>
              </w:rPr>
              <w:t>Plan</w:t>
            </w:r>
          </w:p>
        </w:tc>
      </w:tr>
      <w:tr w:rsidR="005F47BE" w14:paraId="486CD2B7" w14:textId="77777777">
        <w:trPr>
          <w:trHeight w:val="2610"/>
        </w:trPr>
        <w:tc>
          <w:tcPr>
            <w:tcW w:w="9535" w:type="dxa"/>
            <w:tcBorders>
              <w:top w:val="nil"/>
              <w:left w:val="nil"/>
              <w:bottom w:val="nil"/>
              <w:right w:val="nil"/>
            </w:tcBorders>
            <w:shd w:val="clear" w:color="auto" w:fill="DCEAF7"/>
          </w:tcPr>
          <w:p w14:paraId="27A927D9" w14:textId="25084F2B" w:rsidR="005F47BE" w:rsidRDefault="005F47BE" w:rsidP="005F47BE">
            <w:pPr>
              <w:spacing w:before="120" w:after="160"/>
              <w:rPr>
                <w:position w:val="8"/>
              </w:rPr>
            </w:pPr>
            <w:r>
              <w:rPr>
                <w:position w:val="8"/>
              </w:rPr>
              <w:t xml:space="preserve">In January 2026, BART published its </w:t>
            </w:r>
            <w:hyperlink r:id="rId263" w:history="1">
              <w:r>
                <w:rPr>
                  <w:rStyle w:val="Hyperlink"/>
                  <w:i/>
                  <w:position w:val="8"/>
                </w:rPr>
                <w:t>2026-2035</w:t>
              </w:r>
              <w:r>
                <w:rPr>
                  <w:rStyle w:val="Hyperlink"/>
                  <w:i/>
                  <w:iCs/>
                  <w:position w:val="8"/>
                </w:rPr>
                <w:t xml:space="preserve"> </w:t>
              </w:r>
              <w:r>
                <w:rPr>
                  <w:rStyle w:val="Hyperlink"/>
                  <w:i/>
                  <w:position w:val="8"/>
                </w:rPr>
                <w:t>Sustainability</w:t>
              </w:r>
              <w:r>
                <w:rPr>
                  <w:rStyle w:val="Hyperlink"/>
                  <w:i/>
                  <w:iCs/>
                  <w:position w:val="8"/>
                </w:rPr>
                <w:t xml:space="preserve"> </w:t>
              </w:r>
              <w:r>
                <w:rPr>
                  <w:rStyle w:val="Hyperlink"/>
                  <w:i/>
                  <w:position w:val="8"/>
                </w:rPr>
                <w:t>Action</w:t>
              </w:r>
              <w:r>
                <w:rPr>
                  <w:rStyle w:val="Hyperlink"/>
                  <w:i/>
                  <w:iCs/>
                  <w:position w:val="8"/>
                </w:rPr>
                <w:t xml:space="preserve"> </w:t>
              </w:r>
              <w:r>
                <w:rPr>
                  <w:rStyle w:val="Hyperlink"/>
                  <w:i/>
                  <w:position w:val="8"/>
                </w:rPr>
                <w:t>Plan</w:t>
              </w:r>
            </w:hyperlink>
            <w:r>
              <w:t xml:space="preserve"> </w:t>
            </w:r>
            <w:r>
              <w:rPr>
                <w:position w:val="8"/>
              </w:rPr>
              <w:t>to continue supporting climate resilience, public well-being, and responsible environmental practices through its operations and services.</w:t>
            </w:r>
          </w:p>
          <w:p w14:paraId="46D3DA5C" w14:textId="3F295335" w:rsidR="005F47BE" w:rsidRDefault="005F47BE" w:rsidP="000B1CF3">
            <w:pPr>
              <w:spacing w:before="160" w:after="120"/>
              <w:rPr>
                <w:position w:val="8"/>
              </w:rPr>
            </w:pPr>
            <w:r>
              <w:rPr>
                <w:position w:val="8"/>
              </w:rPr>
              <w:t>The plan is structured around seven key categories that each outline a broad goal (APG Steps 1.1, 3.2), supported by specific actions and measurable targets (APG Step 3.3). All categories additionally focus on equity and vulnerable populations, as seen in Why It Matters at the end of this case study.</w:t>
            </w:r>
          </w:p>
        </w:tc>
      </w:tr>
      <w:tr w:rsidR="00843CDA" w14:paraId="13231398" w14:textId="77777777">
        <w:trPr>
          <w:trHeight w:val="2610"/>
        </w:trPr>
        <w:tc>
          <w:tcPr>
            <w:tcW w:w="9535" w:type="dxa"/>
            <w:tcBorders>
              <w:top w:val="nil"/>
              <w:left w:val="nil"/>
              <w:bottom w:val="nil"/>
              <w:right w:val="nil"/>
            </w:tcBorders>
            <w:shd w:val="clear" w:color="auto" w:fill="DCEAF7"/>
          </w:tcPr>
          <w:p w14:paraId="7672C186" w14:textId="421C22FA" w:rsidR="00843CDA" w:rsidRDefault="00843CDA" w:rsidP="000B1CF3">
            <w:pPr>
              <w:spacing w:before="120" w:after="160"/>
              <w:rPr>
                <w:position w:val="8"/>
              </w:rPr>
            </w:pPr>
            <w:r>
              <w:rPr>
                <w:position w:val="8"/>
              </w:rPr>
              <w:t xml:space="preserve">One category is </w:t>
            </w:r>
            <w:r>
              <w:rPr>
                <w:b/>
                <w:bCs/>
                <w:position w:val="8"/>
              </w:rPr>
              <w:t>Resilience &amp; Adaptation (RA)</w:t>
            </w:r>
            <w:r>
              <w:rPr>
                <w:position w:val="8"/>
              </w:rPr>
              <w:t>:</w:t>
            </w:r>
          </w:p>
          <w:p w14:paraId="2B773661" w14:textId="17CCD625" w:rsidR="00843CDA" w:rsidRDefault="00843CDA">
            <w:pPr>
              <w:pStyle w:val="ListParagraph"/>
              <w:numPr>
                <w:ilvl w:val="0"/>
                <w:numId w:val="27"/>
              </w:numPr>
              <w:rPr>
                <w:position w:val="8"/>
              </w:rPr>
            </w:pPr>
            <w:r>
              <w:rPr>
                <w:b/>
                <w:bCs/>
                <w:position w:val="8"/>
              </w:rPr>
              <w:t>Broad Goal</w:t>
            </w:r>
            <w:r>
              <w:rPr>
                <w:position w:val="8"/>
              </w:rPr>
              <w:t>: Adapt BART assets and operation services to be more resilient to the impacts of climate change</w:t>
            </w:r>
          </w:p>
          <w:p w14:paraId="176DF517" w14:textId="6B237378" w:rsidR="00843CDA" w:rsidRPr="00A2291D" w:rsidRDefault="00843CDA">
            <w:pPr>
              <w:pStyle w:val="ListParagraph"/>
              <w:numPr>
                <w:ilvl w:val="1"/>
                <w:numId w:val="27"/>
              </w:numPr>
              <w:rPr>
                <w:position w:val="8"/>
              </w:rPr>
            </w:pPr>
            <w:r>
              <w:rPr>
                <w:b/>
                <w:bCs/>
                <w:position w:val="8"/>
              </w:rPr>
              <w:t>RA Action 1:</w:t>
            </w:r>
            <w:r>
              <w:rPr>
                <w:position w:val="8"/>
              </w:rPr>
              <w:t xml:space="preserve"> Continue evaluating local hazards to update the LHMP every five years. The 2027 update will include consideration of social vulnerability and communities that may have the hardest time adapting or recovering after disruptions and disasters</w:t>
            </w:r>
          </w:p>
          <w:p w14:paraId="706042A1" w14:textId="7C65608A" w:rsidR="00843CDA" w:rsidRDefault="00843CDA">
            <w:pPr>
              <w:pStyle w:val="ListParagraph"/>
              <w:numPr>
                <w:ilvl w:val="2"/>
                <w:numId w:val="27"/>
              </w:numPr>
              <w:rPr>
                <w:position w:val="8"/>
              </w:rPr>
            </w:pPr>
            <w:r>
              <w:rPr>
                <w:b/>
                <w:bCs/>
                <w:position w:val="8"/>
              </w:rPr>
              <w:t xml:space="preserve">Timed Target: </w:t>
            </w:r>
            <w:r>
              <w:rPr>
                <w:position w:val="8"/>
              </w:rPr>
              <w:t>Complete update by Quarter 4 2027</w:t>
            </w:r>
          </w:p>
          <w:p w14:paraId="37E8FB12" w14:textId="0D4C4AC6" w:rsidR="00843CDA" w:rsidRDefault="00843CDA">
            <w:pPr>
              <w:pStyle w:val="ListParagraph"/>
              <w:numPr>
                <w:ilvl w:val="1"/>
                <w:numId w:val="27"/>
              </w:numPr>
              <w:rPr>
                <w:position w:val="8"/>
              </w:rPr>
            </w:pPr>
            <w:r>
              <w:rPr>
                <w:b/>
                <w:bCs/>
                <w:position w:val="8"/>
              </w:rPr>
              <w:t>RA Action 2:</w:t>
            </w:r>
            <w:r>
              <w:rPr>
                <w:position w:val="8"/>
              </w:rPr>
              <w:t xml:space="preserve"> Create Climate Resilience Roadmap</w:t>
            </w:r>
          </w:p>
          <w:p w14:paraId="7FF4C09F" w14:textId="5BA5B671" w:rsidR="00843CDA" w:rsidRDefault="00843CDA">
            <w:pPr>
              <w:pStyle w:val="ListParagraph"/>
              <w:numPr>
                <w:ilvl w:val="2"/>
                <w:numId w:val="27"/>
              </w:numPr>
              <w:rPr>
                <w:position w:val="8"/>
              </w:rPr>
            </w:pPr>
            <w:r>
              <w:rPr>
                <w:b/>
                <w:bCs/>
                <w:position w:val="8"/>
              </w:rPr>
              <w:t xml:space="preserve">Timed Target: </w:t>
            </w:r>
            <w:r>
              <w:rPr>
                <w:position w:val="8"/>
              </w:rPr>
              <w:t>Complete by Quarter 4 2028</w:t>
            </w:r>
          </w:p>
          <w:p w14:paraId="6B8E80DB" w14:textId="2B3F1187" w:rsidR="00843CDA" w:rsidRDefault="00843CDA">
            <w:pPr>
              <w:pStyle w:val="ListParagraph"/>
              <w:numPr>
                <w:ilvl w:val="1"/>
                <w:numId w:val="27"/>
              </w:numPr>
              <w:rPr>
                <w:position w:val="8"/>
              </w:rPr>
            </w:pPr>
            <w:r>
              <w:rPr>
                <w:b/>
                <w:bCs/>
                <w:position w:val="8"/>
              </w:rPr>
              <w:t>RA Action 3:</w:t>
            </w:r>
            <w:r>
              <w:rPr>
                <w:position w:val="8"/>
              </w:rPr>
              <w:t xml:space="preserve"> Pilot local passengers’ resilience hub at BART stations</w:t>
            </w:r>
          </w:p>
          <w:p w14:paraId="54F23D61" w14:textId="6959C6AA" w:rsidR="00843CDA" w:rsidRDefault="00843CDA">
            <w:pPr>
              <w:pStyle w:val="ListParagraph"/>
              <w:numPr>
                <w:ilvl w:val="2"/>
                <w:numId w:val="27"/>
              </w:numPr>
              <w:rPr>
                <w:position w:val="8"/>
              </w:rPr>
            </w:pPr>
            <w:r>
              <w:rPr>
                <w:b/>
                <w:bCs/>
                <w:position w:val="8"/>
              </w:rPr>
              <w:t xml:space="preserve">Timed Target: </w:t>
            </w:r>
            <w:r>
              <w:rPr>
                <w:position w:val="8"/>
              </w:rPr>
              <w:t>Annual reporting on partnerships and activities starting in 2026</w:t>
            </w:r>
          </w:p>
          <w:p w14:paraId="6C299AC3" w14:textId="6788FAD6" w:rsidR="00843CDA" w:rsidRPr="00BC731D" w:rsidRDefault="00843CDA">
            <w:pPr>
              <w:pStyle w:val="ListParagraph"/>
              <w:numPr>
                <w:ilvl w:val="0"/>
                <w:numId w:val="27"/>
              </w:numPr>
              <w:spacing w:after="120"/>
              <w:contextualSpacing w:val="0"/>
              <w:rPr>
                <w:position w:val="8"/>
              </w:rPr>
            </w:pPr>
            <w:r>
              <w:rPr>
                <w:b/>
                <w:bCs/>
                <w:position w:val="8"/>
              </w:rPr>
              <w:t>Why It Matters</w:t>
            </w:r>
            <w:r>
              <w:rPr>
                <w:position w:val="8"/>
              </w:rPr>
              <w:t>: A climate-resilient BART system doesn’t just keep trains running; it protects daily mobility and ensures the Bay Area stays connected, clean, and prepared for the future. Disruptions could disproportionately affect low-income and transit-dependent communities, further deepening existing inequities.</w:t>
            </w:r>
          </w:p>
        </w:tc>
      </w:tr>
    </w:tbl>
    <w:p w14:paraId="5313594A" w14:textId="06FB4941" w:rsidR="006F44B7" w:rsidRDefault="00D13B6D" w:rsidP="0028335F">
      <w:pPr>
        <w:pStyle w:val="BodyText"/>
        <w:spacing w:before="160" w:line="240" w:lineRule="auto"/>
        <w:rPr>
          <w:rFonts w:eastAsia="Century Gothic" w:cs="Century Gothic"/>
          <w:color w:val="000000" w:themeColor="text1"/>
          <w:szCs w:val="24"/>
        </w:rPr>
      </w:pPr>
      <w:r>
        <w:rPr>
          <w:rFonts w:eastAsia="Century Gothic" w:cs="Century Gothic"/>
          <w:color w:val="000000" w:themeColor="text1"/>
          <w:szCs w:val="24"/>
          <w:u w:val="single"/>
        </w:rPr>
        <w:fldChar w:fldCharType="begin"/>
      </w:r>
      <w:r>
        <w:rPr>
          <w:rFonts w:eastAsia="Century Gothic" w:cs="Century Gothic"/>
          <w:color w:val="000000" w:themeColor="text1"/>
          <w:szCs w:val="24"/>
          <w:u w:val="single"/>
        </w:rPr>
        <w:instrText xml:space="preserve"> REF _Ref229483841 \h  \* MERGEFORMAT </w:instrText>
      </w:r>
      <w:r>
        <w:rPr>
          <w:rFonts w:eastAsia="Century Gothic" w:cs="Century Gothic"/>
          <w:color w:val="000000" w:themeColor="text1"/>
          <w:szCs w:val="24"/>
          <w:u w:val="single"/>
        </w:rPr>
      </w:r>
      <w:r>
        <w:rPr>
          <w:rFonts w:eastAsia="Century Gothic" w:cs="Century Gothic"/>
          <w:color w:val="000000" w:themeColor="text1"/>
          <w:szCs w:val="24"/>
          <w:u w:val="single"/>
        </w:rPr>
        <w:fldChar w:fldCharType="separate"/>
      </w:r>
      <w:r w:rsidR="00517691" w:rsidRPr="00517691">
        <w:rPr>
          <w:rFonts w:eastAsia="Century Gothic" w:cs="Century Gothic"/>
          <w:color w:val="000000" w:themeColor="text1"/>
          <w:szCs w:val="24"/>
          <w:u w:val="single"/>
        </w:rPr>
        <w:t xml:space="preserve">Table </w:t>
      </w:r>
      <w:r w:rsidR="00517691" w:rsidRPr="00517691">
        <w:rPr>
          <w:rFonts w:eastAsia="Century Gothic" w:cs="Century Gothic"/>
          <w:noProof/>
          <w:color w:val="000000" w:themeColor="text1"/>
          <w:szCs w:val="24"/>
          <w:u w:val="single"/>
        </w:rPr>
        <w:t>19</w:t>
      </w:r>
      <w:r>
        <w:rPr>
          <w:rFonts w:eastAsia="Century Gothic" w:cs="Century Gothic"/>
          <w:color w:val="000000" w:themeColor="text1"/>
          <w:szCs w:val="24"/>
          <w:u w:val="single"/>
        </w:rPr>
        <w:fldChar w:fldCharType="end"/>
      </w:r>
      <w:r>
        <w:rPr>
          <w:rFonts w:eastAsia="Century Gothic" w:cs="Century Gothic"/>
          <w:color w:val="000000" w:themeColor="text1"/>
          <w:szCs w:val="24"/>
        </w:rPr>
        <w:t xml:space="preserve"> shows a set of questions adapted from the Greenlining Institute’s guidebook, </w:t>
      </w:r>
      <w:hyperlink r:id="rId264" w:tgtFrame="_blank" w:history="1">
        <w:r>
          <w:rPr>
            <w:rStyle w:val="Hyperlink"/>
            <w:rFonts w:eastAsia="Century Gothic" w:cs="Century Gothic"/>
            <w:szCs w:val="24"/>
          </w:rPr>
          <w:t>Making Equity Real in Climate Adaptation and Community Resilience Policies and Programs</w:t>
        </w:r>
      </w:hyperlink>
      <w:r>
        <w:rPr>
          <w:rFonts w:eastAsia="Century Gothic" w:cs="Century Gothic"/>
          <w:color w:val="000000" w:themeColor="text1"/>
          <w:szCs w:val="24"/>
        </w:rPr>
        <w:t xml:space="preserve">. The questions are partly based on the “Resiliency Guidebook: Equity Checklist” developed by the California Governor’s Office of Land Use and Climate Innovation. For consistency with the APG, </w:t>
      </w:r>
      <w:r>
        <w:rPr>
          <w:rFonts w:eastAsia="Century Gothic" w:cs="Century Gothic"/>
          <w:color w:val="000000" w:themeColor="text1"/>
          <w:szCs w:val="24"/>
        </w:rPr>
        <w:fldChar w:fldCharType="begin"/>
      </w:r>
      <w:r>
        <w:rPr>
          <w:rFonts w:eastAsia="Century Gothic" w:cs="Century Gothic"/>
          <w:color w:val="000000" w:themeColor="text1"/>
          <w:szCs w:val="24"/>
        </w:rPr>
        <w:instrText xml:space="preserve"> REF _Ref229483841 \h  \* MERGEFORMAT </w:instrText>
      </w:r>
      <w:r>
        <w:rPr>
          <w:rFonts w:eastAsia="Century Gothic" w:cs="Century Gothic"/>
          <w:color w:val="000000" w:themeColor="text1"/>
          <w:szCs w:val="24"/>
        </w:rPr>
      </w:r>
      <w:r>
        <w:rPr>
          <w:rFonts w:eastAsia="Century Gothic" w:cs="Century Gothic"/>
          <w:color w:val="000000" w:themeColor="text1"/>
          <w:szCs w:val="24"/>
        </w:rPr>
        <w:fldChar w:fldCharType="separate"/>
      </w:r>
      <w:r w:rsidR="00517691" w:rsidRPr="00517691">
        <w:rPr>
          <w:rFonts w:eastAsia="Century Gothic" w:cs="Century Gothic"/>
          <w:color w:val="000000" w:themeColor="text1"/>
          <w:szCs w:val="24"/>
        </w:rPr>
        <w:t xml:space="preserve">Table </w:t>
      </w:r>
      <w:r w:rsidR="00517691" w:rsidRPr="00517691">
        <w:rPr>
          <w:rFonts w:eastAsia="Century Gothic" w:cs="Century Gothic"/>
          <w:noProof/>
          <w:color w:val="000000" w:themeColor="text1"/>
          <w:szCs w:val="24"/>
        </w:rPr>
        <w:t>19</w:t>
      </w:r>
      <w:r>
        <w:rPr>
          <w:rFonts w:eastAsia="Century Gothic" w:cs="Century Gothic"/>
          <w:color w:val="000000" w:themeColor="text1"/>
          <w:szCs w:val="24"/>
        </w:rPr>
        <w:fldChar w:fldCharType="end"/>
      </w:r>
      <w:r>
        <w:rPr>
          <w:rFonts w:eastAsia="Century Gothic" w:cs="Century Gothic"/>
          <w:color w:val="000000" w:themeColor="text1"/>
          <w:szCs w:val="24"/>
        </w:rPr>
        <w:t xml:space="preserve"> uses the term “strategy” instead of “program or policy,” as used in Greenlining’s original table.</w:t>
      </w:r>
    </w:p>
    <w:p w14:paraId="015AD276" w14:textId="77777777" w:rsidR="00C8403D" w:rsidRDefault="00C8403D" w:rsidP="0028335F">
      <w:pPr>
        <w:pStyle w:val="BodyText"/>
        <w:spacing w:before="160" w:line="240" w:lineRule="auto"/>
        <w:rPr>
          <w:rFonts w:eastAsia="Century Gothic" w:cs="Century Gothic"/>
          <w:color w:val="000000" w:themeColor="text1"/>
          <w:szCs w:val="24"/>
        </w:rPr>
      </w:pPr>
    </w:p>
    <w:p w14:paraId="436A393F" w14:textId="77777777" w:rsidR="00C8403D" w:rsidRDefault="00C8403D" w:rsidP="0028335F">
      <w:pPr>
        <w:pStyle w:val="BodyText"/>
        <w:spacing w:before="160" w:line="240" w:lineRule="auto"/>
        <w:rPr>
          <w:rFonts w:eastAsia="Century Gothic" w:cs="Century Gothic"/>
          <w:color w:val="000000" w:themeColor="text1"/>
          <w:szCs w:val="24"/>
        </w:rPr>
      </w:pPr>
    </w:p>
    <w:p w14:paraId="56A1CB64" w14:textId="2C28320D" w:rsidR="00A61C5C" w:rsidRDefault="003B5D1B" w:rsidP="004937AC">
      <w:pPr>
        <w:pStyle w:val="BodyText"/>
        <w:spacing w:before="160" w:after="0" w:line="240" w:lineRule="auto"/>
        <w:rPr>
          <w:rFonts w:eastAsia="Century Gothic" w:cs="Century Gothic"/>
          <w:color w:val="000000" w:themeColor="text1"/>
          <w:szCs w:val="24"/>
        </w:rPr>
      </w:pPr>
      <w:bookmarkStart w:id="173" w:name="_Ref229483841"/>
      <w:r>
        <w:rPr>
          <w:rFonts w:eastAsia="Century Gothic" w:cs="Century Gothic"/>
          <w:b/>
          <w:bCs/>
          <w:color w:val="000000" w:themeColor="text1"/>
          <w:szCs w:val="24"/>
        </w:rPr>
        <w:t xml:space="preserve">Table </w:t>
      </w:r>
      <w:r>
        <w:rPr>
          <w:rFonts w:eastAsia="Century Gothic" w:cs="Century Gothic"/>
          <w:b/>
          <w:bCs/>
          <w:color w:val="000000" w:themeColor="text1"/>
          <w:szCs w:val="24"/>
        </w:rPr>
        <w:fldChar w:fldCharType="begin"/>
      </w:r>
      <w:r>
        <w:rPr>
          <w:rFonts w:eastAsia="Century Gothic" w:cs="Century Gothic"/>
          <w:b/>
          <w:bCs/>
          <w:color w:val="000000" w:themeColor="text1"/>
          <w:szCs w:val="24"/>
        </w:rPr>
        <w:instrText xml:space="preserve"> SEQ Table \* ARABIC </w:instrText>
      </w:r>
      <w:r>
        <w:rPr>
          <w:rFonts w:eastAsia="Century Gothic" w:cs="Century Gothic"/>
          <w:b/>
          <w:bCs/>
          <w:color w:val="000000" w:themeColor="text1"/>
          <w:szCs w:val="24"/>
        </w:rPr>
        <w:fldChar w:fldCharType="separate"/>
      </w:r>
      <w:r w:rsidR="00517691">
        <w:rPr>
          <w:rFonts w:eastAsia="Century Gothic" w:cs="Century Gothic"/>
          <w:b/>
          <w:bCs/>
          <w:noProof/>
          <w:color w:val="000000" w:themeColor="text1"/>
          <w:szCs w:val="24"/>
        </w:rPr>
        <w:t>19</w:t>
      </w:r>
      <w:r>
        <w:rPr>
          <w:rFonts w:eastAsia="Century Gothic" w:cs="Century Gothic"/>
          <w:b/>
          <w:bCs/>
          <w:color w:val="000000" w:themeColor="text1"/>
          <w:szCs w:val="24"/>
        </w:rPr>
        <w:fldChar w:fldCharType="end"/>
      </w:r>
      <w:bookmarkEnd w:id="173"/>
      <w:r>
        <w:rPr>
          <w:rFonts w:eastAsia="Century Gothic" w:cs="Century Gothic"/>
          <w:b/>
          <w:bCs/>
          <w:color w:val="000000" w:themeColor="text1"/>
          <w:szCs w:val="24"/>
        </w:rPr>
        <w:t>. Questions to ensure equity in adaptation process</w:t>
      </w:r>
    </w:p>
    <w:tbl>
      <w:tblPr>
        <w:tblStyle w:val="TableGrid"/>
        <w:tblW w:w="9445" w:type="dxa"/>
        <w:tblLook w:val="01E0" w:firstRow="1" w:lastRow="1" w:firstColumn="1" w:lastColumn="1" w:noHBand="0" w:noVBand="0"/>
        <w:tblDescription w:val="13 topics and questions to keep in mind to ensure equity"/>
      </w:tblPr>
      <w:tblGrid>
        <w:gridCol w:w="2335"/>
        <w:gridCol w:w="7110"/>
      </w:tblGrid>
      <w:tr w:rsidR="5981461B" w14:paraId="281D5E7B" w14:textId="77777777" w:rsidTr="00014C33">
        <w:trPr>
          <w:trHeight w:val="288"/>
          <w:tblHeader/>
        </w:trPr>
        <w:tc>
          <w:tcPr>
            <w:tcW w:w="2335" w:type="dxa"/>
            <w:shd w:val="clear" w:color="auto" w:fill="000000" w:themeFill="text1"/>
            <w:tcMar>
              <w:left w:w="105" w:type="dxa"/>
              <w:right w:w="105" w:type="dxa"/>
            </w:tcMar>
            <w:vAlign w:val="center"/>
          </w:tcPr>
          <w:p w14:paraId="194463FC" w14:textId="328ABFC0" w:rsidR="5981461B" w:rsidRDefault="5981461B" w:rsidP="00BA2A35">
            <w:pPr>
              <w:pStyle w:val="TableParagraph"/>
              <w:ind w:left="-23"/>
            </w:pPr>
            <w:r>
              <w:rPr>
                <w:b/>
                <w:bCs/>
              </w:rPr>
              <w:t>Topic</w:t>
            </w:r>
          </w:p>
        </w:tc>
        <w:tc>
          <w:tcPr>
            <w:tcW w:w="7110" w:type="dxa"/>
            <w:shd w:val="clear" w:color="auto" w:fill="000000" w:themeFill="text1"/>
            <w:tcMar>
              <w:left w:w="105" w:type="dxa"/>
              <w:right w:w="105" w:type="dxa"/>
            </w:tcMar>
            <w:vAlign w:val="center"/>
          </w:tcPr>
          <w:p w14:paraId="422AFA8E" w14:textId="7728DA92" w:rsidR="5981461B" w:rsidRDefault="5981461B" w:rsidP="00BA2A35">
            <w:pPr>
              <w:pStyle w:val="TableParagraph"/>
              <w:ind w:left="-5"/>
            </w:pPr>
            <w:r>
              <w:rPr>
                <w:b/>
                <w:bCs/>
              </w:rPr>
              <w:t>Questions</w:t>
            </w:r>
          </w:p>
        </w:tc>
      </w:tr>
      <w:tr w:rsidR="5981461B" w14:paraId="58073655" w14:textId="77777777" w:rsidTr="00747DD7">
        <w:trPr>
          <w:trHeight w:val="885"/>
        </w:trPr>
        <w:tc>
          <w:tcPr>
            <w:tcW w:w="2335" w:type="dxa"/>
            <w:tcMar>
              <w:left w:w="105" w:type="dxa"/>
              <w:right w:w="105" w:type="dxa"/>
            </w:tcMar>
          </w:tcPr>
          <w:p w14:paraId="4BA296BB" w14:textId="77915106" w:rsidR="5981461B" w:rsidRDefault="5981461B" w:rsidP="00BA2A35">
            <w:pPr>
              <w:pStyle w:val="TableParagraph"/>
              <w:ind w:left="-23" w:right="-21"/>
            </w:pPr>
            <w:r>
              <w:t>Identifying vulnerable populations</w:t>
            </w:r>
          </w:p>
        </w:tc>
        <w:tc>
          <w:tcPr>
            <w:tcW w:w="7110" w:type="dxa"/>
            <w:tcMar>
              <w:left w:w="105" w:type="dxa"/>
              <w:right w:w="105" w:type="dxa"/>
            </w:tcMar>
          </w:tcPr>
          <w:p w14:paraId="01780D4F" w14:textId="15D416F6" w:rsidR="5981461B" w:rsidRDefault="5981461B" w:rsidP="00C966A4">
            <w:pPr>
              <w:pStyle w:val="TableParagraph"/>
              <w:spacing w:after="160"/>
              <w:ind w:left="0"/>
            </w:pPr>
            <w:r>
              <w:t>Which vulnerable populations may be impacted by or could benefit from the strategy?</w:t>
            </w:r>
          </w:p>
          <w:p w14:paraId="708B1ABE" w14:textId="06E5C308" w:rsidR="5981461B" w:rsidRDefault="5981461B" w:rsidP="00BA2A35">
            <w:pPr>
              <w:pStyle w:val="TableParagraph"/>
              <w:ind w:left="-5"/>
            </w:pPr>
            <w:r>
              <w:t>How has the community identified these populations?</w:t>
            </w:r>
          </w:p>
        </w:tc>
      </w:tr>
      <w:tr w:rsidR="5981461B" w14:paraId="54D776D6" w14:textId="77777777" w:rsidTr="00014C33">
        <w:trPr>
          <w:trHeight w:val="615"/>
        </w:trPr>
        <w:tc>
          <w:tcPr>
            <w:tcW w:w="2335" w:type="dxa"/>
            <w:shd w:val="clear" w:color="auto" w:fill="D9D9D9" w:themeFill="background1" w:themeFillShade="D9"/>
            <w:tcMar>
              <w:left w:w="105" w:type="dxa"/>
              <w:right w:w="105" w:type="dxa"/>
            </w:tcMar>
          </w:tcPr>
          <w:p w14:paraId="6F630A01" w14:textId="0A6C4A76" w:rsidR="5981461B" w:rsidRDefault="5981461B" w:rsidP="00BA2A35">
            <w:pPr>
              <w:pStyle w:val="TableParagraph"/>
              <w:ind w:left="-23" w:right="-21"/>
            </w:pPr>
            <w:r>
              <w:t>Targeted Funding</w:t>
            </w:r>
          </w:p>
        </w:tc>
        <w:tc>
          <w:tcPr>
            <w:tcW w:w="7110" w:type="dxa"/>
            <w:shd w:val="clear" w:color="auto" w:fill="D9D9D9" w:themeFill="background1" w:themeFillShade="D9"/>
            <w:tcMar>
              <w:left w:w="105" w:type="dxa"/>
              <w:right w:w="105" w:type="dxa"/>
            </w:tcMar>
          </w:tcPr>
          <w:p w14:paraId="3213FC80" w14:textId="04B230D5" w:rsidR="5981461B" w:rsidRDefault="5981461B" w:rsidP="00BA2A35">
            <w:pPr>
              <w:pStyle w:val="TableParagraph"/>
              <w:ind w:left="-5"/>
            </w:pPr>
            <w:r>
              <w:t>Does the strategy have dedicated set-asides for vulnerable communities?</w:t>
            </w:r>
          </w:p>
        </w:tc>
      </w:tr>
      <w:tr w:rsidR="5981461B" w14:paraId="6C3A274E" w14:textId="77777777" w:rsidTr="00747DD7">
        <w:trPr>
          <w:trHeight w:val="1530"/>
        </w:trPr>
        <w:tc>
          <w:tcPr>
            <w:tcW w:w="2335" w:type="dxa"/>
            <w:tcMar>
              <w:left w:w="105" w:type="dxa"/>
              <w:right w:w="105" w:type="dxa"/>
            </w:tcMar>
          </w:tcPr>
          <w:p w14:paraId="000BAD4C" w14:textId="6F7BE96B" w:rsidR="5981461B" w:rsidRDefault="5981461B" w:rsidP="00BA2A35">
            <w:pPr>
              <w:pStyle w:val="TableParagraph"/>
              <w:ind w:left="-23" w:right="-21"/>
            </w:pPr>
            <w:r>
              <w:t>Accessibility</w:t>
            </w:r>
          </w:p>
        </w:tc>
        <w:tc>
          <w:tcPr>
            <w:tcW w:w="7110" w:type="dxa"/>
            <w:tcMar>
              <w:left w:w="105" w:type="dxa"/>
              <w:right w:w="105" w:type="dxa"/>
            </w:tcMar>
          </w:tcPr>
          <w:p w14:paraId="7DA663D2" w14:textId="4B58F546" w:rsidR="5981461B" w:rsidRDefault="5981461B" w:rsidP="00BA2A35">
            <w:pPr>
              <w:pStyle w:val="TableParagraph"/>
              <w:ind w:left="-5"/>
            </w:pPr>
            <w:r>
              <w:t>Are the benefits of the proposed strategy broadly accessible to households throughout the community, particularly communities of color, low-income populations, housing-insecure households, people with disabilities, people experiencing homelessness, Tribal and indigenous communities, and immigrant communities?</w:t>
            </w:r>
          </w:p>
        </w:tc>
      </w:tr>
      <w:tr w:rsidR="5981461B" w14:paraId="633CC359" w14:textId="77777777" w:rsidTr="00014C33">
        <w:trPr>
          <w:trHeight w:val="1425"/>
        </w:trPr>
        <w:tc>
          <w:tcPr>
            <w:tcW w:w="2335" w:type="dxa"/>
            <w:shd w:val="clear" w:color="auto" w:fill="D9D9D9" w:themeFill="background1" w:themeFillShade="D9"/>
            <w:tcMar>
              <w:left w:w="105" w:type="dxa"/>
              <w:right w:w="105" w:type="dxa"/>
            </w:tcMar>
          </w:tcPr>
          <w:p w14:paraId="1BF4970D" w14:textId="60676BD8" w:rsidR="5981461B" w:rsidRDefault="5981461B" w:rsidP="00BA2A35">
            <w:pPr>
              <w:pStyle w:val="TableParagraph"/>
              <w:ind w:left="-23" w:right="-21"/>
            </w:pPr>
            <w:r>
              <w:t>Engagement</w:t>
            </w:r>
          </w:p>
        </w:tc>
        <w:tc>
          <w:tcPr>
            <w:tcW w:w="7110" w:type="dxa"/>
            <w:shd w:val="clear" w:color="auto" w:fill="D9D9D9" w:themeFill="background1" w:themeFillShade="D9"/>
            <w:tcMar>
              <w:left w:w="105" w:type="dxa"/>
              <w:right w:w="105" w:type="dxa"/>
            </w:tcMar>
          </w:tcPr>
          <w:p w14:paraId="5AE07532" w14:textId="3D4DCD0E" w:rsidR="000406E8" w:rsidRDefault="008D7856" w:rsidP="000406E8">
            <w:pPr>
              <w:pStyle w:val="TableParagraph"/>
              <w:spacing w:after="160"/>
              <w:ind w:left="0"/>
            </w:pPr>
            <w:r>
              <w:t>Is the process designed to collaborate with vulnerable populations that engages and empowers them in a meaningful, authentic and culturally appropriate manner?</w:t>
            </w:r>
          </w:p>
          <w:p w14:paraId="1F3BA285" w14:textId="556C9408" w:rsidR="5981461B" w:rsidRDefault="5981461B" w:rsidP="00BA2A35">
            <w:pPr>
              <w:pStyle w:val="TableParagraph"/>
              <w:ind w:left="-5"/>
            </w:pPr>
            <w:r>
              <w:t>Which best practices for community engagement are being implemented?</w:t>
            </w:r>
          </w:p>
        </w:tc>
      </w:tr>
      <w:tr w:rsidR="5981461B" w14:paraId="0F3D44D1" w14:textId="77777777" w:rsidTr="00747DD7">
        <w:trPr>
          <w:trHeight w:val="1245"/>
        </w:trPr>
        <w:tc>
          <w:tcPr>
            <w:tcW w:w="2335" w:type="dxa"/>
            <w:tcMar>
              <w:left w:w="105" w:type="dxa"/>
              <w:right w:w="105" w:type="dxa"/>
            </w:tcMar>
          </w:tcPr>
          <w:p w14:paraId="1458DA0B" w14:textId="21FD9AC9" w:rsidR="5981461B" w:rsidRDefault="5981461B" w:rsidP="00BA2A35">
            <w:pPr>
              <w:pStyle w:val="TableParagraph"/>
              <w:ind w:left="-23" w:right="-21"/>
            </w:pPr>
            <w:r>
              <w:t>Assured Benefits</w:t>
            </w:r>
          </w:p>
        </w:tc>
        <w:tc>
          <w:tcPr>
            <w:tcW w:w="7110" w:type="dxa"/>
            <w:tcMar>
              <w:left w:w="105" w:type="dxa"/>
              <w:right w:w="105" w:type="dxa"/>
            </w:tcMar>
          </w:tcPr>
          <w:p w14:paraId="3FF5BEA8" w14:textId="21C3B5B1" w:rsidR="5981461B" w:rsidRDefault="5981461B" w:rsidP="00BA2A35">
            <w:pPr>
              <w:pStyle w:val="TableParagraph"/>
              <w:ind w:left="-5"/>
            </w:pPr>
            <w:r>
              <w:t>What mechanisms will be used to assure particular benefits to vulnerable populations (e.g. provide technical assistance or capacity building, provide jobs, provide extra financial resources or investments)?</w:t>
            </w:r>
          </w:p>
        </w:tc>
      </w:tr>
      <w:tr w:rsidR="5981461B" w14:paraId="18299B39" w14:textId="77777777" w:rsidTr="00014C33">
        <w:trPr>
          <w:trHeight w:val="1215"/>
        </w:trPr>
        <w:tc>
          <w:tcPr>
            <w:tcW w:w="2335" w:type="dxa"/>
            <w:shd w:val="clear" w:color="auto" w:fill="D9D9D9" w:themeFill="background1" w:themeFillShade="D9"/>
            <w:tcMar>
              <w:left w:w="105" w:type="dxa"/>
              <w:right w:w="105" w:type="dxa"/>
            </w:tcMar>
          </w:tcPr>
          <w:p w14:paraId="244DAFB2" w14:textId="087E65E7" w:rsidR="5981461B" w:rsidRDefault="5981461B" w:rsidP="00BA2A35">
            <w:pPr>
              <w:pStyle w:val="TableParagraph"/>
              <w:ind w:left="-23" w:right="-21"/>
            </w:pPr>
            <w:r>
              <w:t>Disproportionate Impacts</w:t>
            </w:r>
          </w:p>
        </w:tc>
        <w:tc>
          <w:tcPr>
            <w:tcW w:w="7110" w:type="dxa"/>
            <w:shd w:val="clear" w:color="auto" w:fill="D9D9D9" w:themeFill="background1" w:themeFillShade="D9"/>
            <w:tcMar>
              <w:left w:w="105" w:type="dxa"/>
              <w:right w:w="105" w:type="dxa"/>
            </w:tcMar>
          </w:tcPr>
          <w:p w14:paraId="67E04FC8" w14:textId="1D0BBEB3" w:rsidR="5981461B" w:rsidRDefault="5981461B" w:rsidP="00C966A4">
            <w:pPr>
              <w:pStyle w:val="TableParagraph"/>
              <w:spacing w:after="160"/>
              <w:ind w:left="0"/>
            </w:pPr>
            <w:r>
              <w:t>Does the strategy generate burdens (including displacement and increased costs), either directly or indirectly, on vulnerable populations?</w:t>
            </w:r>
          </w:p>
          <w:p w14:paraId="735E4866" w14:textId="4B3B165B" w:rsidR="5981461B" w:rsidRDefault="5981461B" w:rsidP="00BA2A35">
            <w:pPr>
              <w:pStyle w:val="TableParagraph"/>
              <w:ind w:left="-5"/>
            </w:pPr>
            <w:r>
              <w:t>If yes, how will they be addressed and mitigated?</w:t>
            </w:r>
          </w:p>
        </w:tc>
      </w:tr>
      <w:tr w:rsidR="5981461B" w14:paraId="3B8E51DB" w14:textId="77777777" w:rsidTr="00747DD7">
        <w:trPr>
          <w:trHeight w:val="945"/>
        </w:trPr>
        <w:tc>
          <w:tcPr>
            <w:tcW w:w="2335" w:type="dxa"/>
            <w:tcMar>
              <w:left w:w="105" w:type="dxa"/>
              <w:right w:w="105" w:type="dxa"/>
            </w:tcMar>
          </w:tcPr>
          <w:p w14:paraId="543F7672" w14:textId="6E8037BB" w:rsidR="5981461B" w:rsidRDefault="5981461B" w:rsidP="00BA2A35">
            <w:pPr>
              <w:pStyle w:val="TableParagraph"/>
              <w:ind w:left="-23" w:right="-21"/>
            </w:pPr>
            <w:r>
              <w:t>Capacity Building</w:t>
            </w:r>
          </w:p>
        </w:tc>
        <w:tc>
          <w:tcPr>
            <w:tcW w:w="7110" w:type="dxa"/>
            <w:tcMar>
              <w:left w:w="105" w:type="dxa"/>
              <w:right w:w="105" w:type="dxa"/>
            </w:tcMar>
          </w:tcPr>
          <w:p w14:paraId="1366088B" w14:textId="11B88137" w:rsidR="5981461B" w:rsidRDefault="5981461B" w:rsidP="00BA2A35">
            <w:pPr>
              <w:pStyle w:val="TableParagraph"/>
              <w:ind w:left="-5"/>
            </w:pPr>
            <w:r>
              <w:t>How will the strategy provide for local capacity building (e.g. through funding, expanded knowledge base or other resources)?</w:t>
            </w:r>
          </w:p>
        </w:tc>
      </w:tr>
      <w:tr w:rsidR="5981461B" w14:paraId="55A4BB5B" w14:textId="77777777" w:rsidTr="00014C33">
        <w:trPr>
          <w:trHeight w:val="1680"/>
        </w:trPr>
        <w:tc>
          <w:tcPr>
            <w:tcW w:w="2335" w:type="dxa"/>
            <w:shd w:val="clear" w:color="auto" w:fill="D9D9D9" w:themeFill="background1" w:themeFillShade="D9"/>
            <w:tcMar>
              <w:left w:w="105" w:type="dxa"/>
              <w:right w:w="105" w:type="dxa"/>
            </w:tcMar>
          </w:tcPr>
          <w:p w14:paraId="5F177F7A" w14:textId="70A052CD" w:rsidR="5981461B" w:rsidRDefault="5981461B" w:rsidP="00BA2A35">
            <w:pPr>
              <w:pStyle w:val="TableParagraph"/>
              <w:ind w:left="-23" w:right="-21"/>
            </w:pPr>
            <w:r>
              <w:t>Relationship Building</w:t>
            </w:r>
          </w:p>
        </w:tc>
        <w:tc>
          <w:tcPr>
            <w:tcW w:w="7110" w:type="dxa"/>
            <w:shd w:val="clear" w:color="auto" w:fill="D9D9D9" w:themeFill="background1" w:themeFillShade="D9"/>
            <w:tcMar>
              <w:left w:w="105" w:type="dxa"/>
              <w:right w:w="105" w:type="dxa"/>
            </w:tcMar>
          </w:tcPr>
          <w:p w14:paraId="0150CFAE" w14:textId="2C2263B9" w:rsidR="5981461B" w:rsidRDefault="5981461B" w:rsidP="00C966A4">
            <w:pPr>
              <w:pStyle w:val="TableParagraph"/>
              <w:spacing w:after="160"/>
              <w:ind w:left="0"/>
            </w:pPr>
            <w:r>
              <w:t>Does the strategy help foster the building of effective, long-term relationships and trust between diverse communities and government?</w:t>
            </w:r>
          </w:p>
          <w:p w14:paraId="55B7EB87" w14:textId="3CF1EE9E" w:rsidR="5981461B" w:rsidRDefault="5981461B" w:rsidP="00BA2A35">
            <w:pPr>
              <w:pStyle w:val="TableParagraph"/>
              <w:ind w:left="-5"/>
            </w:pPr>
            <w:r>
              <w:t>Does the strategy align with and support existing community priorities, creating an opportunity to leverage resources and build collaborative partnerships?</w:t>
            </w:r>
          </w:p>
        </w:tc>
      </w:tr>
      <w:tr w:rsidR="5981461B" w14:paraId="3DAC70C6" w14:textId="77777777" w:rsidTr="00747DD7">
        <w:trPr>
          <w:trHeight w:val="305"/>
        </w:trPr>
        <w:tc>
          <w:tcPr>
            <w:tcW w:w="2335" w:type="dxa"/>
            <w:tcMar>
              <w:left w:w="105" w:type="dxa"/>
              <w:right w:w="105" w:type="dxa"/>
            </w:tcMar>
          </w:tcPr>
          <w:p w14:paraId="31FECE9F" w14:textId="5F78447F" w:rsidR="5981461B" w:rsidRDefault="5981461B" w:rsidP="00BA2A35">
            <w:pPr>
              <w:pStyle w:val="TableParagraph"/>
              <w:ind w:left="-23" w:right="-21"/>
            </w:pPr>
            <w:r>
              <w:t>Shared and Multiple Benefits</w:t>
            </w:r>
          </w:p>
        </w:tc>
        <w:tc>
          <w:tcPr>
            <w:tcW w:w="7110" w:type="dxa"/>
            <w:tcMar>
              <w:left w:w="105" w:type="dxa"/>
              <w:right w:w="105" w:type="dxa"/>
            </w:tcMar>
          </w:tcPr>
          <w:p w14:paraId="0BEC5EEB" w14:textId="4BF22593" w:rsidR="5981461B" w:rsidRDefault="5981461B" w:rsidP="00D074B4">
            <w:pPr>
              <w:pStyle w:val="TableParagraph"/>
              <w:spacing w:after="160"/>
              <w:ind w:left="0"/>
            </w:pPr>
            <w:r>
              <w:t>How may the strategy decrease inequality in income or wealth?</w:t>
            </w:r>
          </w:p>
          <w:p w14:paraId="326F5A8E" w14:textId="684BE435" w:rsidR="5981461B" w:rsidRDefault="5981461B" w:rsidP="00C966A4">
            <w:pPr>
              <w:pStyle w:val="TableParagraph"/>
              <w:spacing w:after="160"/>
              <w:ind w:left="0"/>
            </w:pPr>
            <w:r>
              <w:t>How does the strategy increase adaptive capacity and/or reduce exposure to climate change effects in frontline communities?</w:t>
            </w:r>
          </w:p>
          <w:p w14:paraId="4173080E" w14:textId="0B6B2AE8" w:rsidR="5981461B" w:rsidRDefault="5981461B" w:rsidP="00C966A4">
            <w:pPr>
              <w:pStyle w:val="TableParagraph"/>
              <w:spacing w:after="160"/>
              <w:ind w:left="0"/>
            </w:pPr>
            <w:r>
              <w:t>Can the benefits of the strategy be targeted in progressive ways to reduce historical or current disparities?</w:t>
            </w:r>
          </w:p>
          <w:p w14:paraId="52E47942" w14:textId="6DD3A21D" w:rsidR="5981461B" w:rsidRDefault="5981461B" w:rsidP="00C966A4">
            <w:pPr>
              <w:pStyle w:val="TableParagraph"/>
              <w:ind w:left="0"/>
            </w:pPr>
            <w:r>
              <w:t>How may the strategy ensure safety and improve health outcomes for vulnerable populations?</w:t>
            </w:r>
          </w:p>
        </w:tc>
      </w:tr>
      <w:tr w:rsidR="5981461B" w14:paraId="06D5F3FA" w14:textId="77777777" w:rsidTr="00014C33">
        <w:trPr>
          <w:trHeight w:val="930"/>
        </w:trPr>
        <w:tc>
          <w:tcPr>
            <w:tcW w:w="2335" w:type="dxa"/>
            <w:shd w:val="clear" w:color="auto" w:fill="D9D9D9" w:themeFill="background1" w:themeFillShade="D9"/>
            <w:tcMar>
              <w:left w:w="105" w:type="dxa"/>
              <w:right w:w="105" w:type="dxa"/>
            </w:tcMar>
          </w:tcPr>
          <w:p w14:paraId="5A7F3CCA" w14:textId="571A1EB8" w:rsidR="5981461B" w:rsidRDefault="5981461B" w:rsidP="00BA2A35">
            <w:pPr>
              <w:pStyle w:val="TableParagraph"/>
              <w:ind w:left="-23" w:right="-21"/>
            </w:pPr>
            <w:r>
              <w:t>Economic Opportunity</w:t>
            </w:r>
          </w:p>
        </w:tc>
        <w:tc>
          <w:tcPr>
            <w:tcW w:w="7110" w:type="dxa"/>
            <w:shd w:val="clear" w:color="auto" w:fill="D9D9D9" w:themeFill="background1" w:themeFillShade="D9"/>
            <w:tcMar>
              <w:left w:w="105" w:type="dxa"/>
              <w:right w:w="105" w:type="dxa"/>
            </w:tcMar>
          </w:tcPr>
          <w:p w14:paraId="47BD13F6" w14:textId="0D36EACB" w:rsidR="5981461B" w:rsidRDefault="5981461B" w:rsidP="00BA2A35">
            <w:pPr>
              <w:pStyle w:val="TableParagraph"/>
              <w:ind w:left="-5"/>
            </w:pPr>
            <w:r>
              <w:t>Does the proposed strategy support vulnerable communities through workforce development, affordable housing, or contracting opportunities?</w:t>
            </w:r>
          </w:p>
        </w:tc>
      </w:tr>
      <w:tr w:rsidR="5981461B" w14:paraId="4D04AA09" w14:textId="77777777" w:rsidTr="00747DD7">
        <w:trPr>
          <w:trHeight w:val="1500"/>
        </w:trPr>
        <w:tc>
          <w:tcPr>
            <w:tcW w:w="2335" w:type="dxa"/>
            <w:tcMar>
              <w:left w:w="105" w:type="dxa"/>
              <w:right w:w="105" w:type="dxa"/>
            </w:tcMar>
          </w:tcPr>
          <w:p w14:paraId="2F463B63" w14:textId="7FA325D8" w:rsidR="5981461B" w:rsidRDefault="5981461B" w:rsidP="00BA2A35">
            <w:pPr>
              <w:pStyle w:val="TableParagraph"/>
              <w:ind w:left="-23" w:right="-21"/>
            </w:pPr>
            <w:r>
              <w:t>Accountability</w:t>
            </w:r>
          </w:p>
        </w:tc>
        <w:tc>
          <w:tcPr>
            <w:tcW w:w="7110" w:type="dxa"/>
            <w:tcMar>
              <w:left w:w="105" w:type="dxa"/>
              <w:right w:w="105" w:type="dxa"/>
            </w:tcMar>
          </w:tcPr>
          <w:p w14:paraId="0EF25C25" w14:textId="05548797" w:rsidR="00C966A4" w:rsidRDefault="5981461B" w:rsidP="00C966A4">
            <w:pPr>
              <w:pStyle w:val="TableParagraph"/>
              <w:spacing w:after="160"/>
              <w:ind w:left="0"/>
            </w:pPr>
            <w:r>
              <w:t>How will the equity impact of the strategy be evaluated?</w:t>
            </w:r>
          </w:p>
          <w:p w14:paraId="17B70935" w14:textId="721E4963" w:rsidR="5981461B" w:rsidRDefault="5981461B" w:rsidP="00BA2A35">
            <w:pPr>
              <w:pStyle w:val="TableParagraph"/>
              <w:ind w:left="-5"/>
            </w:pPr>
            <w:r>
              <w:t>Does the proposed strategy have appropriate accountability mechanisms to ensure that vulnerable communities will equitably benefit and not be disproportionately harmed?</w:t>
            </w:r>
          </w:p>
        </w:tc>
      </w:tr>
      <w:tr w:rsidR="5981461B" w14:paraId="50DFF7CE" w14:textId="77777777" w:rsidTr="00014C33">
        <w:trPr>
          <w:trHeight w:val="900"/>
        </w:trPr>
        <w:tc>
          <w:tcPr>
            <w:tcW w:w="2335" w:type="dxa"/>
            <w:shd w:val="clear" w:color="auto" w:fill="D9D9D9" w:themeFill="background1" w:themeFillShade="D9"/>
            <w:tcMar>
              <w:left w:w="105" w:type="dxa"/>
              <w:right w:w="105" w:type="dxa"/>
            </w:tcMar>
          </w:tcPr>
          <w:p w14:paraId="72D9EFC4" w14:textId="124ED3CC" w:rsidR="5981461B" w:rsidRDefault="5981461B" w:rsidP="006479AE">
            <w:pPr>
              <w:pStyle w:val="TableParagraph"/>
              <w:ind w:left="-23" w:right="-21"/>
            </w:pPr>
            <w:r>
              <w:t>Adaptive Management</w:t>
            </w:r>
          </w:p>
        </w:tc>
        <w:tc>
          <w:tcPr>
            <w:tcW w:w="7110" w:type="dxa"/>
            <w:shd w:val="clear" w:color="auto" w:fill="D9D9D9" w:themeFill="background1" w:themeFillShade="D9"/>
            <w:tcMar>
              <w:left w:w="105" w:type="dxa"/>
              <w:right w:w="105" w:type="dxa"/>
            </w:tcMar>
          </w:tcPr>
          <w:p w14:paraId="16752F90" w14:textId="1FA218B3" w:rsidR="5981461B" w:rsidRDefault="5981461B" w:rsidP="00BA2A35">
            <w:pPr>
              <w:pStyle w:val="TableParagraph"/>
              <w:ind w:left="-5"/>
            </w:pPr>
            <w:r>
              <w:t>If data shows that folks are not on track to meet the equity outcomes, is there a plan to adjust and correct course?</w:t>
            </w:r>
          </w:p>
        </w:tc>
      </w:tr>
      <w:tr w:rsidR="5981461B" w14:paraId="67488BBE" w14:textId="77777777" w:rsidTr="00747DD7">
        <w:trPr>
          <w:trHeight w:val="345"/>
        </w:trPr>
        <w:tc>
          <w:tcPr>
            <w:tcW w:w="2335" w:type="dxa"/>
            <w:tcMar>
              <w:left w:w="105" w:type="dxa"/>
              <w:right w:w="105" w:type="dxa"/>
            </w:tcMar>
          </w:tcPr>
          <w:p w14:paraId="20AF508F" w14:textId="284C9AA4" w:rsidR="5981461B" w:rsidRDefault="5981461B" w:rsidP="00BA2A35">
            <w:pPr>
              <w:pStyle w:val="TableParagraph"/>
              <w:ind w:left="-23" w:right="-21"/>
            </w:pPr>
            <w:r>
              <w:t>Communication</w:t>
            </w:r>
          </w:p>
        </w:tc>
        <w:tc>
          <w:tcPr>
            <w:tcW w:w="7110" w:type="dxa"/>
            <w:tcMar>
              <w:left w:w="105" w:type="dxa"/>
              <w:right w:w="105" w:type="dxa"/>
            </w:tcMar>
          </w:tcPr>
          <w:p w14:paraId="297A1183" w14:textId="7AC8CBD6" w:rsidR="5981461B" w:rsidRDefault="5981461B" w:rsidP="00BA2A35">
            <w:pPr>
              <w:pStyle w:val="TableParagraph"/>
              <w:ind w:left="-5"/>
            </w:pPr>
            <w:r>
              <w:t>How will progress be communicated to partners?</w:t>
            </w:r>
          </w:p>
        </w:tc>
      </w:tr>
    </w:tbl>
    <w:p w14:paraId="23223572" w14:textId="77777777" w:rsidR="00CF71BD" w:rsidRDefault="00CF71BD" w:rsidP="0028335F">
      <w:pPr>
        <w:pStyle w:val="BodyText"/>
        <w:spacing w:before="160" w:line="240" w:lineRule="auto"/>
      </w:pPr>
    </w:p>
    <w:p w14:paraId="213273DB" w14:textId="11E5ED43" w:rsidR="1B2C47B7" w:rsidRDefault="00C63A3C" w:rsidP="0028335F">
      <w:pPr>
        <w:pStyle w:val="Heading3"/>
        <w:spacing w:after="160" w:line="240" w:lineRule="auto"/>
      </w:pPr>
      <w:bookmarkStart w:id="174" w:name="_Toc235802714"/>
      <w:r>
        <w:t>Step 3.3D: Outreach and Engagement</w:t>
      </w:r>
      <w:bookmarkEnd w:id="174"/>
    </w:p>
    <w:p w14:paraId="7A4AF8BC" w14:textId="1A5177AC" w:rsidR="00CF71BD" w:rsidRPr="002C3183" w:rsidRDefault="3E59340C" w:rsidP="0028335F">
      <w:pPr>
        <w:spacing w:before="160" w:line="240" w:lineRule="auto"/>
        <w:rPr>
          <w:rFonts w:eastAsia="Century Gothic" w:cs="Century Gothic"/>
        </w:rPr>
      </w:pPr>
      <w:r>
        <w:rPr>
          <w:rFonts w:eastAsia="Century Gothic" w:cs="Century Gothic"/>
        </w:rPr>
        <w:t>To brainstorm, detail, and refine adaptation strategies, community members should be engaged to identify specific adaptation strategies that would be most effective in the community.</w:t>
      </w:r>
    </w:p>
    <w:p w14:paraId="2A10C74E" w14:textId="25579CD7" w:rsidR="67FC3CF1" w:rsidRPr="002C3183" w:rsidRDefault="49DECF57" w:rsidP="0028335F">
      <w:pPr>
        <w:pStyle w:val="BodyText"/>
        <w:spacing w:before="160" w:line="240" w:lineRule="auto"/>
        <w:rPr>
          <w:rFonts w:eastAsia="Century Gothic" w:cs="Century Gothic"/>
          <w:szCs w:val="24"/>
        </w:rPr>
      </w:pPr>
      <w:r>
        <w:rPr>
          <w:rFonts w:eastAsia="Century Gothic" w:cs="Century Gothic"/>
          <w:szCs w:val="24"/>
        </w:rPr>
        <w:t>There are several outreach and</w:t>
      </w:r>
      <w:r>
        <w:rPr>
          <w:rFonts w:eastAsia="Century Gothic" w:cs="Century Gothic"/>
          <w:szCs w:val="24"/>
          <w:u w:val="single"/>
        </w:rPr>
        <w:t xml:space="preserve"> </w:t>
      </w:r>
      <w:r>
        <w:rPr>
          <w:rFonts w:eastAsia="Century Gothic" w:cs="Century Gothic"/>
          <w:szCs w:val="24"/>
        </w:rPr>
        <w:t>engagement methods that are particularly well suited to facilitate the co-development of</w:t>
      </w:r>
      <w:r>
        <w:rPr>
          <w:rFonts w:eastAsia="Century Gothic" w:cs="Century Gothic"/>
          <w:szCs w:val="24"/>
          <w:u w:val="single"/>
        </w:rPr>
        <w:t xml:space="preserve"> </w:t>
      </w:r>
      <w:r>
        <w:rPr>
          <w:rFonts w:eastAsia="Century Gothic" w:cs="Century Gothic"/>
          <w:szCs w:val="24"/>
        </w:rPr>
        <w:t>specific adaptation strategies:</w:t>
      </w:r>
    </w:p>
    <w:p w14:paraId="6F356DC3" w14:textId="561CEB5F" w:rsidR="67FC3CF1" w:rsidRPr="002C3183" w:rsidRDefault="49DECF57" w:rsidP="00A90132">
      <w:pPr>
        <w:pStyle w:val="ListParagraph"/>
        <w:numPr>
          <w:ilvl w:val="0"/>
          <w:numId w:val="2"/>
        </w:numPr>
        <w:spacing w:before="160" w:line="240" w:lineRule="auto"/>
        <w:rPr>
          <w:rFonts w:eastAsia="Century Gothic" w:cs="Century Gothic"/>
          <w:szCs w:val="24"/>
        </w:rPr>
      </w:pPr>
      <w:r>
        <w:rPr>
          <w:rFonts w:eastAsia="Century Gothic" w:cs="Century Gothic"/>
          <w:b/>
          <w:bCs/>
          <w:szCs w:val="24"/>
        </w:rPr>
        <w:t>Design charrette:</w:t>
      </w:r>
      <w:r>
        <w:rPr>
          <w:rFonts w:eastAsia="Century Gothic" w:cs="Century Gothic"/>
          <w:szCs w:val="24"/>
          <w:u w:val="single"/>
        </w:rPr>
        <w:t xml:space="preserve"> </w:t>
      </w:r>
      <w:r>
        <w:br/>
      </w:r>
      <w:r>
        <w:rPr>
          <w:rFonts w:eastAsia="Century Gothic" w:cs="Century Gothic"/>
          <w:szCs w:val="24"/>
        </w:rPr>
        <w:t>A charrette, unlike a simple workshop or presentation to the public, is a multiple-day iterative process that fosters diverse and community-sourced design ideas for a given study area among any array of partners. Residents, partners, decision-makers, staff and technical consultants work together in meetings, workshops and site walks over a concentrated period to forge collaborative visions.</w:t>
      </w:r>
    </w:p>
    <w:p w14:paraId="6762474A" w14:textId="298D667F" w:rsidR="67FC3CF1" w:rsidRPr="00FD4E98" w:rsidRDefault="49DECF57" w:rsidP="00FD4E98">
      <w:pPr>
        <w:pStyle w:val="ListParagraph"/>
        <w:numPr>
          <w:ilvl w:val="0"/>
          <w:numId w:val="2"/>
        </w:numPr>
        <w:spacing w:line="240" w:lineRule="auto"/>
        <w:contextualSpacing w:val="0"/>
        <w:rPr>
          <w:rFonts w:eastAsia="Century Gothic" w:cs="Century Gothic"/>
          <w:szCs w:val="24"/>
          <w:u w:val="single"/>
        </w:rPr>
      </w:pPr>
      <w:r>
        <w:rPr>
          <w:rFonts w:eastAsia="Century Gothic" w:cs="Century Gothic"/>
          <w:b/>
          <w:bCs/>
          <w:szCs w:val="24"/>
        </w:rPr>
        <w:t>Focus Groups:</w:t>
      </w:r>
      <w:r>
        <w:rPr>
          <w:rFonts w:eastAsia="Century Gothic" w:cs="Century Gothic"/>
          <w:b/>
          <w:bCs/>
          <w:szCs w:val="24"/>
        </w:rPr>
        <w:br/>
      </w:r>
      <w:r>
        <w:rPr>
          <w:rFonts w:eastAsia="Century Gothic" w:cs="Century Gothic"/>
          <w:szCs w:val="24"/>
        </w:rPr>
        <w:t xml:space="preserve">These groups usually involve guided discussion for a group of 6-15 people to allow for detailed feedback and discussion regarding adaptation strategies and options. Focus groups can also provide a safe setting for discussions with individuals who may feel left out in larger public meetings. This allows planners to better understand specific community needs and barriers. </w:t>
      </w:r>
    </w:p>
    <w:p w14:paraId="007E4306" w14:textId="5199AD41" w:rsidR="67FC3CF1" w:rsidRDefault="60FD13DC" w:rsidP="0028335F">
      <w:pPr>
        <w:spacing w:before="160" w:line="240" w:lineRule="auto"/>
        <w:rPr>
          <w:rFonts w:eastAsia="Century Gothic" w:cs="Century Gothic"/>
          <w:szCs w:val="24"/>
        </w:rPr>
      </w:pPr>
      <w:r>
        <w:rPr>
          <w:rFonts w:eastAsia="Century Gothic" w:cs="Century Gothic"/>
          <w:szCs w:val="24"/>
        </w:rPr>
        <w:t xml:space="preserve">Refer to </w:t>
      </w:r>
      <w:r>
        <w:rPr>
          <w:rFonts w:eastAsia="Century Gothic" w:cs="Century Gothic"/>
          <w:b/>
          <w:bCs/>
          <w:szCs w:val="24"/>
        </w:rPr>
        <w:t xml:space="preserve">Appendix A - </w:t>
      </w:r>
      <w:r>
        <w:rPr>
          <w:rFonts w:eastAsia="Century Gothic" w:cs="Century Gothic"/>
          <w:b/>
          <w:bCs/>
          <w:szCs w:val="24"/>
        </w:rPr>
        <w:fldChar w:fldCharType="begin"/>
      </w:r>
      <w:r>
        <w:rPr>
          <w:rFonts w:eastAsia="Century Gothic" w:cs="Century Gothic"/>
          <w:b/>
          <w:bCs/>
          <w:szCs w:val="24"/>
        </w:rPr>
        <w:instrText xml:space="preserve"> REF _Ref230257242 \h  \* MERGEFORMAT </w:instrText>
      </w:r>
      <w:r>
        <w:rPr>
          <w:rFonts w:eastAsia="Century Gothic" w:cs="Century Gothic"/>
          <w:b/>
          <w:bCs/>
          <w:szCs w:val="24"/>
        </w:rPr>
      </w:r>
      <w:r>
        <w:rPr>
          <w:rFonts w:eastAsia="Century Gothic" w:cs="Century Gothic"/>
          <w:b/>
          <w:bCs/>
          <w:szCs w:val="24"/>
        </w:rPr>
        <w:fldChar w:fldCharType="separate"/>
      </w:r>
      <w:r w:rsidR="00517691" w:rsidRPr="00517691">
        <w:rPr>
          <w:b/>
          <w:bCs/>
        </w:rPr>
        <w:t>Best Practices for Conducting Outreach and Engagement Activities</w:t>
      </w:r>
      <w:r>
        <w:rPr>
          <w:rFonts w:eastAsia="Century Gothic" w:cs="Century Gothic"/>
          <w:b/>
          <w:bCs/>
          <w:szCs w:val="24"/>
        </w:rPr>
        <w:fldChar w:fldCharType="end"/>
      </w:r>
      <w:r>
        <w:rPr>
          <w:rFonts w:eastAsia="Century Gothic" w:cs="Century Gothic"/>
          <w:szCs w:val="24"/>
        </w:rPr>
        <w:t xml:space="preserve"> for the full list of potential methods to engage the community.</w:t>
      </w:r>
    </w:p>
    <w:p w14:paraId="649B703B" w14:textId="77777777" w:rsidR="002C3183" w:rsidRDefault="002C3183" w:rsidP="0028335F">
      <w:pPr>
        <w:pStyle w:val="BodyText"/>
        <w:spacing w:before="160" w:line="240" w:lineRule="auto"/>
      </w:pPr>
      <w:bookmarkStart w:id="175" w:name="_bookmark89"/>
      <w:bookmarkStart w:id="176" w:name="Step_3.4:_Prioritize_Adaptation_Strategi"/>
      <w:bookmarkStart w:id="177" w:name="_bookmark90"/>
      <w:bookmarkStart w:id="178" w:name="_Toc224722696"/>
      <w:bookmarkEnd w:id="175"/>
      <w:bookmarkEnd w:id="176"/>
      <w:bookmarkEnd w:id="177"/>
    </w:p>
    <w:p w14:paraId="0210FC58" w14:textId="2F8922B8" w:rsidR="00CF71BD" w:rsidRDefault="00CF71BD" w:rsidP="0028335F">
      <w:pPr>
        <w:pStyle w:val="Heading2"/>
        <w:spacing w:before="160" w:after="160" w:line="240" w:lineRule="auto"/>
      </w:pPr>
      <w:bookmarkStart w:id="179" w:name="_Toc235802715"/>
      <w:r>
        <w:t>Step</w:t>
      </w:r>
      <w:r>
        <w:rPr>
          <w:spacing w:val="-14"/>
        </w:rPr>
        <w:t xml:space="preserve"> </w:t>
      </w:r>
      <w:r>
        <w:t>3.4:</w:t>
      </w:r>
      <w:r>
        <w:rPr>
          <w:spacing w:val="-11"/>
        </w:rPr>
        <w:t xml:space="preserve"> </w:t>
      </w:r>
      <w:r>
        <w:t>Prioritize</w:t>
      </w:r>
      <w:r>
        <w:rPr>
          <w:spacing w:val="-11"/>
        </w:rPr>
        <w:t xml:space="preserve"> </w:t>
      </w:r>
      <w:r>
        <w:t>Adaptation</w:t>
      </w:r>
      <w:r>
        <w:rPr>
          <w:spacing w:val="-11"/>
        </w:rPr>
        <w:t xml:space="preserve"> </w:t>
      </w:r>
      <w:r>
        <w:rPr>
          <w:spacing w:val="-2"/>
        </w:rPr>
        <w:t>Strategies</w:t>
      </w:r>
      <w:bookmarkEnd w:id="178"/>
      <w:bookmarkEnd w:id="179"/>
    </w:p>
    <w:p w14:paraId="406AF59C" w14:textId="77777777" w:rsidR="006F7169" w:rsidRDefault="00CF71BD" w:rsidP="0028335F">
      <w:pPr>
        <w:pStyle w:val="BodyText"/>
        <w:spacing w:before="160" w:line="240" w:lineRule="auto"/>
      </w:pPr>
      <w:r>
        <w:t>Goal: Prioritize adaptation strategies for implementation.</w:t>
      </w:r>
    </w:p>
    <w:p w14:paraId="781D9FA5" w14:textId="69C7F9A6" w:rsidR="00CF71BD" w:rsidRDefault="00CF71BD" w:rsidP="0028335F">
      <w:pPr>
        <w:pStyle w:val="BodyText"/>
        <w:spacing w:before="160" w:line="240" w:lineRule="auto"/>
      </w:pPr>
      <w:r>
        <w:t>In</w:t>
      </w:r>
      <w:r>
        <w:rPr>
          <w:spacing w:val="-6"/>
        </w:rPr>
        <w:t xml:space="preserve"> </w:t>
      </w:r>
      <w:r>
        <w:t>Step</w:t>
      </w:r>
      <w:r>
        <w:rPr>
          <w:spacing w:val="-6"/>
        </w:rPr>
        <w:t xml:space="preserve"> </w:t>
      </w:r>
      <w:r>
        <w:t>3.3</w:t>
      </w:r>
      <w:r>
        <w:rPr>
          <w:spacing w:val="-7"/>
        </w:rPr>
        <w:t xml:space="preserve"> </w:t>
      </w:r>
      <w:r>
        <w:t>the</w:t>
      </w:r>
      <w:r>
        <w:rPr>
          <w:spacing w:val="-6"/>
        </w:rPr>
        <w:t xml:space="preserve"> </w:t>
      </w:r>
      <w:r>
        <w:t>planning</w:t>
      </w:r>
      <w:r>
        <w:rPr>
          <w:spacing w:val="-6"/>
        </w:rPr>
        <w:t xml:space="preserve"> </w:t>
      </w:r>
      <w:r>
        <w:t>team</w:t>
      </w:r>
      <w:r>
        <w:rPr>
          <w:spacing w:val="-6"/>
        </w:rPr>
        <w:t xml:space="preserve"> </w:t>
      </w:r>
      <w:r>
        <w:t>and</w:t>
      </w:r>
      <w:r>
        <w:rPr>
          <w:spacing w:val="-6"/>
        </w:rPr>
        <w:t xml:space="preserve"> </w:t>
      </w:r>
      <w:r>
        <w:t>community</w:t>
      </w:r>
      <w:r>
        <w:rPr>
          <w:spacing w:val="-6"/>
        </w:rPr>
        <w:t xml:space="preserve"> </w:t>
      </w:r>
      <w:r>
        <w:t>developed</w:t>
      </w:r>
      <w:r>
        <w:rPr>
          <w:spacing w:val="-6"/>
        </w:rPr>
        <w:t xml:space="preserve"> </w:t>
      </w:r>
      <w:r>
        <w:t>adaptation</w:t>
      </w:r>
      <w:r>
        <w:rPr>
          <w:spacing w:val="-6"/>
        </w:rPr>
        <w:t xml:space="preserve"> </w:t>
      </w:r>
      <w:r>
        <w:t>strategies</w:t>
      </w:r>
      <w:r>
        <w:rPr>
          <w:spacing w:val="-6"/>
        </w:rPr>
        <w:t xml:space="preserve"> </w:t>
      </w:r>
      <w:r>
        <w:t xml:space="preserve">based on the vulnerability assessment and community engagement (see </w:t>
      </w:r>
      <w:hyperlink w:anchor="_Toc235190090" w:history="1">
        <w:r>
          <w:rPr>
            <w:rStyle w:val="Hyperlink"/>
          </w:rPr>
          <w:t>Step 3.3D: Outreach and Engagement</w:t>
        </w:r>
      </w:hyperlink>
      <w:r>
        <w:t>). In this step the planning team should prioritize those adaptation strategies. This will aid in making decisions about complex issues, and it will make the strategy development process transparent and easier to communicate to community staff and residents. Prioritization of strategies should consider several factors:</w:t>
      </w:r>
    </w:p>
    <w:p w14:paraId="23828517" w14:textId="1DD07FCC" w:rsidR="00CF71BD" w:rsidRDefault="00CF71BD" w:rsidP="00A90132">
      <w:pPr>
        <w:pStyle w:val="ListParagraph"/>
        <w:numPr>
          <w:ilvl w:val="0"/>
          <w:numId w:val="2"/>
        </w:numPr>
        <w:spacing w:before="160" w:line="240" w:lineRule="auto"/>
      </w:pPr>
      <w:r>
        <w:rPr>
          <w:b/>
        </w:rPr>
        <w:t>Vulnerability</w:t>
      </w:r>
      <w:r>
        <w:rPr>
          <w:b/>
          <w:spacing w:val="-2"/>
        </w:rPr>
        <w:t xml:space="preserve"> </w:t>
      </w:r>
      <w:r>
        <w:rPr>
          <w:b/>
        </w:rPr>
        <w:t xml:space="preserve">and Risk Reduction: </w:t>
      </w:r>
      <w:r>
        <w:t>Using</w:t>
      </w:r>
      <w:r>
        <w:rPr>
          <w:bCs/>
        </w:rPr>
        <w:t xml:space="preserve"> </w:t>
      </w:r>
      <w:r>
        <w:t>the</w:t>
      </w:r>
      <w:r>
        <w:rPr>
          <w:bCs/>
        </w:rPr>
        <w:t xml:space="preserve"> </w:t>
      </w:r>
      <w:r>
        <w:t>Vulnerability</w:t>
      </w:r>
      <w:r>
        <w:rPr>
          <w:bCs/>
        </w:rPr>
        <w:t xml:space="preserve"> </w:t>
      </w:r>
      <w:r>
        <w:t>Score</w:t>
      </w:r>
      <w:r>
        <w:rPr>
          <w:bCs/>
          <w:spacing w:val="-2"/>
        </w:rPr>
        <w:t xml:space="preserve"> </w:t>
      </w:r>
      <w:r>
        <w:t>from</w:t>
      </w:r>
      <w:r>
        <w:rPr>
          <w:bCs/>
          <w:spacing w:val="-2"/>
        </w:rPr>
        <w:t xml:space="preserve"> </w:t>
      </w:r>
      <w:r>
        <w:rPr>
          <w:bCs/>
        </w:rPr>
        <w:t>Step</w:t>
      </w:r>
      <w:r>
        <w:t xml:space="preserve"> </w:t>
      </w:r>
      <w:r>
        <w:rPr>
          <w:bCs/>
        </w:rPr>
        <w:t>2.</w:t>
      </w:r>
      <w:r>
        <w:t>4B</w:t>
      </w:r>
      <w:r>
        <w:rPr>
          <w:bCs/>
        </w:rPr>
        <w:t>,</w:t>
      </w:r>
      <w:r>
        <w:rPr>
          <w:b/>
        </w:rPr>
        <w:t xml:space="preserve"> </w:t>
      </w:r>
      <w:r>
        <w:t>which</w:t>
      </w:r>
      <w:r>
        <w:rPr>
          <w:spacing w:val="-2"/>
        </w:rPr>
        <w:t xml:space="preserve"> </w:t>
      </w:r>
      <w:r>
        <w:t>strategies</w:t>
      </w:r>
      <w:r>
        <w:rPr>
          <w:spacing w:val="-2"/>
        </w:rPr>
        <w:t xml:space="preserve"> </w:t>
      </w:r>
      <w:r>
        <w:t>will</w:t>
      </w:r>
      <w:r>
        <w:rPr>
          <w:spacing w:val="-3"/>
        </w:rPr>
        <w:t xml:space="preserve"> </w:t>
      </w:r>
      <w:r>
        <w:t>be</w:t>
      </w:r>
      <w:r>
        <w:rPr>
          <w:spacing w:val="-2"/>
        </w:rPr>
        <w:t xml:space="preserve"> </w:t>
      </w:r>
      <w:r>
        <w:t>effective</w:t>
      </w:r>
      <w:r>
        <w:rPr>
          <w:spacing w:val="-2"/>
        </w:rPr>
        <w:t xml:space="preserve"> </w:t>
      </w:r>
      <w:r>
        <w:t>at</w:t>
      </w:r>
      <w:r>
        <w:rPr>
          <w:spacing w:val="-2"/>
        </w:rPr>
        <w:t xml:space="preserve"> </w:t>
      </w:r>
      <w:r>
        <w:t>addressing assets or systems with the highest vulnerability?</w:t>
      </w:r>
    </w:p>
    <w:p w14:paraId="6138787A" w14:textId="6A466104" w:rsidR="00CF71BD" w:rsidRPr="00EB0E99" w:rsidRDefault="00CF71BD" w:rsidP="00A90132">
      <w:pPr>
        <w:pStyle w:val="ListParagraph"/>
        <w:numPr>
          <w:ilvl w:val="0"/>
          <w:numId w:val="2"/>
        </w:numPr>
        <w:spacing w:before="160" w:line="240" w:lineRule="auto"/>
      </w:pPr>
      <w:r>
        <w:rPr>
          <w:b/>
          <w:bCs/>
        </w:rPr>
        <w:t xml:space="preserve">Life and Safety: </w:t>
      </w:r>
      <w:r>
        <w:t>What impact will the strategy have on protecting lives, residences, businesses, and critical facilities in the planning area? Does it reduce exposure, sensitivity, or consequences of hazard events?</w:t>
      </w:r>
    </w:p>
    <w:p w14:paraId="4E72D834" w14:textId="02108256" w:rsidR="00CF71BD" w:rsidRDefault="00CF71BD" w:rsidP="00A90132">
      <w:pPr>
        <w:pStyle w:val="ListParagraph"/>
        <w:numPr>
          <w:ilvl w:val="0"/>
          <w:numId w:val="2"/>
        </w:numPr>
        <w:spacing w:before="160" w:line="240" w:lineRule="auto"/>
      </w:pPr>
      <w:r>
        <w:rPr>
          <w:b/>
        </w:rPr>
        <w:t xml:space="preserve">Administrative and Technical Capacity: </w:t>
      </w:r>
      <w:r>
        <w:t>Who will implement the strategy and does the responsible entity have sufficient staff and organizational capacity? Is technical or administrative assistance needed? Is staff training required?</w:t>
      </w:r>
    </w:p>
    <w:p w14:paraId="26DD34B5" w14:textId="51BE00E3" w:rsidR="00CF71BD" w:rsidRDefault="00CF71BD" w:rsidP="00A90132">
      <w:pPr>
        <w:pStyle w:val="ListParagraph"/>
        <w:numPr>
          <w:ilvl w:val="0"/>
          <w:numId w:val="2"/>
        </w:numPr>
        <w:spacing w:before="160" w:line="240" w:lineRule="auto"/>
      </w:pPr>
      <w:r>
        <w:rPr>
          <w:b/>
        </w:rPr>
        <w:t>Project Cost:</w:t>
      </w:r>
      <w:r>
        <w:rPr>
          <w:b/>
          <w:spacing w:val="-3"/>
        </w:rPr>
        <w:t xml:space="preserve"> </w:t>
      </w:r>
      <w:r>
        <w:t>How</w:t>
      </w:r>
      <w:r>
        <w:rPr>
          <w:spacing w:val="-3"/>
        </w:rPr>
        <w:t xml:space="preserve"> </w:t>
      </w:r>
      <w:r>
        <w:t>much</w:t>
      </w:r>
      <w:r>
        <w:rPr>
          <w:spacing w:val="-3"/>
        </w:rPr>
        <w:t xml:space="preserve"> </w:t>
      </w:r>
      <w:r>
        <w:t>will</w:t>
      </w:r>
      <w:r>
        <w:rPr>
          <w:spacing w:val="-4"/>
        </w:rPr>
        <w:t xml:space="preserve"> </w:t>
      </w:r>
      <w:r>
        <w:t>the</w:t>
      </w:r>
      <w:r>
        <w:rPr>
          <w:spacing w:val="-3"/>
        </w:rPr>
        <w:t xml:space="preserve"> </w:t>
      </w:r>
      <w:r>
        <w:t>strategy</w:t>
      </w:r>
      <w:r>
        <w:rPr>
          <w:spacing w:val="-3"/>
        </w:rPr>
        <w:t xml:space="preserve"> </w:t>
      </w:r>
      <w:r>
        <w:t>cost</w:t>
      </w:r>
      <w:r>
        <w:rPr>
          <w:spacing w:val="-3"/>
        </w:rPr>
        <w:t xml:space="preserve"> </w:t>
      </w:r>
      <w:r>
        <w:t>to implement? Does the community have sufficient funding for the project, including any required local match?</w:t>
      </w:r>
    </w:p>
    <w:p w14:paraId="0F3BDA39" w14:textId="34A37D9F" w:rsidR="00CF71BD" w:rsidRPr="008C61DB" w:rsidRDefault="00CF71BD" w:rsidP="00BE48FE">
      <w:pPr>
        <w:pStyle w:val="ListParagraph"/>
        <w:numPr>
          <w:ilvl w:val="0"/>
          <w:numId w:val="2"/>
        </w:numPr>
        <w:spacing w:before="160"/>
        <w:rPr>
          <w:b/>
          <w:bCs/>
        </w:rPr>
      </w:pPr>
      <w:r>
        <w:rPr>
          <w:b/>
        </w:rPr>
        <w:t>Funding:</w:t>
      </w:r>
      <w:r>
        <w:rPr>
          <w:b/>
          <w:spacing w:val="-6"/>
        </w:rPr>
        <w:t xml:space="preserve"> </w:t>
      </w:r>
      <w:r>
        <w:t>What</w:t>
      </w:r>
      <w:r>
        <w:rPr>
          <w:spacing w:val="-3"/>
        </w:rPr>
        <w:t xml:space="preserve"> </w:t>
      </w:r>
      <w:r>
        <w:t>resources</w:t>
      </w:r>
      <w:r>
        <w:rPr>
          <w:spacing w:val="-3"/>
        </w:rPr>
        <w:t xml:space="preserve"> </w:t>
      </w:r>
      <w:r>
        <w:t>are</w:t>
      </w:r>
      <w:r>
        <w:rPr>
          <w:spacing w:val="-3"/>
        </w:rPr>
        <w:t xml:space="preserve"> </w:t>
      </w:r>
      <w:r>
        <w:t>available</w:t>
      </w:r>
      <w:r>
        <w:rPr>
          <w:spacing w:val="-3"/>
        </w:rPr>
        <w:t xml:space="preserve"> </w:t>
      </w:r>
      <w:r>
        <w:t>to</w:t>
      </w:r>
      <w:r>
        <w:rPr>
          <w:spacing w:val="-2"/>
        </w:rPr>
        <w:t xml:space="preserve"> </w:t>
      </w:r>
      <w:r>
        <w:t>pay</w:t>
      </w:r>
      <w:r>
        <w:rPr>
          <w:spacing w:val="-3"/>
        </w:rPr>
        <w:t xml:space="preserve"> </w:t>
      </w:r>
      <w:r>
        <w:t>for</w:t>
      </w:r>
      <w:r>
        <w:rPr>
          <w:spacing w:val="-3"/>
        </w:rPr>
        <w:t xml:space="preserve"> </w:t>
      </w:r>
      <w:r>
        <w:t xml:space="preserve">implementation, such as grants, bond funding (e.g., LA County’s Measure W that funded the </w:t>
      </w:r>
      <w:hyperlink r:id="rId265" w:history="1">
        <w:r>
          <w:rPr>
            <w:rStyle w:val="Hyperlink"/>
          </w:rPr>
          <w:t>Safe, Clean Water Program</w:t>
        </w:r>
      </w:hyperlink>
      <w:r>
        <w:t xml:space="preserve">, </w:t>
      </w:r>
      <w:hyperlink r:id="rId266" w:history="1">
        <w:r>
          <w:rPr>
            <w:rStyle w:val="Hyperlink"/>
          </w:rPr>
          <w:t>California Prop 68</w:t>
        </w:r>
      </w:hyperlink>
      <w:r>
        <w:t>,</w:t>
      </w:r>
      <w:r w:rsidR="007C3029">
        <w:t xml:space="preserve"> </w:t>
      </w:r>
      <w:hyperlink r:id="rId267" w:history="1">
        <w:r w:rsidR="007C3029">
          <w:rPr>
            <w:rStyle w:val="Hyperlink"/>
          </w:rPr>
          <w:t xml:space="preserve">California Prop 4 </w:t>
        </w:r>
      </w:hyperlink>
      <w:r w:rsidR="007C3029">
        <w:t>)</w:t>
      </w:r>
      <w:r>
        <w:t xml:space="preserve">, tax programs (e.g., </w:t>
      </w:r>
      <w:hyperlink r:id="rId268" w:history="1">
        <w:r>
          <w:rPr>
            <w:rStyle w:val="Hyperlink"/>
          </w:rPr>
          <w:t>Bay Area’s Measure AA</w:t>
        </w:r>
      </w:hyperlink>
      <w:r>
        <w:t xml:space="preserve">, tax-increment financing), public-private partnerships, and others, as summarized in Phase 4. Additional information on available state grant opportunities can be found through the </w:t>
      </w:r>
      <w:hyperlink r:id="rId269" w:history="1">
        <w:r>
          <w:rPr>
            <w:rStyle w:val="Hyperlink"/>
          </w:rPr>
          <w:t xml:space="preserve">California State Grants Portal. </w:t>
        </w:r>
      </w:hyperlink>
    </w:p>
    <w:p w14:paraId="3B168430" w14:textId="04DA4551" w:rsidR="00CF71BD" w:rsidRPr="00F422E5" w:rsidRDefault="00CF71BD" w:rsidP="00A90132">
      <w:pPr>
        <w:pStyle w:val="ListParagraph"/>
        <w:numPr>
          <w:ilvl w:val="0"/>
          <w:numId w:val="2"/>
        </w:numPr>
        <w:spacing w:before="160" w:line="240" w:lineRule="auto"/>
        <w:rPr>
          <w:b/>
        </w:rPr>
      </w:pPr>
      <w:r>
        <w:rPr>
          <w:b/>
        </w:rPr>
        <w:t>Efficiency and Cost Effectiveness:</w:t>
      </w:r>
      <w:r>
        <w:rPr>
          <w:b/>
          <w:spacing w:val="-7"/>
        </w:rPr>
        <w:t xml:space="preserve"> </w:t>
      </w:r>
      <w:r>
        <w:t>How do the costs compare to the effectiveness/benefit? (What is the</w:t>
      </w:r>
      <w:r>
        <w:rPr>
          <w:spacing w:val="-6"/>
        </w:rPr>
        <w:t xml:space="preserve"> </w:t>
      </w:r>
      <w:r>
        <w:t>benefit-cost</w:t>
      </w:r>
      <w:r>
        <w:rPr>
          <w:spacing w:val="-6"/>
        </w:rPr>
        <w:t xml:space="preserve"> </w:t>
      </w:r>
      <w:r>
        <w:t>ratio?)</w:t>
      </w:r>
      <w:r>
        <w:rPr>
          <w:spacing w:val="-6"/>
        </w:rPr>
        <w:t xml:space="preserve"> </w:t>
      </w:r>
      <w:r>
        <w:t>What</w:t>
      </w:r>
      <w:r>
        <w:rPr>
          <w:spacing w:val="-6"/>
        </w:rPr>
        <w:t xml:space="preserve"> </w:t>
      </w:r>
      <w:r>
        <w:t>are</w:t>
      </w:r>
      <w:r>
        <w:rPr>
          <w:spacing w:val="-6"/>
        </w:rPr>
        <w:t xml:space="preserve"> </w:t>
      </w:r>
      <w:r>
        <w:t>direct</w:t>
      </w:r>
      <w:r>
        <w:rPr>
          <w:spacing w:val="-6"/>
        </w:rPr>
        <w:t xml:space="preserve"> </w:t>
      </w:r>
      <w:r>
        <w:t>and</w:t>
      </w:r>
      <w:r>
        <w:rPr>
          <w:spacing w:val="-6"/>
        </w:rPr>
        <w:t xml:space="preserve"> </w:t>
      </w:r>
      <w:r>
        <w:t>additional</w:t>
      </w:r>
      <w:r>
        <w:rPr>
          <w:spacing w:val="-7"/>
        </w:rPr>
        <w:t xml:space="preserve"> </w:t>
      </w:r>
      <w:r>
        <w:t>indirect</w:t>
      </w:r>
      <w:r>
        <w:rPr>
          <w:spacing w:val="-6"/>
        </w:rPr>
        <w:t xml:space="preserve"> </w:t>
      </w:r>
      <w:r>
        <w:t>benefits</w:t>
      </w:r>
      <w:r>
        <w:rPr>
          <w:spacing w:val="-6"/>
        </w:rPr>
        <w:t xml:space="preserve"> </w:t>
      </w:r>
      <w:r>
        <w:t>of</w:t>
      </w:r>
      <w:r>
        <w:rPr>
          <w:spacing w:val="-6"/>
        </w:rPr>
        <w:t xml:space="preserve"> </w:t>
      </w:r>
      <w:r>
        <w:t xml:space="preserve">the </w:t>
      </w:r>
      <w:r>
        <w:rPr>
          <w:spacing w:val="-2"/>
        </w:rPr>
        <w:t xml:space="preserve">strategy? </w:t>
      </w:r>
      <w:r>
        <w:t>What future losses might be avoided?</w:t>
      </w:r>
    </w:p>
    <w:p w14:paraId="69D9F7EE" w14:textId="64B469D9" w:rsidR="00CF71BD" w:rsidRPr="00B530B4" w:rsidRDefault="00CF71BD" w:rsidP="00A90132">
      <w:pPr>
        <w:pStyle w:val="ListParagraph"/>
        <w:numPr>
          <w:ilvl w:val="0"/>
          <w:numId w:val="2"/>
        </w:numPr>
        <w:spacing w:before="160" w:line="240" w:lineRule="auto"/>
      </w:pPr>
      <w:r>
        <w:rPr>
          <w:b/>
        </w:rPr>
        <w:t>Co-benefits and Multiple Benefits:</w:t>
      </w:r>
      <w:r>
        <w:rPr>
          <w:b/>
          <w:spacing w:val="-1"/>
        </w:rPr>
        <w:t xml:space="preserve"> </w:t>
      </w:r>
      <w:r>
        <w:rPr>
          <w:bCs/>
          <w:spacing w:val="-1"/>
        </w:rPr>
        <w:t xml:space="preserve">Does </w:t>
      </w:r>
      <w:r>
        <w:rPr>
          <w:rFonts w:eastAsia="Century Gothic" w:cs="Century Gothic"/>
          <w:szCs w:val="24"/>
        </w:rPr>
        <w:t>the</w:t>
      </w:r>
      <w:r>
        <w:rPr>
          <w:bCs/>
          <w:spacing w:val="-1"/>
        </w:rPr>
        <w:t xml:space="preserve"> strategy deliver</w:t>
      </w:r>
      <w:r>
        <w:rPr>
          <w:b/>
          <w:spacing w:val="-1"/>
        </w:rPr>
        <w:t xml:space="preserve"> </w:t>
      </w:r>
      <w:r>
        <w:t>co-benefits or multiple benefits</w:t>
      </w:r>
      <w:r>
        <w:rPr>
          <w:spacing w:val="-2"/>
        </w:rPr>
        <w:t>?</w:t>
      </w:r>
    </w:p>
    <w:p w14:paraId="6A096523" w14:textId="387E8EBB" w:rsidR="00CF71BD" w:rsidRDefault="00D46492" w:rsidP="00A90132">
      <w:pPr>
        <w:pStyle w:val="ListParagraph"/>
        <w:numPr>
          <w:ilvl w:val="0"/>
          <w:numId w:val="2"/>
        </w:numPr>
        <w:spacing w:before="160" w:line="240" w:lineRule="auto"/>
      </w:pPr>
      <w:r>
        <w:rPr>
          <w:b/>
          <w:bCs/>
        </w:rPr>
        <w:t xml:space="preserve">Reducing Environmental Impacts and Scaling Nature-based Solutions: </w:t>
      </w:r>
      <w:r>
        <w:t>What are the potential environmental impacts or considerations</w:t>
      </w:r>
      <w:r>
        <w:rPr>
          <w:spacing w:val="-3"/>
        </w:rPr>
        <w:t xml:space="preserve"> </w:t>
      </w:r>
      <w:r>
        <w:t>of</w:t>
      </w:r>
      <w:r>
        <w:rPr>
          <w:spacing w:val="-3"/>
        </w:rPr>
        <w:t xml:space="preserve"> </w:t>
      </w:r>
      <w:r>
        <w:t>implementing</w:t>
      </w:r>
      <w:r>
        <w:rPr>
          <w:spacing w:val="-3"/>
        </w:rPr>
        <w:t xml:space="preserve"> </w:t>
      </w:r>
      <w:r>
        <w:t>the</w:t>
      </w:r>
      <w:r>
        <w:rPr>
          <w:spacing w:val="-3"/>
        </w:rPr>
        <w:t xml:space="preserve"> </w:t>
      </w:r>
      <w:r>
        <w:t>strategy?</w:t>
      </w:r>
      <w:r>
        <w:rPr>
          <w:spacing w:val="-3"/>
        </w:rPr>
        <w:t xml:space="preserve"> </w:t>
      </w:r>
      <w:r>
        <w:t>Does</w:t>
      </w:r>
      <w:r>
        <w:rPr>
          <w:spacing w:val="-3"/>
        </w:rPr>
        <w:t xml:space="preserve"> </w:t>
      </w:r>
      <w:r>
        <w:t>the</w:t>
      </w:r>
      <w:r>
        <w:rPr>
          <w:spacing w:val="-3"/>
        </w:rPr>
        <w:t xml:space="preserve"> </w:t>
      </w:r>
      <w:r>
        <w:t>strategy</w:t>
      </w:r>
      <w:r>
        <w:rPr>
          <w:spacing w:val="-3"/>
        </w:rPr>
        <w:t xml:space="preserve"> </w:t>
      </w:r>
      <w:r>
        <w:t>support</w:t>
      </w:r>
      <w:r>
        <w:rPr>
          <w:spacing w:val="-3"/>
        </w:rPr>
        <w:t xml:space="preserve"> </w:t>
      </w:r>
      <w:r>
        <w:t>nature-based solutions, natural systems, ecosystem services, or multiple environmental benefits?</w:t>
      </w:r>
    </w:p>
    <w:p w14:paraId="0579DD57" w14:textId="46228E77" w:rsidR="005A60B3" w:rsidRDefault="00CF71BD" w:rsidP="005A60B3">
      <w:pPr>
        <w:pStyle w:val="ListParagraph"/>
        <w:numPr>
          <w:ilvl w:val="0"/>
          <w:numId w:val="2"/>
        </w:numPr>
        <w:spacing w:before="160" w:line="240" w:lineRule="auto"/>
      </w:pPr>
      <w:r>
        <w:rPr>
          <w:b/>
        </w:rPr>
        <w:t>Equity and Community Benefit:</w:t>
      </w:r>
      <w:r>
        <w:rPr>
          <w:b/>
          <w:spacing w:val="-3"/>
        </w:rPr>
        <w:t xml:space="preserve"> </w:t>
      </w:r>
      <w:r>
        <w:t>Who</w:t>
      </w:r>
      <w:r>
        <w:rPr>
          <w:spacing w:val="-3"/>
        </w:rPr>
        <w:t xml:space="preserve"> </w:t>
      </w:r>
      <w:r>
        <w:t>bears</w:t>
      </w:r>
      <w:r>
        <w:rPr>
          <w:spacing w:val="-3"/>
        </w:rPr>
        <w:t xml:space="preserve"> </w:t>
      </w:r>
      <w:r>
        <w:t>the</w:t>
      </w:r>
      <w:r>
        <w:rPr>
          <w:spacing w:val="-3"/>
        </w:rPr>
        <w:t xml:space="preserve"> </w:t>
      </w:r>
      <w:r>
        <w:t>cost,</w:t>
      </w:r>
      <w:r>
        <w:rPr>
          <w:spacing w:val="-2"/>
        </w:rPr>
        <w:t xml:space="preserve"> </w:t>
      </w:r>
      <w:r>
        <w:t>and</w:t>
      </w:r>
      <w:r>
        <w:rPr>
          <w:spacing w:val="-3"/>
        </w:rPr>
        <w:t xml:space="preserve"> </w:t>
      </w:r>
      <w:r>
        <w:t>who</w:t>
      </w:r>
      <w:r>
        <w:rPr>
          <w:spacing w:val="-3"/>
        </w:rPr>
        <w:t xml:space="preserve"> </w:t>
      </w:r>
      <w:r>
        <w:t>receives</w:t>
      </w:r>
      <w:r>
        <w:rPr>
          <w:spacing w:val="-2"/>
        </w:rPr>
        <w:t xml:space="preserve"> </w:t>
      </w:r>
      <w:r>
        <w:t>the</w:t>
      </w:r>
      <w:r>
        <w:rPr>
          <w:spacing w:val="-3"/>
        </w:rPr>
        <w:t xml:space="preserve"> </w:t>
      </w:r>
      <w:r>
        <w:t>benefits</w:t>
      </w:r>
      <w:r>
        <w:rPr>
          <w:spacing w:val="-2"/>
        </w:rPr>
        <w:t xml:space="preserve"> </w:t>
      </w:r>
      <w:r>
        <w:t>(including</w:t>
      </w:r>
      <w:r>
        <w:rPr>
          <w:spacing w:val="-3"/>
        </w:rPr>
        <w:t xml:space="preserve"> </w:t>
      </w:r>
      <w:r>
        <w:t>co-</w:t>
      </w:r>
      <w:r>
        <w:rPr>
          <w:spacing w:val="-2"/>
        </w:rPr>
        <w:t>benefits)?</w:t>
      </w:r>
      <w:r>
        <w:t xml:space="preserve"> Does the strategy prioritize or meaningfully benefit frontline and underserved populations and address existing inequities?</w:t>
      </w:r>
    </w:p>
    <w:p w14:paraId="44FABBDB" w14:textId="02235374" w:rsidR="008009F8" w:rsidRDefault="008009F8" w:rsidP="005A60B3">
      <w:pPr>
        <w:pStyle w:val="ListParagraph"/>
        <w:numPr>
          <w:ilvl w:val="0"/>
          <w:numId w:val="2"/>
        </w:numPr>
        <w:spacing w:before="160" w:line="240" w:lineRule="auto"/>
      </w:pPr>
      <w:r>
        <w:rPr>
          <w:b/>
          <w:bCs/>
        </w:rPr>
        <w:t>Maladaptation:</w:t>
      </w:r>
      <w:r>
        <w:t xml:space="preserve"> Could this strategy unintentionally create new risks, increase vulnerability, or worsen existing inequities? Who benefits from this strategy, and who could experience unintended negative impacts? Could this strategy shift climate risks or burdens from one community, sector, location, or population to another?</w:t>
      </w:r>
    </w:p>
    <w:p w14:paraId="2F2CFC1E" w14:textId="65FE29F5" w:rsidR="00CF71BD" w:rsidRDefault="00CF71BD" w:rsidP="00A90132">
      <w:pPr>
        <w:pStyle w:val="ListParagraph"/>
        <w:numPr>
          <w:ilvl w:val="0"/>
          <w:numId w:val="2"/>
        </w:numPr>
        <w:spacing w:before="160" w:line="240" w:lineRule="auto"/>
      </w:pPr>
      <w:r>
        <w:rPr>
          <w:b/>
        </w:rPr>
        <w:t xml:space="preserve">Local Authority and Political Support: </w:t>
      </w:r>
      <w:r>
        <w:t>Does the community have the legal authority to implement the strategy? Is there political and institutional support to carry it forward?</w:t>
      </w:r>
      <w:r>
        <w:rPr>
          <w:b/>
        </w:rPr>
        <w:t xml:space="preserve"> </w:t>
      </w:r>
      <w:r>
        <w:t>Is</w:t>
      </w:r>
      <w:r>
        <w:rPr>
          <w:spacing w:val="-2"/>
        </w:rPr>
        <w:t xml:space="preserve"> </w:t>
      </w:r>
      <w:r>
        <w:t>the</w:t>
      </w:r>
      <w:r>
        <w:rPr>
          <w:spacing w:val="-2"/>
        </w:rPr>
        <w:t xml:space="preserve"> </w:t>
      </w:r>
      <w:r>
        <w:t>strategy</w:t>
      </w:r>
      <w:r>
        <w:rPr>
          <w:spacing w:val="-2"/>
        </w:rPr>
        <w:t xml:space="preserve"> </w:t>
      </w:r>
      <w:r>
        <w:t>consistent</w:t>
      </w:r>
      <w:r>
        <w:rPr>
          <w:spacing w:val="-2"/>
        </w:rPr>
        <w:t xml:space="preserve"> </w:t>
      </w:r>
      <w:r>
        <w:t>with</w:t>
      </w:r>
      <w:r>
        <w:rPr>
          <w:spacing w:val="-2"/>
        </w:rPr>
        <w:t xml:space="preserve"> </w:t>
      </w:r>
      <w:r>
        <w:t>applicable</w:t>
      </w:r>
      <w:r>
        <w:rPr>
          <w:spacing w:val="-1"/>
        </w:rPr>
        <w:t xml:space="preserve"> </w:t>
      </w:r>
      <w:r>
        <w:rPr>
          <w:spacing w:val="-2"/>
        </w:rPr>
        <w:t>laws?</w:t>
      </w:r>
    </w:p>
    <w:p w14:paraId="6BD0D680" w14:textId="313576A1" w:rsidR="00CF71BD" w:rsidRDefault="00CF71BD" w:rsidP="00A90132">
      <w:pPr>
        <w:pStyle w:val="ListParagraph"/>
        <w:numPr>
          <w:ilvl w:val="0"/>
          <w:numId w:val="2"/>
        </w:numPr>
        <w:spacing w:before="160" w:line="240" w:lineRule="auto"/>
      </w:pPr>
      <w:r>
        <w:rPr>
          <w:b/>
        </w:rPr>
        <w:t>Responsiveness and Appropriateness:</w:t>
      </w:r>
      <w:r>
        <w:rPr>
          <w:b/>
          <w:spacing w:val="-7"/>
        </w:rPr>
        <w:t xml:space="preserve"> </w:t>
      </w:r>
      <w:r>
        <w:t>How</w:t>
      </w:r>
      <w:r>
        <w:rPr>
          <w:spacing w:val="-6"/>
        </w:rPr>
        <w:t xml:space="preserve"> </w:t>
      </w:r>
      <w:r>
        <w:t>responsive</w:t>
      </w:r>
      <w:r>
        <w:rPr>
          <w:spacing w:val="-6"/>
        </w:rPr>
        <w:t xml:space="preserve"> </w:t>
      </w:r>
      <w:r>
        <w:t>or</w:t>
      </w:r>
      <w:r>
        <w:rPr>
          <w:spacing w:val="-6"/>
        </w:rPr>
        <w:t xml:space="preserve"> </w:t>
      </w:r>
      <w:r>
        <w:t>appropriate</w:t>
      </w:r>
      <w:r>
        <w:rPr>
          <w:spacing w:val="-6"/>
        </w:rPr>
        <w:t xml:space="preserve"> </w:t>
      </w:r>
      <w:r>
        <w:t>is</w:t>
      </w:r>
      <w:r>
        <w:rPr>
          <w:spacing w:val="-6"/>
        </w:rPr>
        <w:t xml:space="preserve"> </w:t>
      </w:r>
      <w:r>
        <w:t>the</w:t>
      </w:r>
      <w:r>
        <w:rPr>
          <w:spacing w:val="-6"/>
        </w:rPr>
        <w:t xml:space="preserve"> </w:t>
      </w:r>
      <w:r>
        <w:t>strategy</w:t>
      </w:r>
      <w:r>
        <w:rPr>
          <w:spacing w:val="-6"/>
        </w:rPr>
        <w:t xml:space="preserve"> </w:t>
      </w:r>
      <w:r>
        <w:t xml:space="preserve">to the needs and conditions of everyone in the community, especially those on the </w:t>
      </w:r>
      <w:r>
        <w:rPr>
          <w:spacing w:val="-2"/>
        </w:rPr>
        <w:t>frontline?</w:t>
      </w:r>
    </w:p>
    <w:p w14:paraId="45C1D0E7" w14:textId="015746C4" w:rsidR="00CF71BD" w:rsidRDefault="00CF71BD" w:rsidP="00A90132">
      <w:pPr>
        <w:pStyle w:val="ListParagraph"/>
        <w:numPr>
          <w:ilvl w:val="0"/>
          <w:numId w:val="2"/>
        </w:numPr>
        <w:spacing w:before="160" w:line="240" w:lineRule="auto"/>
      </w:pPr>
      <w:r>
        <w:rPr>
          <w:b/>
        </w:rPr>
        <w:t>Timing and Useful Life:</w:t>
      </w:r>
      <w:r>
        <w:rPr>
          <w:b/>
          <w:spacing w:val="1"/>
        </w:rPr>
        <w:t xml:space="preserve"> </w:t>
      </w:r>
      <w:r>
        <w:t>When</w:t>
      </w:r>
      <w:r>
        <w:rPr>
          <w:spacing w:val="3"/>
        </w:rPr>
        <w:t xml:space="preserve"> </w:t>
      </w:r>
      <w:r>
        <w:t>will</w:t>
      </w:r>
      <w:r>
        <w:rPr>
          <w:spacing w:val="2"/>
        </w:rPr>
        <w:t xml:space="preserve"> </w:t>
      </w:r>
      <w:r>
        <w:t>implementation</w:t>
      </w:r>
      <w:r>
        <w:rPr>
          <w:spacing w:val="3"/>
        </w:rPr>
        <w:t xml:space="preserve"> </w:t>
      </w:r>
      <w:r>
        <w:t>begin,</w:t>
      </w:r>
      <w:r>
        <w:rPr>
          <w:spacing w:val="3"/>
        </w:rPr>
        <w:t xml:space="preserve"> </w:t>
      </w:r>
      <w:r>
        <w:t>how</w:t>
      </w:r>
      <w:r>
        <w:rPr>
          <w:spacing w:val="3"/>
        </w:rPr>
        <w:t xml:space="preserve"> </w:t>
      </w:r>
      <w:r>
        <w:t>long</w:t>
      </w:r>
      <w:r>
        <w:rPr>
          <w:spacing w:val="3"/>
        </w:rPr>
        <w:t xml:space="preserve"> </w:t>
      </w:r>
      <w:r>
        <w:t>will</w:t>
      </w:r>
      <w:r>
        <w:rPr>
          <w:spacing w:val="2"/>
        </w:rPr>
        <w:t xml:space="preserve"> the strategy </w:t>
      </w:r>
      <w:r>
        <w:rPr>
          <w:spacing w:val="-2"/>
        </w:rPr>
        <w:t>take to complete, and what is the expected useful life or lifespan of the investment? For large infrastructure projects, consider how the asset’s lifespan aligns with future climate conditions, maintenance needs, and long-term resilience goals.</w:t>
      </w:r>
    </w:p>
    <w:p w14:paraId="697BE867" w14:textId="74A4A0E3" w:rsidR="00E9650D" w:rsidRDefault="00CF71BD" w:rsidP="00A90132">
      <w:pPr>
        <w:pStyle w:val="ListParagraph"/>
        <w:numPr>
          <w:ilvl w:val="0"/>
          <w:numId w:val="2"/>
        </w:numPr>
        <w:spacing w:before="160" w:line="240" w:lineRule="auto"/>
      </w:pPr>
      <w:r>
        <w:rPr>
          <w:b/>
        </w:rPr>
        <w:t>Monitoring and Reporting:</w:t>
      </w:r>
      <w:r>
        <w:rPr>
          <w:b/>
          <w:spacing w:val="-4"/>
        </w:rPr>
        <w:t xml:space="preserve"> </w:t>
      </w:r>
      <w:r>
        <w:t>How</w:t>
      </w:r>
      <w:r>
        <w:rPr>
          <w:spacing w:val="-4"/>
        </w:rPr>
        <w:t xml:space="preserve"> </w:t>
      </w:r>
      <w:r>
        <w:t>will</w:t>
      </w:r>
      <w:r>
        <w:rPr>
          <w:spacing w:val="-5"/>
        </w:rPr>
        <w:t xml:space="preserve"> </w:t>
      </w:r>
      <w:r>
        <w:t>the</w:t>
      </w:r>
      <w:r>
        <w:rPr>
          <w:spacing w:val="-4"/>
        </w:rPr>
        <w:t xml:space="preserve"> </w:t>
      </w:r>
      <w:r>
        <w:t>strategy</w:t>
      </w:r>
      <w:r>
        <w:rPr>
          <w:spacing w:val="-4"/>
        </w:rPr>
        <w:t xml:space="preserve"> </w:t>
      </w:r>
      <w:r>
        <w:t>be</w:t>
      </w:r>
      <w:r>
        <w:rPr>
          <w:spacing w:val="-4"/>
        </w:rPr>
        <w:t xml:space="preserve"> </w:t>
      </w:r>
      <w:r>
        <w:t>tracked</w:t>
      </w:r>
      <w:r>
        <w:rPr>
          <w:spacing w:val="-4"/>
        </w:rPr>
        <w:t xml:space="preserve"> </w:t>
      </w:r>
      <w:r>
        <w:t>and</w:t>
      </w:r>
      <w:r>
        <w:rPr>
          <w:spacing w:val="-4"/>
        </w:rPr>
        <w:t xml:space="preserve"> </w:t>
      </w:r>
      <w:r>
        <w:t>monitored</w:t>
      </w:r>
      <w:r>
        <w:rPr>
          <w:spacing w:val="-4"/>
        </w:rPr>
        <w:t xml:space="preserve"> </w:t>
      </w:r>
      <w:r>
        <w:t>for</w:t>
      </w:r>
      <w:r>
        <w:rPr>
          <w:spacing w:val="-4"/>
        </w:rPr>
        <w:t xml:space="preserve"> </w:t>
      </w:r>
      <w:r>
        <w:t>effectiveness over time?</w:t>
      </w:r>
      <w:r>
        <w:rPr>
          <w:spacing w:val="-4"/>
        </w:rPr>
        <w:t xml:space="preserve"> </w:t>
      </w:r>
      <w:r>
        <w:t>Are there clear performance indicators to track progress and outcomes?</w:t>
      </w:r>
      <w:bookmarkStart w:id="180" w:name="_bookmark91"/>
      <w:bookmarkEnd w:id="180"/>
    </w:p>
    <w:tbl>
      <w:tblPr>
        <w:tblStyle w:val="TableGrid"/>
        <w:tblW w:w="0" w:type="auto"/>
        <w:tblLook w:val="04A0" w:firstRow="1" w:lastRow="0" w:firstColumn="1" w:lastColumn="0" w:noHBand="0" w:noVBand="1"/>
      </w:tblPr>
      <w:tblGrid>
        <w:gridCol w:w="9350"/>
      </w:tblGrid>
      <w:tr w:rsidR="007A282F" w:rsidRPr="007A282F" w14:paraId="2E02D0A6" w14:textId="77777777" w:rsidTr="007A282F">
        <w:trPr>
          <w:trHeight w:val="576"/>
        </w:trPr>
        <w:tc>
          <w:tcPr>
            <w:tcW w:w="9350" w:type="dxa"/>
            <w:tcBorders>
              <w:top w:val="nil"/>
              <w:left w:val="nil"/>
              <w:bottom w:val="nil"/>
              <w:right w:val="nil"/>
            </w:tcBorders>
            <w:shd w:val="clear" w:color="auto" w:fill="1F5383"/>
            <w:vAlign w:val="center"/>
          </w:tcPr>
          <w:p w14:paraId="7EE18D9E" w14:textId="463B5FDE" w:rsidR="00470A1D" w:rsidRPr="007A282F" w:rsidRDefault="007A282F" w:rsidP="00BB5ACB">
            <w:pPr>
              <w:pStyle w:val="CalloutBoxTitle"/>
              <w:rPr>
                <w:color w:val="FFFFFF" w:themeColor="background1"/>
              </w:rPr>
            </w:pPr>
            <w:r>
              <w:rPr>
                <w:color w:val="FFFFFF" w:themeColor="background1"/>
              </w:rPr>
              <w:t>Case Study: Yurok Tribe and Climate Change</w:t>
            </w:r>
          </w:p>
        </w:tc>
      </w:tr>
      <w:tr w:rsidR="003C016C" w14:paraId="115502BB" w14:textId="77777777" w:rsidTr="003C016C">
        <w:tc>
          <w:tcPr>
            <w:tcW w:w="9350" w:type="dxa"/>
            <w:tcBorders>
              <w:top w:val="nil"/>
              <w:left w:val="nil"/>
              <w:bottom w:val="nil"/>
              <w:right w:val="nil"/>
            </w:tcBorders>
            <w:shd w:val="clear" w:color="auto" w:fill="DCEAF7"/>
          </w:tcPr>
          <w:p w14:paraId="188BBB67" w14:textId="333E09F5" w:rsidR="003C016C" w:rsidRDefault="003C016C" w:rsidP="00224CC0">
            <w:pPr>
              <w:pStyle w:val="BodyText"/>
              <w:spacing w:before="120" w:after="160"/>
            </w:pPr>
            <w:r>
              <w:t xml:space="preserve">The Yurok Tribe in northern California prepared the </w:t>
            </w:r>
            <w:hyperlink r:id="rId270" w:history="1">
              <w:r>
                <w:rPr>
                  <w:rStyle w:val="Hyperlink"/>
                  <w:i/>
                  <w:iCs/>
                </w:rPr>
                <w:t>Yurok Tribe Climate Change Adaptation Plan for Water &amp; Aquatic Resources 2014-2018</w:t>
              </w:r>
            </w:hyperlink>
            <w:r>
              <w:t xml:space="preserve"> using a similar multiphase adaptation planning process. Step 3 of the process was “Identify and Prioritize Solutions.” A particular focus was the importance of traditional knowledge derived primarily from interviews with elders and the adoption of holistic thinking in all phases of the process. From these was derived a set of four criteria for evaluating potential strategies (Section 8.2):</w:t>
            </w:r>
          </w:p>
          <w:p w14:paraId="43A10DD9" w14:textId="6F7CF9AD" w:rsidR="003C016C" w:rsidRDefault="003C016C">
            <w:pPr>
              <w:pStyle w:val="ListParagraph"/>
              <w:numPr>
                <w:ilvl w:val="0"/>
                <w:numId w:val="23"/>
              </w:numPr>
              <w:ind w:left="720"/>
            </w:pPr>
            <w:r>
              <w:t>Address important areas of concern [identified in the vulnerability assessment].</w:t>
            </w:r>
          </w:p>
          <w:p w14:paraId="149D16DA" w14:textId="68323C4E" w:rsidR="003C016C" w:rsidRDefault="003C016C">
            <w:pPr>
              <w:pStyle w:val="ListParagraph"/>
              <w:numPr>
                <w:ilvl w:val="0"/>
                <w:numId w:val="23"/>
              </w:numPr>
              <w:ind w:left="720"/>
            </w:pPr>
            <w:r>
              <w:t>Are in line with the Yurok holistic world view on the inter-connectedness of all things.</w:t>
            </w:r>
          </w:p>
          <w:p w14:paraId="69825494" w14:textId="4611D559" w:rsidR="003C016C" w:rsidRDefault="003C016C">
            <w:pPr>
              <w:pStyle w:val="ListParagraph"/>
              <w:numPr>
                <w:ilvl w:val="0"/>
                <w:numId w:val="23"/>
              </w:numPr>
              <w:ind w:left="720"/>
            </w:pPr>
            <w:r>
              <w:t>Provide benefits across multiple habitats and species.</w:t>
            </w:r>
          </w:p>
          <w:p w14:paraId="47F39220" w14:textId="5F4FB0AD" w:rsidR="003C016C" w:rsidRDefault="003C016C">
            <w:pPr>
              <w:pStyle w:val="ListParagraph"/>
              <w:numPr>
                <w:ilvl w:val="0"/>
                <w:numId w:val="23"/>
              </w:numPr>
              <w:ind w:left="720"/>
            </w:pPr>
            <w:r>
              <w:t>The degree of benefit provided and whether they might cause harm in some way.</w:t>
            </w:r>
          </w:p>
          <w:p w14:paraId="5B4C1881" w14:textId="7C674606" w:rsidR="003C016C" w:rsidRDefault="00052C3E" w:rsidP="00224CC0">
            <w:pPr>
              <w:pStyle w:val="BodyText"/>
              <w:spacing w:before="160" w:after="120"/>
            </w:pPr>
            <w:r>
              <w:t>One strategy that came from this approach was: “Continue to reinvigorate traditional Yurok values and practices.” The plan states: “Traditional Yurok values and practices are a form of resilience that have helped Yurok survive and thrive amidst the numerous challenges they have experienced (Ch. 1). ‘[These values] have carried Yurok throughout time,’ notes Joe Hostler, with the Yurok Tribe Environmental Program, and will help Yurok in a future with climate change as well” (Section 8.2).</w:t>
            </w:r>
            <w:r>
              <w:rPr>
                <w:color w:val="231F20"/>
                <w:sz w:val="14"/>
                <w:szCs w:val="14"/>
              </w:rPr>
              <w:t xml:space="preserve"> </w:t>
            </w:r>
            <w:r>
              <w:t>The strategy then details specific actions to implement the strategy and address climate change.</w:t>
            </w:r>
          </w:p>
        </w:tc>
      </w:tr>
    </w:tbl>
    <w:p w14:paraId="005DD322" w14:textId="53A6A6E0" w:rsidR="0096505E" w:rsidRDefault="0096505E" w:rsidP="007E0FCC">
      <w:pPr>
        <w:spacing w:before="160" w:line="240" w:lineRule="auto"/>
      </w:pPr>
    </w:p>
    <w:p w14:paraId="496D64B8" w14:textId="6CF42295" w:rsidR="00CF71BD" w:rsidRDefault="00C63A3C" w:rsidP="00CC5E0E">
      <w:pPr>
        <w:pStyle w:val="Heading3"/>
        <w:spacing w:after="160" w:line="240" w:lineRule="auto"/>
      </w:pPr>
      <w:bookmarkStart w:id="181" w:name="_bookmark92"/>
      <w:bookmarkStart w:id="182" w:name="_Toc235802716"/>
      <w:bookmarkEnd w:id="181"/>
      <w:r>
        <w:t>Step 3.4A: Cost/Benefit</w:t>
      </w:r>
      <w:r>
        <w:rPr>
          <w:spacing w:val="-9"/>
        </w:rPr>
        <w:t xml:space="preserve"> </w:t>
      </w:r>
      <w:r>
        <w:t>Assessment</w:t>
      </w:r>
      <w:r>
        <w:rPr>
          <w:spacing w:val="-8"/>
        </w:rPr>
        <w:t xml:space="preserve"> </w:t>
      </w:r>
      <w:r>
        <w:t>for</w:t>
      </w:r>
      <w:r>
        <w:rPr>
          <w:spacing w:val="-8"/>
        </w:rPr>
        <w:t xml:space="preserve"> </w:t>
      </w:r>
      <w:r>
        <w:t>Adaptation</w:t>
      </w:r>
      <w:r>
        <w:rPr>
          <w:spacing w:val="-8"/>
        </w:rPr>
        <w:t xml:space="preserve"> </w:t>
      </w:r>
      <w:r>
        <w:rPr>
          <w:spacing w:val="-2"/>
        </w:rPr>
        <w:t>Strategies</w:t>
      </w:r>
      <w:bookmarkEnd w:id="182"/>
    </w:p>
    <w:p w14:paraId="288B3B48" w14:textId="47AFBB56" w:rsidR="00844980" w:rsidRDefault="00BF2CB8" w:rsidP="00CC5E0E">
      <w:pPr>
        <w:pStyle w:val="BodyText"/>
        <w:spacing w:before="160" w:line="240" w:lineRule="auto"/>
      </w:pPr>
      <w:r>
        <w:t xml:space="preserve">As part of the prioritization process, the planning team should consider whether the anticipated benefits of the identified strategies reasonably outweigh their costs. </w:t>
      </w:r>
    </w:p>
    <w:p w14:paraId="3BB12C0F" w14:textId="4BCB777C" w:rsidR="00D536A3" w:rsidRPr="00BE48FE" w:rsidRDefault="00CF71BD" w:rsidP="00D536A3">
      <w:pPr>
        <w:pStyle w:val="BodyText"/>
        <w:spacing w:before="160" w:line="240" w:lineRule="auto"/>
      </w:pPr>
      <w:r>
        <w:t>Benefits may include avoided losses, such as reduced damage to buildings and infrastructure, protection of human life, and fewer injuries during climate-related events. Information from past hazard events, including documented damages, recovery costs, and avoided losses, can provide valuable context when evaluating the potential costs and benefits of adaptation strategies.</w:t>
      </w:r>
    </w:p>
    <w:p w14:paraId="04BDB632" w14:textId="27A7DDE0" w:rsidR="00CF71BD" w:rsidRDefault="00A26655" w:rsidP="00CC5E0E">
      <w:pPr>
        <w:pStyle w:val="BodyText"/>
        <w:spacing w:before="160" w:line="240" w:lineRule="auto"/>
      </w:pPr>
      <w:r>
        <w:t xml:space="preserve">Communities should also consider other benefits that are more difficult to quantify, including improved health, quality of life, ecosystem function, and other social and environmental outcomes. A variety of cost-benefit evaluation frameworks can be used to compare adaptation strategies and identify the most effective and implementable options.  </w:t>
      </w:r>
    </w:p>
    <w:p w14:paraId="7D035D59" w14:textId="129E828C" w:rsidR="00CF71BD" w:rsidRDefault="0019407D" w:rsidP="00CC5E0E">
      <w:pPr>
        <w:pStyle w:val="BodyText"/>
        <w:spacing w:before="160" w:line="240" w:lineRule="auto"/>
      </w:pPr>
      <w:r>
        <w:t>Cost-benefit analysis has important limitations in the context of adaptation planning. Many resilience strategies produce benefits - including direct revenue, economic activity, and environmental and social improvements – which may accrue years after project completion. In addition, environmental, social, and public health benefits are often difficult to quantify or assign monetary value. Traditional, cost-benefit methods may also favor projects that protect high-dollar value assets, potentially undervaluing investments in lower-resourced communities, and may have a lower cost-benefit ratio than those in well-resourced communities (</w:t>
      </w:r>
      <w:hyperlink r:id="rId271">
        <w:r>
          <w:rPr>
            <w:rStyle w:val="Hyperlink"/>
            <w:rFonts w:eastAsia="Aptos" w:cs="Aptos"/>
            <w:color w:val="3333FF"/>
          </w:rPr>
          <w:t>Ready-to-Fund Resilience Toolkit - Adaptation Professionals</w:t>
        </w:r>
      </w:hyperlink>
      <w:r>
        <w:t xml:space="preserve">). For these reasons, cost-benefit analysis should be considered along with other factors, such as equity, feasibility, community priorities, and long-term resilience. </w:t>
      </w:r>
    </w:p>
    <w:tbl>
      <w:tblPr>
        <w:tblStyle w:val="TableGrid"/>
        <w:tblW w:w="0" w:type="auto"/>
        <w:tblLook w:val="04A0" w:firstRow="1" w:lastRow="0" w:firstColumn="1" w:lastColumn="0" w:noHBand="0" w:noVBand="1"/>
      </w:tblPr>
      <w:tblGrid>
        <w:gridCol w:w="9350"/>
      </w:tblGrid>
      <w:tr w:rsidR="00527A7A" w:rsidRPr="004B136C" w14:paraId="252CD789" w14:textId="77777777" w:rsidTr="00D803C9">
        <w:trPr>
          <w:trHeight w:val="576"/>
        </w:trPr>
        <w:tc>
          <w:tcPr>
            <w:tcW w:w="9350" w:type="dxa"/>
            <w:tcBorders>
              <w:top w:val="nil"/>
              <w:left w:val="nil"/>
              <w:bottom w:val="nil"/>
              <w:right w:val="nil"/>
            </w:tcBorders>
            <w:shd w:val="clear" w:color="auto" w:fill="1F5485"/>
            <w:vAlign w:val="center"/>
          </w:tcPr>
          <w:p w14:paraId="622449B7" w14:textId="333B2E61" w:rsidR="00527A7A" w:rsidRPr="006F5A3F" w:rsidRDefault="00527A7A" w:rsidP="00BB5ACB">
            <w:pPr>
              <w:rPr>
                <w:rStyle w:val="CalloutBoxTitleChar"/>
                <w:bCs/>
                <w:color w:val="FFFFFF" w:themeColor="background1"/>
              </w:rPr>
            </w:pPr>
            <w:r>
              <w:rPr>
                <w:rStyle w:val="CalloutBoxTitleChar"/>
                <w:bCs/>
                <w:color w:val="FFFFFF" w:themeColor="background1"/>
              </w:rPr>
              <w:t>C</w:t>
            </w:r>
            <w:r>
              <w:rPr>
                <w:rStyle w:val="CalloutBoxTitleChar"/>
                <w:color w:val="FFFFFF" w:themeColor="background1"/>
              </w:rPr>
              <w:t>ase Study: Santa Clara County’s Multi-Benefit Assessment</w:t>
            </w:r>
          </w:p>
        </w:tc>
      </w:tr>
      <w:tr w:rsidR="00527A7A" w14:paraId="29B28DEF" w14:textId="77777777">
        <w:tc>
          <w:tcPr>
            <w:tcW w:w="9350" w:type="dxa"/>
            <w:tcBorders>
              <w:top w:val="nil"/>
              <w:left w:val="nil"/>
              <w:bottom w:val="nil"/>
              <w:right w:val="nil"/>
            </w:tcBorders>
            <w:shd w:val="clear" w:color="auto" w:fill="DCEAF7"/>
          </w:tcPr>
          <w:p w14:paraId="44556561" w14:textId="18BA7B5D" w:rsidR="00527A7A" w:rsidRDefault="00527A7A" w:rsidP="00224CC0">
            <w:pPr>
              <w:spacing w:before="120" w:after="160"/>
            </w:pPr>
            <w:r>
              <w:rPr>
                <w:rStyle w:val="CalloutBoxTitleChar"/>
                <w:b w:val="0"/>
              </w:rPr>
              <w:t>The</w:t>
            </w:r>
            <w:r>
              <w:rPr>
                <w:rStyle w:val="CalloutBoxTitleChar"/>
              </w:rPr>
              <w:t xml:space="preserve"> </w:t>
            </w:r>
            <w:r>
              <w:rPr>
                <w:noProof/>
              </w:rPr>
              <w:t>Santa Clara County Climate Collaborative</w:t>
            </w:r>
            <w:r>
              <w:t xml:space="preserve"> created a </w:t>
            </w:r>
            <w:hyperlink r:id="rId272" w:history="1">
              <w:r>
                <w:rPr>
                  <w:rStyle w:val="Hyperlink"/>
                </w:rPr>
                <w:t>Multi-benefit Assessment</w:t>
              </w:r>
            </w:hyperlink>
            <w:r>
              <w:t xml:space="preserve"> that assesses the impact of a resilience project or strategy by analyzing it through multi-benefit criteria:</w:t>
            </w:r>
          </w:p>
          <w:p w14:paraId="1B1F2670" w14:textId="7BF6D298" w:rsidR="00527A7A" w:rsidRPr="00C32AA9" w:rsidRDefault="00527A7A" w:rsidP="00A90132">
            <w:pPr>
              <w:pStyle w:val="ListParagraph"/>
              <w:numPr>
                <w:ilvl w:val="0"/>
                <w:numId w:val="2"/>
              </w:numPr>
              <w:spacing w:before="160" w:after="160"/>
              <w:rPr>
                <w:b/>
                <w:bCs/>
              </w:rPr>
            </w:pPr>
            <w:r>
              <w:rPr>
                <w:b/>
              </w:rPr>
              <w:t>Equity</w:t>
            </w:r>
            <w:r>
              <w:rPr>
                <w:b/>
                <w:bCs/>
              </w:rPr>
              <w:t xml:space="preserve">: </w:t>
            </w:r>
            <w:r>
              <w:t>Reduces environmental injustices and systemic disparities experienced by marginalized communities and ensures equitable distribution of project benefits and burdens</w:t>
            </w:r>
          </w:p>
          <w:p w14:paraId="15125541" w14:textId="61BBC80F" w:rsidR="00527A7A" w:rsidRDefault="00527A7A" w:rsidP="00A90132">
            <w:pPr>
              <w:pStyle w:val="ListParagraph"/>
              <w:numPr>
                <w:ilvl w:val="0"/>
                <w:numId w:val="2"/>
              </w:numPr>
              <w:spacing w:before="160" w:after="160"/>
            </w:pPr>
            <w:r>
              <w:rPr>
                <w:b/>
              </w:rPr>
              <w:t>Long-Term Value:</w:t>
            </w:r>
            <w:r>
              <w:t xml:space="preserve"> Prioritizes solutions that deliver multiple long-term benefits and value in line with the costs of design, implementation, and maintenance</w:t>
            </w:r>
          </w:p>
          <w:p w14:paraId="7B5D6BC9" w14:textId="63FC50FC" w:rsidR="00527A7A" w:rsidRDefault="00527A7A" w:rsidP="00A90132">
            <w:pPr>
              <w:pStyle w:val="ListParagraph"/>
              <w:numPr>
                <w:ilvl w:val="0"/>
                <w:numId w:val="2"/>
              </w:numPr>
              <w:spacing w:before="160" w:after="160"/>
            </w:pPr>
            <w:r>
              <w:rPr>
                <w:b/>
              </w:rPr>
              <w:t>Ecosystem Benefit:</w:t>
            </w:r>
            <w:r>
              <w:t xml:space="preserve"> Supports thriving ecosystems and biodiversity, balancing the needs of wildlife, landscapes, and natural resources without creating harm to the community</w:t>
            </w:r>
          </w:p>
          <w:p w14:paraId="49FD01AB" w14:textId="1CBB997F" w:rsidR="00527A7A" w:rsidRDefault="00527A7A" w:rsidP="00A90132">
            <w:pPr>
              <w:pStyle w:val="ListParagraph"/>
              <w:numPr>
                <w:ilvl w:val="0"/>
                <w:numId w:val="2"/>
              </w:numPr>
              <w:spacing w:before="160" w:after="160"/>
            </w:pPr>
            <w:r>
              <w:rPr>
                <w:b/>
              </w:rPr>
              <w:t>Community Benefit:</w:t>
            </w:r>
            <w:r>
              <w:t xml:space="preserve"> Creates community benefits that improve human health and well-being, community resilience, quality of life, and supports a prosperous and just economy</w:t>
            </w:r>
          </w:p>
          <w:p w14:paraId="644C4B80" w14:textId="77777777" w:rsidR="00527A7A" w:rsidRDefault="00527A7A" w:rsidP="00104232">
            <w:pPr>
              <w:pStyle w:val="ListParagraph"/>
              <w:numPr>
                <w:ilvl w:val="0"/>
                <w:numId w:val="2"/>
              </w:numPr>
              <w:spacing w:before="160" w:after="120"/>
              <w:contextualSpacing w:val="0"/>
            </w:pPr>
            <w:r>
              <w:rPr>
                <w:b/>
              </w:rPr>
              <w:t>Cross-Jurisdictional Alignment:</w:t>
            </w:r>
            <w:r>
              <w:t xml:space="preserve"> Bridges and strengthens connections between organizations, jurisdictions, etc. to work towards scaled solutions</w:t>
            </w:r>
          </w:p>
          <w:p w14:paraId="4F592378" w14:textId="58B2E4CA" w:rsidR="00EE0C68" w:rsidRPr="00EE0C68" w:rsidRDefault="00EE0C68" w:rsidP="00EE0C68">
            <w:pPr>
              <w:spacing w:before="160" w:after="120"/>
            </w:pPr>
            <w:r>
              <w:t>The Multi-benefit Assessment provides a Multi-benefit Criteria Worksheet to help city staff and project partners evaluate and prioritize resilience projects or strategies. To use the worksheet, each criteria area has its own set of questions to answer. For each question, the project can receive a score of +, 0, - depending on if it will have a positive, neutral, or negative impact. Neutral or positive scores are accepted but not negative scores. If the project or strategy yields a negative score, it must be redesigned to give a neutral or positive score.</w:t>
            </w:r>
          </w:p>
        </w:tc>
      </w:tr>
    </w:tbl>
    <w:p w14:paraId="2982D528" w14:textId="1B004DBA" w:rsidR="000E64BD" w:rsidRDefault="000E64BD" w:rsidP="00104232">
      <w:pPr>
        <w:spacing w:after="0" w:line="240" w:lineRule="auto"/>
        <w:rPr>
          <w:sz w:val="16"/>
          <w:szCs w:val="14"/>
        </w:rPr>
      </w:pPr>
    </w:p>
    <w:p w14:paraId="207C8DD6" w14:textId="112C4B92" w:rsidR="00CF71BD" w:rsidRDefault="00C63A3C" w:rsidP="00CC5E0E">
      <w:pPr>
        <w:pStyle w:val="Heading3"/>
        <w:spacing w:after="160" w:line="240" w:lineRule="auto"/>
      </w:pPr>
      <w:bookmarkStart w:id="183" w:name="_Toc235802717"/>
      <w:r>
        <w:t>Step 3.4B: Outreach</w:t>
      </w:r>
      <w:r>
        <w:rPr>
          <w:spacing w:val="-13"/>
        </w:rPr>
        <w:t xml:space="preserve"> </w:t>
      </w:r>
      <w:r>
        <w:t>to</w:t>
      </w:r>
      <w:r>
        <w:rPr>
          <w:spacing w:val="-10"/>
        </w:rPr>
        <w:t xml:space="preserve"> </w:t>
      </w:r>
      <w:r>
        <w:t>Develop</w:t>
      </w:r>
      <w:r>
        <w:rPr>
          <w:spacing w:val="-11"/>
        </w:rPr>
        <w:t xml:space="preserve"> </w:t>
      </w:r>
      <w:r>
        <w:t>Adaptation</w:t>
      </w:r>
      <w:r>
        <w:rPr>
          <w:spacing w:val="-10"/>
        </w:rPr>
        <w:t xml:space="preserve"> </w:t>
      </w:r>
      <w:r>
        <w:rPr>
          <w:spacing w:val="-2"/>
        </w:rPr>
        <w:t>Strategies</w:t>
      </w:r>
      <w:bookmarkEnd w:id="183"/>
    </w:p>
    <w:tbl>
      <w:tblPr>
        <w:tblStyle w:val="TableGrid"/>
        <w:tblpPr w:leftFromText="180" w:rightFromText="180" w:vertAnchor="text" w:horzAnchor="margin" w:tblpXSpec="right" w:tblpY="250"/>
        <w:tblW w:w="0" w:type="auto"/>
        <w:tblLook w:val="04A0" w:firstRow="1" w:lastRow="0" w:firstColumn="1" w:lastColumn="0" w:noHBand="0" w:noVBand="1"/>
      </w:tblPr>
      <w:tblGrid>
        <w:gridCol w:w="9360"/>
      </w:tblGrid>
      <w:tr w:rsidR="002B0E79" w14:paraId="11E56014" w14:textId="77777777" w:rsidTr="003107DC">
        <w:trPr>
          <w:trHeight w:val="576"/>
        </w:trPr>
        <w:tc>
          <w:tcPr>
            <w:tcW w:w="9360" w:type="dxa"/>
            <w:tcBorders>
              <w:top w:val="nil"/>
              <w:left w:val="nil"/>
              <w:bottom w:val="nil"/>
              <w:right w:val="nil"/>
            </w:tcBorders>
            <w:shd w:val="clear" w:color="auto" w:fill="404040" w:themeFill="text1" w:themeFillTint="BF"/>
            <w:vAlign w:val="center"/>
          </w:tcPr>
          <w:p w14:paraId="4E579B15" w14:textId="77777777" w:rsidR="002B0E79" w:rsidRPr="007D6485" w:rsidRDefault="002B0E79" w:rsidP="002B0E79">
            <w:pPr>
              <w:rPr>
                <w:b/>
                <w:bCs/>
                <w:color w:val="FFFFFF" w:themeColor="background1"/>
              </w:rPr>
            </w:pPr>
            <w:bookmarkStart w:id="184" w:name="_bookmark95"/>
            <w:bookmarkStart w:id="185" w:name="_bookmark96"/>
            <w:bookmarkEnd w:id="184"/>
            <w:bookmarkEnd w:id="185"/>
            <w:r>
              <w:rPr>
                <w:b/>
                <w:bCs/>
                <w:color w:val="FFFFFF" w:themeColor="background1"/>
              </w:rPr>
              <w:t>Adapting Rising Tides (ART)</w:t>
            </w:r>
          </w:p>
        </w:tc>
      </w:tr>
      <w:tr w:rsidR="002B0E79" w14:paraId="4BF8F566" w14:textId="77777777" w:rsidTr="003107DC">
        <w:tc>
          <w:tcPr>
            <w:tcW w:w="9360" w:type="dxa"/>
            <w:tcBorders>
              <w:top w:val="nil"/>
              <w:left w:val="nil"/>
              <w:bottom w:val="nil"/>
              <w:right w:val="nil"/>
            </w:tcBorders>
            <w:shd w:val="clear" w:color="auto" w:fill="F2F2F2" w:themeFill="background1" w:themeFillShade="F2"/>
          </w:tcPr>
          <w:p w14:paraId="27A3A4E0" w14:textId="100547DF" w:rsidR="002B0E79" w:rsidRDefault="002B0E79" w:rsidP="002B0E79">
            <w:pPr>
              <w:spacing w:before="120" w:after="120"/>
            </w:pPr>
            <w:r>
              <w:t xml:space="preserve">The ART Program offers an online </w:t>
            </w:r>
            <w:hyperlink r:id="rId273" w:history="1">
              <w:r>
                <w:rPr>
                  <w:rStyle w:val="Hyperlink"/>
                  <w:szCs w:val="22"/>
                </w:rPr>
                <w:t>ART Portfolio</w:t>
              </w:r>
            </w:hyperlink>
            <w:r>
              <w:t>, which includes reports, resources, examples, how to guides, and supplies to support climate</w:t>
            </w:r>
            <w:r>
              <w:rPr>
                <w:spacing w:val="-12"/>
              </w:rPr>
              <w:t xml:space="preserve"> </w:t>
            </w:r>
            <w:r>
              <w:t>adaptation</w:t>
            </w:r>
            <w:r>
              <w:rPr>
                <w:spacing w:val="-12"/>
              </w:rPr>
              <w:t xml:space="preserve"> </w:t>
            </w:r>
            <w:r>
              <w:t>planning.</w:t>
            </w:r>
            <w:r>
              <w:rPr>
                <w:spacing w:val="-12"/>
              </w:rPr>
              <w:t xml:space="preserve"> </w:t>
            </w:r>
            <w:hyperlink r:id="rId274">
              <w:r>
                <w:t>ART</w:t>
              </w:r>
            </w:hyperlink>
            <w:r>
              <w:t xml:space="preserve"> </w:t>
            </w:r>
            <w:hyperlink r:id="rId275">
              <w:r>
                <w:t>Supplies</w:t>
              </w:r>
            </w:hyperlink>
            <w:r>
              <w:t xml:space="preserve"> includes a helpful </w:t>
            </w:r>
            <w:hyperlink r:id="rId276">
              <w:r>
                <w:rPr>
                  <w:rStyle w:val="Hyperlink"/>
                </w:rPr>
                <w:t>How-</w:t>
              </w:r>
            </w:hyperlink>
            <w:hyperlink r:id="rId277">
              <w:r>
                <w:rPr>
                  <w:rStyle w:val="Hyperlink"/>
                </w:rPr>
                <w:t>To Guide: “Developing Evaluation Criteria</w:t>
              </w:r>
            </w:hyperlink>
            <w:r>
              <w:t>” from 2016, which provides more information and guidance to</w:t>
            </w:r>
            <w:r>
              <w:rPr>
                <w:spacing w:val="-1"/>
              </w:rPr>
              <w:t xml:space="preserve"> </w:t>
            </w:r>
            <w:r>
              <w:t>support</w:t>
            </w:r>
            <w:r>
              <w:rPr>
                <w:spacing w:val="-1"/>
              </w:rPr>
              <w:t xml:space="preserve"> </w:t>
            </w:r>
            <w:r>
              <w:t>preparation</w:t>
            </w:r>
            <w:r>
              <w:rPr>
                <w:spacing w:val="-1"/>
              </w:rPr>
              <w:t xml:space="preserve"> </w:t>
            </w:r>
            <w:r>
              <w:t xml:space="preserve">of </w:t>
            </w:r>
            <w:r>
              <w:rPr>
                <w:spacing w:val="-5"/>
              </w:rPr>
              <w:t xml:space="preserve">an </w:t>
            </w:r>
            <w:r>
              <w:t>evaluation</w:t>
            </w:r>
            <w:r>
              <w:rPr>
                <w:spacing w:val="-13"/>
              </w:rPr>
              <w:t xml:space="preserve"> </w:t>
            </w:r>
            <w:r>
              <w:rPr>
                <w:spacing w:val="-2"/>
              </w:rPr>
              <w:t>worksheet.</w:t>
            </w:r>
          </w:p>
        </w:tc>
      </w:tr>
    </w:tbl>
    <w:p w14:paraId="604D7146" w14:textId="476389E9" w:rsidR="00C81CA0" w:rsidRDefault="00C81CA0" w:rsidP="55DEB025">
      <w:pPr>
        <w:spacing w:before="160" w:line="240" w:lineRule="auto"/>
      </w:pPr>
      <w:r>
        <w:t xml:space="preserve">In prioritizing strategies, it is helpful to get feedback from a variety of partners outside the core planning team, especially those representing frontline communities because they will most likely evaluate the strategies differently. </w:t>
      </w:r>
      <w:r w:rsidR="630BEFA6">
        <w:t>Community members with lived experience may identify barriers and challenges that are not apparent through technical analysis alone.</w:t>
      </w:r>
    </w:p>
    <w:p w14:paraId="0E80597A" w14:textId="15FF7EA5" w:rsidR="00C81CA0" w:rsidRDefault="00C81CA0" w:rsidP="00C81CA0">
      <w:pPr>
        <w:spacing w:before="160" w:line="240" w:lineRule="auto"/>
      </w:pPr>
      <w:r>
        <w:t xml:space="preserve">To develop an effective implementation plan it is essential to get input on who could assist and what could possibly hinder the implementation of a strategy.  </w:t>
      </w:r>
    </w:p>
    <w:p w14:paraId="1C9EB5B8" w14:textId="30250631" w:rsidR="00CF71BD" w:rsidRDefault="00CF71BD" w:rsidP="00314B7D">
      <w:pPr>
        <w:spacing w:before="160" w:line="240" w:lineRule="auto"/>
      </w:pPr>
      <w:r>
        <w:t>Once</w:t>
      </w:r>
      <w:r>
        <w:rPr>
          <w:spacing w:val="-6"/>
        </w:rPr>
        <w:t xml:space="preserve"> </w:t>
      </w:r>
      <w:r>
        <w:t>partners</w:t>
      </w:r>
      <w:r>
        <w:rPr>
          <w:spacing w:val="-6"/>
        </w:rPr>
        <w:t xml:space="preserve"> </w:t>
      </w:r>
      <w:r>
        <w:t>have</w:t>
      </w:r>
      <w:r>
        <w:rPr>
          <w:spacing w:val="-6"/>
        </w:rPr>
        <w:t xml:space="preserve"> </w:t>
      </w:r>
      <w:r>
        <w:t>brainstormed</w:t>
      </w:r>
      <w:r>
        <w:rPr>
          <w:spacing w:val="-6"/>
        </w:rPr>
        <w:t xml:space="preserve"> </w:t>
      </w:r>
      <w:r>
        <w:t>possible adaptation</w:t>
      </w:r>
      <w:r>
        <w:rPr>
          <w:spacing w:val="-6"/>
        </w:rPr>
        <w:t xml:space="preserve"> </w:t>
      </w:r>
      <w:r>
        <w:t>strategies,</w:t>
      </w:r>
      <w:r>
        <w:rPr>
          <w:spacing w:val="-6"/>
        </w:rPr>
        <w:t xml:space="preserve"> </w:t>
      </w:r>
      <w:r>
        <w:t>the</w:t>
      </w:r>
      <w:r>
        <w:rPr>
          <w:spacing w:val="-6"/>
        </w:rPr>
        <w:t xml:space="preserve"> </w:t>
      </w:r>
      <w:r>
        <w:t>planning</w:t>
      </w:r>
      <w:r>
        <w:rPr>
          <w:spacing w:val="-6"/>
        </w:rPr>
        <w:t xml:space="preserve"> </w:t>
      </w:r>
      <w:r>
        <w:t>team</w:t>
      </w:r>
      <w:r>
        <w:rPr>
          <w:spacing w:val="-6"/>
        </w:rPr>
        <w:t xml:space="preserve"> </w:t>
      </w:r>
      <w:r>
        <w:t>should categorize and prioritize strategies before seeking additional feedback from the community. One way to help with this would be to summarize and visually illustrate aspects of each strategy, which could include:</w:t>
      </w:r>
    </w:p>
    <w:p w14:paraId="0FAE0706" w14:textId="5C89BB9F" w:rsidR="00CF71BD" w:rsidRPr="00FB56B6" w:rsidRDefault="00CF71BD" w:rsidP="00A90132">
      <w:pPr>
        <w:pStyle w:val="ListParagraph"/>
        <w:numPr>
          <w:ilvl w:val="0"/>
          <w:numId w:val="2"/>
        </w:numPr>
        <w:spacing w:before="160" w:line="240" w:lineRule="auto"/>
      </w:pPr>
      <w:r>
        <w:t>A</w:t>
      </w:r>
      <w:r>
        <w:rPr>
          <w:spacing w:val="2"/>
        </w:rPr>
        <w:t xml:space="preserve"> </w:t>
      </w:r>
      <w:r>
        <w:t>cost</w:t>
      </w:r>
      <w:r>
        <w:rPr>
          <w:spacing w:val="2"/>
        </w:rPr>
        <w:t xml:space="preserve"> </w:t>
      </w:r>
      <w:r>
        <w:t>or</w:t>
      </w:r>
      <w:r>
        <w:rPr>
          <w:spacing w:val="2"/>
        </w:rPr>
        <w:t xml:space="preserve"> </w:t>
      </w:r>
      <w:r>
        <w:t>feasibility</w:t>
      </w:r>
      <w:r>
        <w:rPr>
          <w:spacing w:val="2"/>
        </w:rPr>
        <w:t xml:space="preserve"> </w:t>
      </w:r>
      <w:r>
        <w:rPr>
          <w:spacing w:val="-2"/>
        </w:rPr>
        <w:t>estimate</w:t>
      </w:r>
    </w:p>
    <w:p w14:paraId="225026FB" w14:textId="00DBE46A" w:rsidR="00CF71BD" w:rsidRPr="00FB56B6" w:rsidRDefault="00CF71BD" w:rsidP="00A90132">
      <w:pPr>
        <w:pStyle w:val="ListParagraph"/>
        <w:numPr>
          <w:ilvl w:val="0"/>
          <w:numId w:val="2"/>
        </w:numPr>
        <w:spacing w:before="160" w:line="240" w:lineRule="auto"/>
      </w:pPr>
      <w:r>
        <w:t>A</w:t>
      </w:r>
      <w:r>
        <w:rPr>
          <w:spacing w:val="1"/>
        </w:rPr>
        <w:t xml:space="preserve"> </w:t>
      </w:r>
      <w:r>
        <w:t>list</w:t>
      </w:r>
      <w:r>
        <w:rPr>
          <w:spacing w:val="2"/>
        </w:rPr>
        <w:t xml:space="preserve"> </w:t>
      </w:r>
      <w:r>
        <w:t>of</w:t>
      </w:r>
      <w:r>
        <w:rPr>
          <w:spacing w:val="1"/>
        </w:rPr>
        <w:t xml:space="preserve"> </w:t>
      </w:r>
      <w:r>
        <w:t>co-benefits,</w:t>
      </w:r>
      <w:r>
        <w:rPr>
          <w:spacing w:val="2"/>
        </w:rPr>
        <w:t xml:space="preserve"> </w:t>
      </w:r>
      <w:r>
        <w:t>including</w:t>
      </w:r>
      <w:r>
        <w:rPr>
          <w:spacing w:val="2"/>
        </w:rPr>
        <w:t xml:space="preserve"> </w:t>
      </w:r>
      <w:r>
        <w:t>equity</w:t>
      </w:r>
      <w:r>
        <w:rPr>
          <w:spacing w:val="1"/>
        </w:rPr>
        <w:t xml:space="preserve"> </w:t>
      </w:r>
      <w:r>
        <w:rPr>
          <w:spacing w:val="-2"/>
        </w:rPr>
        <w:t>implications</w:t>
      </w:r>
    </w:p>
    <w:p w14:paraId="61AE53B5" w14:textId="39DA8E9C" w:rsidR="00CC53EC" w:rsidRDefault="00CC53EC" w:rsidP="00CC53EC">
      <w:pPr>
        <w:pStyle w:val="ListParagraph"/>
        <w:numPr>
          <w:ilvl w:val="0"/>
          <w:numId w:val="2"/>
        </w:numPr>
        <w:spacing w:before="160" w:line="240" w:lineRule="auto"/>
      </w:pPr>
      <w:r>
        <w:rPr>
          <w:spacing w:val="-2"/>
        </w:rPr>
        <w:t>Potential impacts on historically underserved communities</w:t>
      </w:r>
    </w:p>
    <w:p w14:paraId="77F42EB1" w14:textId="31F6BC9B" w:rsidR="00CF71BD" w:rsidRPr="00FB56B6" w:rsidRDefault="00CF71BD" w:rsidP="00A90132">
      <w:pPr>
        <w:pStyle w:val="ListParagraph"/>
        <w:numPr>
          <w:ilvl w:val="0"/>
          <w:numId w:val="2"/>
        </w:numPr>
        <w:spacing w:before="160" w:line="240" w:lineRule="auto"/>
      </w:pPr>
      <w:r>
        <w:t>Downsides</w:t>
      </w:r>
      <w:r>
        <w:rPr>
          <w:spacing w:val="-3"/>
        </w:rPr>
        <w:t xml:space="preserve"> </w:t>
      </w:r>
      <w:r>
        <w:t>to</w:t>
      </w:r>
      <w:r>
        <w:rPr>
          <w:spacing w:val="-3"/>
        </w:rPr>
        <w:t xml:space="preserve"> </w:t>
      </w:r>
      <w:r>
        <w:t>adopting</w:t>
      </w:r>
      <w:r>
        <w:rPr>
          <w:spacing w:val="-3"/>
        </w:rPr>
        <w:t xml:space="preserve"> </w:t>
      </w:r>
      <w:r>
        <w:t>the</w:t>
      </w:r>
      <w:r>
        <w:rPr>
          <w:spacing w:val="-3"/>
        </w:rPr>
        <w:t xml:space="preserve"> </w:t>
      </w:r>
      <w:r>
        <w:rPr>
          <w:spacing w:val="-2"/>
        </w:rPr>
        <w:t>strategy</w:t>
      </w:r>
    </w:p>
    <w:p w14:paraId="6DB02F63" w14:textId="76E15A32" w:rsidR="00CF71BD" w:rsidRPr="00FB56B6" w:rsidRDefault="00CF71BD" w:rsidP="00A90132">
      <w:pPr>
        <w:pStyle w:val="ListParagraph"/>
        <w:numPr>
          <w:ilvl w:val="0"/>
          <w:numId w:val="2"/>
        </w:numPr>
        <w:spacing w:before="160" w:line="240" w:lineRule="auto"/>
      </w:pPr>
      <w:r>
        <w:t>Potential barriers</w:t>
      </w:r>
      <w:r>
        <w:rPr>
          <w:spacing w:val="2"/>
        </w:rPr>
        <w:t xml:space="preserve"> </w:t>
      </w:r>
      <w:r>
        <w:t>or</w:t>
      </w:r>
      <w:r>
        <w:rPr>
          <w:spacing w:val="3"/>
        </w:rPr>
        <w:t xml:space="preserve"> </w:t>
      </w:r>
      <w:r>
        <w:rPr>
          <w:spacing w:val="-2"/>
        </w:rPr>
        <w:t>challenges</w:t>
      </w:r>
    </w:p>
    <w:p w14:paraId="1B16E92B" w14:textId="59B08BBD" w:rsidR="00CF71BD" w:rsidRPr="00FB56B6" w:rsidRDefault="00CF71BD" w:rsidP="00A90132">
      <w:pPr>
        <w:pStyle w:val="ListParagraph"/>
        <w:numPr>
          <w:ilvl w:val="0"/>
          <w:numId w:val="2"/>
        </w:numPr>
        <w:spacing w:before="160" w:line="240" w:lineRule="auto"/>
      </w:pPr>
      <w:r>
        <w:t>Implementation</w:t>
      </w:r>
      <w:r>
        <w:rPr>
          <w:spacing w:val="-5"/>
        </w:rPr>
        <w:t xml:space="preserve"> </w:t>
      </w:r>
      <w:r>
        <w:rPr>
          <w:spacing w:val="-2"/>
        </w:rPr>
        <w:t>needs</w:t>
      </w:r>
    </w:p>
    <w:p w14:paraId="58FBE85E" w14:textId="5F2045E9" w:rsidR="00CF71BD" w:rsidRPr="00FB56B6" w:rsidRDefault="00CF71BD" w:rsidP="00A90132">
      <w:pPr>
        <w:pStyle w:val="ListParagraph"/>
        <w:numPr>
          <w:ilvl w:val="0"/>
          <w:numId w:val="2"/>
        </w:numPr>
        <w:spacing w:before="160" w:line="240" w:lineRule="auto"/>
      </w:pPr>
      <w:r>
        <w:t xml:space="preserve">Case study or </w:t>
      </w:r>
      <w:r>
        <w:rPr>
          <w:spacing w:val="-2"/>
        </w:rPr>
        <w:t>example</w:t>
      </w:r>
    </w:p>
    <w:p w14:paraId="530E3E81" w14:textId="3F5E92F4" w:rsidR="00CF71BD" w:rsidRPr="00FB56B6" w:rsidRDefault="00CF71BD" w:rsidP="00A90132">
      <w:pPr>
        <w:pStyle w:val="ListParagraph"/>
        <w:numPr>
          <w:ilvl w:val="0"/>
          <w:numId w:val="2"/>
        </w:numPr>
        <w:spacing w:before="160" w:line="240" w:lineRule="auto"/>
      </w:pPr>
      <w:r>
        <w:t>Other</w:t>
      </w:r>
      <w:r>
        <w:rPr>
          <w:spacing w:val="-5"/>
        </w:rPr>
        <w:t xml:space="preserve"> </w:t>
      </w:r>
      <w:r>
        <w:t>important</w:t>
      </w:r>
      <w:r>
        <w:rPr>
          <w:spacing w:val="-2"/>
        </w:rPr>
        <w:t xml:space="preserve"> </w:t>
      </w:r>
      <w:r>
        <w:t>information</w:t>
      </w:r>
      <w:r>
        <w:rPr>
          <w:spacing w:val="-2"/>
        </w:rPr>
        <w:t xml:space="preserve"> </w:t>
      </w:r>
      <w:r>
        <w:t>from</w:t>
      </w:r>
      <w:r>
        <w:rPr>
          <w:spacing w:val="-2"/>
        </w:rPr>
        <w:t xml:space="preserve"> </w:t>
      </w:r>
      <w:r>
        <w:t>Step</w:t>
      </w:r>
      <w:r>
        <w:rPr>
          <w:spacing w:val="-2"/>
        </w:rPr>
        <w:t xml:space="preserve"> </w:t>
      </w:r>
      <w:r>
        <w:rPr>
          <w:spacing w:val="-5"/>
        </w:rPr>
        <w:t>3.4</w:t>
      </w:r>
    </w:p>
    <w:p w14:paraId="21D4525C" w14:textId="75FDF983" w:rsidR="00AB4C34" w:rsidRDefault="005B4C00" w:rsidP="00AB4C34">
      <w:pPr>
        <w:spacing w:before="160" w:line="240" w:lineRule="auto"/>
      </w:pPr>
      <w:r>
        <w:rPr>
          <w:u w:val="single"/>
        </w:rPr>
        <w:fldChar w:fldCharType="begin"/>
      </w:r>
      <w:r>
        <w:rPr>
          <w:u w:val="single"/>
        </w:rPr>
        <w:instrText xml:space="preserve"> REF _Ref229485231 \h  \* MERGEFORMAT </w:instrText>
      </w:r>
      <w:r>
        <w:rPr>
          <w:u w:val="single"/>
        </w:rPr>
      </w:r>
      <w:r>
        <w:rPr>
          <w:u w:val="single"/>
        </w:rPr>
        <w:fldChar w:fldCharType="separate"/>
      </w:r>
      <w:r w:rsidR="00517691" w:rsidRPr="00517691">
        <w:rPr>
          <w:spacing w:val="5"/>
          <w:szCs w:val="24"/>
          <w:u w:val="single"/>
        </w:rPr>
        <w:t xml:space="preserve">Figure </w:t>
      </w:r>
      <w:r w:rsidR="00517691" w:rsidRPr="00517691">
        <w:rPr>
          <w:noProof/>
          <w:spacing w:val="5"/>
          <w:u w:val="single"/>
        </w:rPr>
        <w:t>22</w:t>
      </w:r>
      <w:r>
        <w:rPr>
          <w:u w:val="single"/>
        </w:rPr>
        <w:fldChar w:fldCharType="end"/>
      </w:r>
      <w:r>
        <w:t xml:space="preserve"> illustrates how the City of Long Beach presented its adaptation strategies in its 2020 </w:t>
      </w:r>
      <w:hyperlink r:id="rId278" w:history="1">
        <w:r>
          <w:rPr>
            <w:rStyle w:val="Hyperlink"/>
            <w:i/>
            <w:iCs/>
          </w:rPr>
          <w:t>CAAP: Climate Action + Adaptation Plan</w:t>
        </w:r>
      </w:hyperlink>
      <w:r>
        <w:t xml:space="preserve">. Incorporating clear, compelling, eye-catching graphics can help translate complex information into formats that are easier to understand and more engaging for the public. This approach supports accessibility across multiple engagement settings, including online surveys, in-person workshops, and other community outreach formats. Public facing materials should be accessible by using plain language, sufficient color contrast, and translations when appropriate. It is important to also make the formats compatible with assistive technologies. </w:t>
      </w:r>
    </w:p>
    <w:p w14:paraId="523AE599" w14:textId="696867B7" w:rsidR="002B0E79" w:rsidRDefault="002B0E79" w:rsidP="00CC5E0E">
      <w:pPr>
        <w:spacing w:before="160" w:line="240" w:lineRule="auto"/>
      </w:pPr>
    </w:p>
    <w:p w14:paraId="2FA5A3D9" w14:textId="77777777" w:rsidR="002B0E79" w:rsidRDefault="002B0E79">
      <w:r>
        <w:br w:type="page"/>
      </w:r>
    </w:p>
    <w:tbl>
      <w:tblPr>
        <w:tblStyle w:val="TableGrid"/>
        <w:tblW w:w="0" w:type="auto"/>
        <w:tblLook w:val="04A0" w:firstRow="1" w:lastRow="0" w:firstColumn="1" w:lastColumn="0" w:noHBand="0" w:noVBand="1"/>
      </w:tblPr>
      <w:tblGrid>
        <w:gridCol w:w="9350"/>
      </w:tblGrid>
      <w:tr w:rsidR="00366D08" w14:paraId="5C02EE09" w14:textId="77777777" w:rsidTr="00D71F54">
        <w:trPr>
          <w:trHeight w:val="432"/>
        </w:trPr>
        <w:tc>
          <w:tcPr>
            <w:tcW w:w="9350" w:type="dxa"/>
            <w:shd w:val="clear" w:color="auto" w:fill="000000" w:themeFill="text1"/>
            <w:vAlign w:val="center"/>
          </w:tcPr>
          <w:p w14:paraId="16086B23" w14:textId="183C9451" w:rsidR="00366D08" w:rsidRDefault="005B4C00" w:rsidP="00BB5ACB">
            <w:bookmarkStart w:id="186" w:name="_bookmark97"/>
            <w:bookmarkStart w:id="187" w:name="_Ref229485231"/>
            <w:bookmarkEnd w:id="186"/>
            <w:r>
              <w:rPr>
                <w:b/>
                <w:bCs/>
                <w:spacing w:val="5"/>
              </w:rPr>
              <w:t xml:space="preserve">Figure </w:t>
            </w:r>
            <w:r>
              <w:rPr>
                <w:b/>
                <w:bCs/>
                <w:spacing w:val="5"/>
              </w:rPr>
              <w:fldChar w:fldCharType="begin"/>
            </w:r>
            <w:r>
              <w:rPr>
                <w:b/>
                <w:bCs/>
                <w:spacing w:val="5"/>
              </w:rPr>
              <w:instrText xml:space="preserve"> SEQ Figure \* ARABIC </w:instrText>
            </w:r>
            <w:r>
              <w:rPr>
                <w:b/>
                <w:bCs/>
                <w:spacing w:val="5"/>
              </w:rPr>
              <w:fldChar w:fldCharType="separate"/>
            </w:r>
            <w:r w:rsidR="00517691">
              <w:rPr>
                <w:b/>
                <w:bCs/>
                <w:noProof/>
                <w:spacing w:val="5"/>
              </w:rPr>
              <w:t>22</w:t>
            </w:r>
            <w:r>
              <w:rPr>
                <w:b/>
                <w:bCs/>
                <w:spacing w:val="5"/>
              </w:rPr>
              <w:fldChar w:fldCharType="end"/>
            </w:r>
            <w:bookmarkEnd w:id="187"/>
            <w:r>
              <w:rPr>
                <w:b/>
                <w:bCs/>
              </w:rPr>
              <w:t>.</w:t>
            </w:r>
            <w:r>
              <w:rPr>
                <w:b/>
                <w:bCs/>
                <w:spacing w:val="5"/>
              </w:rPr>
              <w:t xml:space="preserve"> Adaptation action flyer from </w:t>
            </w:r>
            <w:r>
              <w:rPr>
                <w:b/>
                <w:bCs/>
                <w:szCs w:val="22"/>
              </w:rPr>
              <w:t>Long</w:t>
            </w:r>
            <w:r>
              <w:rPr>
                <w:b/>
                <w:bCs/>
                <w:spacing w:val="-2"/>
              </w:rPr>
              <w:t xml:space="preserve"> </w:t>
            </w:r>
            <w:r>
              <w:rPr>
                <w:b/>
                <w:bCs/>
              </w:rPr>
              <w:t>Beach’s 2020</w:t>
            </w:r>
            <w:r>
              <w:rPr>
                <w:b/>
                <w:bCs/>
                <w:spacing w:val="-2"/>
              </w:rPr>
              <w:t xml:space="preserve"> CAAP outreach</w:t>
            </w:r>
          </w:p>
        </w:tc>
      </w:tr>
      <w:tr w:rsidR="00366D08" w14:paraId="08F03941" w14:textId="77777777" w:rsidTr="00287A8F">
        <w:trPr>
          <w:trHeight w:val="6200"/>
        </w:trPr>
        <w:tc>
          <w:tcPr>
            <w:tcW w:w="9350" w:type="dxa"/>
          </w:tcPr>
          <w:p w14:paraId="7772C4AE" w14:textId="54396421" w:rsidR="00287A8F" w:rsidRDefault="00371A78" w:rsidP="00224CC0">
            <w:pPr>
              <w:spacing w:before="120" w:after="120"/>
              <w:rPr>
                <w:noProof/>
              </w:rPr>
            </w:pPr>
            <w:r>
              <w:rPr>
                <w:noProof/>
                <w:color w:val="4C4D4F"/>
              </w:rPr>
              <w:drawing>
                <wp:inline distT="0" distB="0" distL="0" distR="0" wp14:anchorId="03E1E6C3" wp14:editId="429A2DA3">
                  <wp:extent cx="2817628" cy="3725228"/>
                  <wp:effectExtent l="0" t="0" r="1905" b="8890"/>
                  <wp:docPr id="1961418551" name="Picture 1" descr="1st page of flyer. It is full of bright eye-catching colors, infographics, and avoids paragraphs of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18551" name="Picture 1" descr="1st page of flyer. It is full of bright eye-catching colors, infographics, and avoids paragraphs of information."/>
                          <pic:cNvPicPr/>
                        </pic:nvPicPr>
                        <pic:blipFill>
                          <a:blip r:embed="rId279"/>
                          <a:stretch>
                            <a:fillRect/>
                          </a:stretch>
                        </pic:blipFill>
                        <pic:spPr>
                          <a:xfrm>
                            <a:off x="0" y="0"/>
                            <a:ext cx="2834090" cy="3746993"/>
                          </a:xfrm>
                          <a:prstGeom prst="rect">
                            <a:avLst/>
                          </a:prstGeom>
                        </pic:spPr>
                      </pic:pic>
                    </a:graphicData>
                  </a:graphic>
                </wp:inline>
              </w:drawing>
            </w:r>
            <w:r>
              <w:rPr>
                <w:noProof/>
              </w:rPr>
              <w:t xml:space="preserve"> </w:t>
            </w:r>
            <w:r>
              <w:rPr>
                <w:noProof/>
                <w:color w:val="4C4D4F"/>
              </w:rPr>
              <w:drawing>
                <wp:inline distT="0" distB="0" distL="0" distR="0" wp14:anchorId="30637AAB" wp14:editId="73A23AC1">
                  <wp:extent cx="2870790" cy="3768832"/>
                  <wp:effectExtent l="0" t="0" r="6350" b="3175"/>
                  <wp:docPr id="1269131427" name="Picture 1" descr="2nd page of flyer. It is also full of bright eye-catching colors, infographics, and avoids paragraphs of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31427" name="Picture 1" descr="2nd page of flyer. It is also full of bright eye-catching colors, infographics, and avoids paragraphs of information."/>
                          <pic:cNvPicPr/>
                        </pic:nvPicPr>
                        <pic:blipFill>
                          <a:blip r:embed="rId280"/>
                          <a:stretch>
                            <a:fillRect/>
                          </a:stretch>
                        </pic:blipFill>
                        <pic:spPr>
                          <a:xfrm>
                            <a:off x="0" y="0"/>
                            <a:ext cx="2877611" cy="3777787"/>
                          </a:xfrm>
                          <a:prstGeom prst="rect">
                            <a:avLst/>
                          </a:prstGeom>
                        </pic:spPr>
                      </pic:pic>
                    </a:graphicData>
                  </a:graphic>
                </wp:inline>
              </w:drawing>
            </w:r>
          </w:p>
        </w:tc>
      </w:tr>
    </w:tbl>
    <w:p w14:paraId="4D542A3A" w14:textId="0907943B" w:rsidR="002C7F52" w:rsidRDefault="00FD640A" w:rsidP="00CC5E0E">
      <w:pPr>
        <w:pStyle w:val="BodyText"/>
        <w:spacing w:before="160" w:line="240" w:lineRule="auto"/>
      </w:pPr>
      <w:r>
        <w:t xml:space="preserve">To further support strategy review and prioritization, some government agencies have developed interactive games to engage residents in sustainability planning and decision-making. For example, the City of Santa Cruz hosted a </w:t>
      </w:r>
      <w:hyperlink r:id="rId281" w:history="1">
        <w:r>
          <w:rPr>
            <w:rStyle w:val="Hyperlink"/>
          </w:rPr>
          <w:t>Community Climate Game Day at the Santa Cruz Downtown Library</w:t>
        </w:r>
      </w:hyperlink>
      <w:r>
        <w:t xml:space="preserve">. The City’s advertisement for the free event is shown in </w:t>
      </w:r>
      <w:r>
        <w:rPr>
          <w:u w:val="single"/>
        </w:rPr>
        <w:fldChar w:fldCharType="begin"/>
      </w:r>
      <w:r>
        <w:rPr>
          <w:u w:val="single"/>
        </w:rPr>
        <w:instrText xml:space="preserve"> REF _Ref229485280 \h  \* MERGEFORMAT </w:instrText>
      </w:r>
      <w:r>
        <w:rPr>
          <w:u w:val="single"/>
        </w:rPr>
      </w:r>
      <w:r>
        <w:rPr>
          <w:u w:val="single"/>
        </w:rPr>
        <w:fldChar w:fldCharType="separate"/>
      </w:r>
      <w:r w:rsidR="00517691" w:rsidRPr="00517691">
        <w:rPr>
          <w:szCs w:val="24"/>
          <w:u w:val="single"/>
        </w:rPr>
        <w:t xml:space="preserve">Figure </w:t>
      </w:r>
      <w:r w:rsidR="00517691" w:rsidRPr="00517691">
        <w:rPr>
          <w:noProof/>
          <w:u w:val="single"/>
        </w:rPr>
        <w:t>23</w:t>
      </w:r>
      <w:r>
        <w:rPr>
          <w:u w:val="single"/>
        </w:rPr>
        <w:fldChar w:fldCharType="end"/>
      </w:r>
      <w:r>
        <w:t>, illustrating how interactive and participatory formats can be used to make climate planning more engaging and accessible to community members.</w:t>
      </w:r>
    </w:p>
    <w:p w14:paraId="01585754" w14:textId="77777777" w:rsidR="00040D3F" w:rsidRDefault="004A1B34">
      <w:pPr>
        <w:sectPr w:rsidR="00040D3F" w:rsidSect="00CE0D66">
          <w:headerReference w:type="default" r:id="rId282"/>
          <w:pgSz w:w="12240" w:h="15840"/>
          <w:pgMar w:top="1440" w:right="1440" w:bottom="1440" w:left="1440" w:header="720" w:footer="720" w:gutter="0"/>
          <w:cols w:space="720"/>
          <w:docGrid w:linePitch="360"/>
        </w:sectPr>
      </w:pPr>
      <w:r>
        <w:br w:type="page"/>
      </w:r>
    </w:p>
    <w:tbl>
      <w:tblPr>
        <w:tblStyle w:val="TableGrid"/>
        <w:tblW w:w="0" w:type="auto"/>
        <w:tblLook w:val="04A0" w:firstRow="1" w:lastRow="0" w:firstColumn="1" w:lastColumn="0" w:noHBand="0" w:noVBand="1"/>
      </w:tblPr>
      <w:tblGrid>
        <w:gridCol w:w="9350"/>
      </w:tblGrid>
      <w:tr w:rsidR="00CA1F82" w:rsidRPr="00CA1F82" w14:paraId="1864D2C2" w14:textId="77777777" w:rsidTr="00B01F8B">
        <w:trPr>
          <w:trHeight w:val="432"/>
        </w:trPr>
        <w:tc>
          <w:tcPr>
            <w:tcW w:w="9350" w:type="dxa"/>
            <w:shd w:val="clear" w:color="auto" w:fill="000000" w:themeFill="text1"/>
            <w:vAlign w:val="center"/>
          </w:tcPr>
          <w:p w14:paraId="36208396" w14:textId="7CE8FB14" w:rsidR="0062776A" w:rsidRPr="00CA1F82" w:rsidRDefault="0068171F" w:rsidP="00BB5ACB">
            <w:pPr>
              <w:rPr>
                <w:b/>
                <w:bCs/>
              </w:rPr>
            </w:pPr>
            <w:bookmarkStart w:id="188" w:name="_bookmark99"/>
            <w:bookmarkStart w:id="189" w:name="_bookmark98"/>
            <w:bookmarkStart w:id="190" w:name="_Ref229485280"/>
            <w:bookmarkEnd w:id="188"/>
            <w:bookmarkEnd w:id="189"/>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23</w:t>
            </w:r>
            <w:r>
              <w:rPr>
                <w:b/>
                <w:bCs/>
              </w:rPr>
              <w:fldChar w:fldCharType="end"/>
            </w:r>
            <w:bookmarkEnd w:id="190"/>
            <w:r>
              <w:rPr>
                <w:b/>
                <w:bCs/>
              </w:rPr>
              <w:t>.</w:t>
            </w:r>
            <w:r>
              <w:rPr>
                <w:b/>
                <w:bCs/>
                <w:spacing w:val="31"/>
              </w:rPr>
              <w:t xml:space="preserve"> </w:t>
            </w:r>
            <w:r>
              <w:rPr>
                <w:b/>
                <w:bCs/>
              </w:rPr>
              <w:t>Santa Cruz’s Community Climate Game Day ad</w:t>
            </w:r>
          </w:p>
        </w:tc>
      </w:tr>
      <w:tr w:rsidR="0062776A" w14:paraId="72026779" w14:textId="77777777" w:rsidTr="0062776A">
        <w:trPr>
          <w:trHeight w:val="2987"/>
        </w:trPr>
        <w:tc>
          <w:tcPr>
            <w:tcW w:w="9350" w:type="dxa"/>
          </w:tcPr>
          <w:p w14:paraId="6EF617F8" w14:textId="0D9D35F4" w:rsidR="002C7F52" w:rsidRPr="002C7F52" w:rsidRDefault="0031242D" w:rsidP="004A1B34">
            <w:pPr>
              <w:pStyle w:val="BodyText"/>
              <w:spacing w:before="120" w:after="120"/>
              <w:rPr>
                <w:sz w:val="12"/>
                <w:szCs w:val="12"/>
              </w:rPr>
            </w:pPr>
            <w:r>
              <w:rPr>
                <w:noProof/>
              </w:rPr>
              <w:drawing>
                <wp:inline distT="0" distB="0" distL="0" distR="0" wp14:anchorId="7C675637" wp14:editId="3061525E">
                  <wp:extent cx="5794459" cy="5117081"/>
                  <wp:effectExtent l="0" t="0" r="0" b="7620"/>
                  <wp:docPr id="1407503822" name="Picture 1" descr="Screenshot of game day advertisement with 4 paragraphs of text and an image of a flyer with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03822" name="Picture 1" descr="Screenshot of game day advertisement with 4 paragraphs of text and an image of a flyer with more information"/>
                          <pic:cNvPicPr/>
                        </pic:nvPicPr>
                        <pic:blipFill rotWithShape="1">
                          <a:blip r:embed="rId283"/>
                          <a:srcRect t="758"/>
                          <a:stretch>
                            <a:fillRect/>
                          </a:stretch>
                        </pic:blipFill>
                        <pic:spPr bwMode="auto">
                          <a:xfrm>
                            <a:off x="0" y="0"/>
                            <a:ext cx="5804762" cy="51261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9C50DBB" w14:textId="5AB39109" w:rsidR="007B260E" w:rsidRPr="00482350" w:rsidRDefault="007B260E" w:rsidP="00F5774E">
      <w:pPr>
        <w:spacing w:line="240" w:lineRule="auto"/>
        <w:rPr>
          <w:position w:val="8"/>
          <w:szCs w:val="24"/>
        </w:rPr>
      </w:pPr>
    </w:p>
    <w:p w14:paraId="4D743C5A" w14:textId="7F6CE8B2" w:rsidR="00CF71BD" w:rsidRDefault="00CF71BD" w:rsidP="00F5774E">
      <w:pPr>
        <w:pStyle w:val="Heading2"/>
        <w:spacing w:before="160" w:after="120" w:line="240" w:lineRule="auto"/>
      </w:pPr>
      <w:bookmarkStart w:id="191" w:name="Phase_3_Wrap-Up"/>
      <w:bookmarkStart w:id="192" w:name="_bookmark101"/>
      <w:bookmarkStart w:id="193" w:name="_Toc224722698"/>
      <w:bookmarkStart w:id="194" w:name="_Toc235802718"/>
      <w:bookmarkEnd w:id="191"/>
      <w:bookmarkEnd w:id="192"/>
      <w:r>
        <w:t>Phase</w:t>
      </w:r>
      <w:r>
        <w:rPr>
          <w:spacing w:val="-3"/>
        </w:rPr>
        <w:t xml:space="preserve"> </w:t>
      </w:r>
      <w:r>
        <w:t>3</w:t>
      </w:r>
      <w:r>
        <w:rPr>
          <w:spacing w:val="-2"/>
        </w:rPr>
        <w:t xml:space="preserve"> </w:t>
      </w:r>
      <w:r>
        <w:t>Wrap-</w:t>
      </w:r>
      <w:r>
        <w:rPr>
          <w:spacing w:val="-5"/>
        </w:rPr>
        <w:t>Up</w:t>
      </w:r>
      <w:bookmarkEnd w:id="193"/>
      <w:bookmarkEnd w:id="194"/>
    </w:p>
    <w:p w14:paraId="0E70E8F5" w14:textId="156E95A6" w:rsidR="00457EEB" w:rsidRDefault="00CF71BD" w:rsidP="00CC5E0E">
      <w:pPr>
        <w:spacing w:before="160" w:line="240" w:lineRule="auto"/>
        <w:sectPr w:rsidR="00457EEB" w:rsidSect="00040D3F">
          <w:pgSz w:w="12240" w:h="15840"/>
          <w:pgMar w:top="1440" w:right="1440" w:bottom="1296" w:left="1440" w:header="720" w:footer="720" w:gutter="0"/>
          <w:cols w:space="720"/>
          <w:docGrid w:linePitch="360"/>
        </w:sectPr>
      </w:pPr>
      <w:r>
        <w:t>Communities have a wide range of potential strategies to improve resilience to a changing</w:t>
      </w:r>
      <w:r>
        <w:rPr>
          <w:spacing w:val="-5"/>
        </w:rPr>
        <w:t xml:space="preserve"> </w:t>
      </w:r>
      <w:r>
        <w:t>climate.</w:t>
      </w:r>
      <w:r>
        <w:rPr>
          <w:spacing w:val="-5"/>
        </w:rPr>
        <w:t xml:space="preserve"> </w:t>
      </w:r>
      <w:r>
        <w:t>These</w:t>
      </w:r>
      <w:r>
        <w:rPr>
          <w:spacing w:val="-5"/>
        </w:rPr>
        <w:t xml:space="preserve"> </w:t>
      </w:r>
      <w:r>
        <w:t>strategies</w:t>
      </w:r>
      <w:r>
        <w:rPr>
          <w:spacing w:val="-5"/>
        </w:rPr>
        <w:t xml:space="preserve"> </w:t>
      </w:r>
      <w:r>
        <w:t>can</w:t>
      </w:r>
      <w:r>
        <w:rPr>
          <w:spacing w:val="-5"/>
        </w:rPr>
        <w:t xml:space="preserve"> </w:t>
      </w:r>
      <w:r>
        <w:t>take</w:t>
      </w:r>
      <w:r>
        <w:rPr>
          <w:spacing w:val="-5"/>
        </w:rPr>
        <w:t xml:space="preserve"> </w:t>
      </w:r>
      <w:r>
        <w:t>the</w:t>
      </w:r>
      <w:r>
        <w:rPr>
          <w:spacing w:val="-5"/>
        </w:rPr>
        <w:t xml:space="preserve"> </w:t>
      </w:r>
      <w:r>
        <w:t>form</w:t>
      </w:r>
      <w:r>
        <w:rPr>
          <w:spacing w:val="-5"/>
        </w:rPr>
        <w:t xml:space="preserve"> </w:t>
      </w:r>
      <w:r>
        <w:t>of</w:t>
      </w:r>
      <w:r>
        <w:rPr>
          <w:spacing w:val="-5"/>
        </w:rPr>
        <w:t xml:space="preserve"> </w:t>
      </w:r>
      <w:r>
        <w:t>new</w:t>
      </w:r>
      <w:r>
        <w:rPr>
          <w:spacing w:val="-5"/>
        </w:rPr>
        <w:t xml:space="preserve"> </w:t>
      </w:r>
      <w:r>
        <w:t>programs</w:t>
      </w:r>
      <w:r>
        <w:rPr>
          <w:spacing w:val="-5"/>
        </w:rPr>
        <w:t xml:space="preserve"> </w:t>
      </w:r>
      <w:r>
        <w:t>or</w:t>
      </w:r>
      <w:r>
        <w:rPr>
          <w:spacing w:val="-5"/>
        </w:rPr>
        <w:t xml:space="preserve"> </w:t>
      </w:r>
      <w:r>
        <w:t>initiatives, policies, regulations, physical construction projects, and evaluation efforts, among others. Strategies should be feasible and appropriate for the community with its available resources. They should be responsive to the issues identified in the vulnerability</w:t>
      </w:r>
      <w:r>
        <w:rPr>
          <w:spacing w:val="-5"/>
        </w:rPr>
        <w:t xml:space="preserve"> </w:t>
      </w:r>
      <w:r>
        <w:t>assessment,</w:t>
      </w:r>
      <w:r>
        <w:rPr>
          <w:spacing w:val="-6"/>
        </w:rPr>
        <w:t xml:space="preserve"> </w:t>
      </w:r>
      <w:r>
        <w:t>address</w:t>
      </w:r>
      <w:r>
        <w:rPr>
          <w:spacing w:val="-5"/>
        </w:rPr>
        <w:t xml:space="preserve"> </w:t>
      </w:r>
      <w:r>
        <w:t>overarching</w:t>
      </w:r>
      <w:r>
        <w:rPr>
          <w:spacing w:val="-6"/>
        </w:rPr>
        <w:t xml:space="preserve"> </w:t>
      </w:r>
      <w:r>
        <w:t>issues</w:t>
      </w:r>
      <w:r>
        <w:rPr>
          <w:spacing w:val="-5"/>
        </w:rPr>
        <w:t xml:space="preserve"> </w:t>
      </w:r>
      <w:r>
        <w:t>such</w:t>
      </w:r>
      <w:r>
        <w:rPr>
          <w:spacing w:val="-6"/>
        </w:rPr>
        <w:t xml:space="preserve"> </w:t>
      </w:r>
      <w:r>
        <w:t>as</w:t>
      </w:r>
      <w:r>
        <w:rPr>
          <w:spacing w:val="-5"/>
        </w:rPr>
        <w:t xml:space="preserve"> </w:t>
      </w:r>
      <w:r>
        <w:t>equity,</w:t>
      </w:r>
      <w:r>
        <w:rPr>
          <w:spacing w:val="-6"/>
        </w:rPr>
        <w:t xml:space="preserve"> </w:t>
      </w:r>
      <w:r>
        <w:t>and</w:t>
      </w:r>
      <w:r>
        <w:rPr>
          <w:spacing w:val="-5"/>
        </w:rPr>
        <w:t xml:space="preserve"> </w:t>
      </w:r>
      <w:r>
        <w:t xml:space="preserve">provide co-benefits to the community. Once </w:t>
      </w:r>
      <w:r w:rsidR="007C3029">
        <w:t>the planning team</w:t>
      </w:r>
      <w:r>
        <w:t xml:space="preserve"> has identified</w:t>
      </w:r>
      <w:r>
        <w:rPr>
          <w:spacing w:val="-5"/>
        </w:rPr>
        <w:t xml:space="preserve"> </w:t>
      </w:r>
      <w:r>
        <w:t>and</w:t>
      </w:r>
      <w:r>
        <w:rPr>
          <w:spacing w:val="-5"/>
        </w:rPr>
        <w:t xml:space="preserve"> </w:t>
      </w:r>
      <w:r>
        <w:t>prioritized</w:t>
      </w:r>
      <w:r>
        <w:rPr>
          <w:spacing w:val="-5"/>
        </w:rPr>
        <w:t xml:space="preserve"> </w:t>
      </w:r>
      <w:r>
        <w:t>the</w:t>
      </w:r>
      <w:r>
        <w:rPr>
          <w:spacing w:val="-5"/>
        </w:rPr>
        <w:t xml:space="preserve"> </w:t>
      </w:r>
      <w:r>
        <w:t>adaptation</w:t>
      </w:r>
      <w:r>
        <w:rPr>
          <w:spacing w:val="-5"/>
        </w:rPr>
        <w:t xml:space="preserve"> </w:t>
      </w:r>
      <w:r>
        <w:t>strategies,</w:t>
      </w:r>
      <w:r>
        <w:rPr>
          <w:spacing w:val="-5"/>
        </w:rPr>
        <w:t xml:space="preserve"> </w:t>
      </w:r>
      <w:r w:rsidR="007C3029">
        <w:t xml:space="preserve">it </w:t>
      </w:r>
      <w:r>
        <w:t>can</w:t>
      </w:r>
      <w:r>
        <w:rPr>
          <w:spacing w:val="-5"/>
        </w:rPr>
        <w:t xml:space="preserve"> </w:t>
      </w:r>
      <w:r>
        <w:t>move</w:t>
      </w:r>
      <w:r>
        <w:rPr>
          <w:spacing w:val="-5"/>
        </w:rPr>
        <w:t xml:space="preserve"> </w:t>
      </w:r>
      <w:r>
        <w:t>into</w:t>
      </w:r>
      <w:r>
        <w:rPr>
          <w:spacing w:val="-5"/>
        </w:rPr>
        <w:t xml:space="preserve"> </w:t>
      </w:r>
      <w:r>
        <w:t>the fourth phase of adaptation planning: Implement, Monitor, Evaluate, and Adjust.</w:t>
      </w:r>
    </w:p>
    <w:p w14:paraId="66A71515" w14:textId="31406437" w:rsidR="00CF71BD" w:rsidRDefault="00CF71BD" w:rsidP="002F370C">
      <w:pPr>
        <w:pStyle w:val="Heading1"/>
      </w:pPr>
      <w:bookmarkStart w:id="195" w:name="_Toc224722699"/>
      <w:bookmarkStart w:id="196" w:name="_Toc235802719"/>
      <w:r>
        <w:t>PHASE 4: IMPLEMENT, MONITOR, EVALUATE, AND ADJUST</w:t>
      </w:r>
      <w:bookmarkEnd w:id="195"/>
      <w:bookmarkEnd w:id="196"/>
    </w:p>
    <w:p w14:paraId="32E0C290" w14:textId="4E6FB2D5" w:rsidR="00CF71BD" w:rsidRPr="00BB38C6" w:rsidRDefault="00CF71BD" w:rsidP="00CC5E0E">
      <w:pPr>
        <w:spacing w:before="160" w:line="240" w:lineRule="auto"/>
      </w:pPr>
      <w:r>
        <w:t>In Phase 3, the planning team built an adaptation framework of the community’s vision, goals, and priority adaptation strategies. These activities should be done with an eye to Phase 4 – implementing, monitoring, and adjusting the adaptation plan.</w:t>
      </w:r>
    </w:p>
    <w:p w14:paraId="7394D26B" w14:textId="318BC9E1" w:rsidR="00CF71BD" w:rsidRPr="00BB38C6" w:rsidRDefault="00CF71BD" w:rsidP="00CC5E0E">
      <w:pPr>
        <w:spacing w:before="160" w:line="240" w:lineRule="auto"/>
      </w:pPr>
      <w:r>
        <w:t xml:space="preserve">This section summarizes the most important step of adaptation planning: </w:t>
      </w:r>
      <w:r>
        <w:rPr>
          <w:b/>
        </w:rPr>
        <w:t>implementation</w:t>
      </w:r>
      <w:r>
        <w:t>. To ensure implementation of each strategy is effective and continues to be effective, communities should monitor and modify strategies as needed.</w:t>
      </w:r>
    </w:p>
    <w:p w14:paraId="2F595758" w14:textId="69CD244F" w:rsidR="00CF71BD" w:rsidRPr="00BB38C6" w:rsidRDefault="00CF71BD" w:rsidP="00CC5E0E">
      <w:pPr>
        <w:spacing w:before="160" w:line="240" w:lineRule="auto"/>
      </w:pPr>
      <w:r>
        <w:t xml:space="preserve">This section divides Phase 4 into three steps, shown in </w:t>
      </w:r>
      <w:r>
        <w:rPr>
          <w:u w:val="single"/>
        </w:rPr>
        <w:fldChar w:fldCharType="begin"/>
      </w:r>
      <w:r>
        <w:rPr>
          <w:u w:val="single"/>
        </w:rPr>
        <w:instrText xml:space="preserve"> REF _Ref229485377 \h  \* MERGEFORMAT </w:instrText>
      </w:r>
      <w:r>
        <w:rPr>
          <w:u w:val="single"/>
        </w:rPr>
      </w:r>
      <w:r>
        <w:rPr>
          <w:u w:val="single"/>
        </w:rPr>
        <w:fldChar w:fldCharType="separate"/>
      </w:r>
      <w:r w:rsidR="00517691" w:rsidRPr="00517691">
        <w:rPr>
          <w:szCs w:val="24"/>
          <w:u w:val="single"/>
        </w:rPr>
        <w:t xml:space="preserve">Figure </w:t>
      </w:r>
      <w:r w:rsidR="00517691" w:rsidRPr="00517691">
        <w:rPr>
          <w:bCs/>
          <w:noProof/>
          <w:u w:val="single"/>
        </w:rPr>
        <w:t>24</w:t>
      </w:r>
      <w:r>
        <w:rPr>
          <w:u w:val="single"/>
        </w:rPr>
        <w:fldChar w:fldCharType="end"/>
      </w:r>
      <w:r>
        <w:t xml:space="preserve"> below.</w:t>
      </w:r>
    </w:p>
    <w:p w14:paraId="1178AA35" w14:textId="1661A72F" w:rsidR="00CF71BD" w:rsidRPr="00BB38C6" w:rsidRDefault="00CF71BD" w:rsidP="00A90132">
      <w:pPr>
        <w:pStyle w:val="ListParagraph"/>
        <w:numPr>
          <w:ilvl w:val="0"/>
          <w:numId w:val="2"/>
        </w:numPr>
        <w:spacing w:before="160" w:line="240" w:lineRule="auto"/>
      </w:pPr>
      <w:r>
        <w:t>Prepare an implementation program to put adaptation strategies into action.</w:t>
      </w:r>
    </w:p>
    <w:p w14:paraId="5D26618F" w14:textId="389966E7" w:rsidR="00CF71BD" w:rsidRPr="00BB38C6" w:rsidRDefault="00CF71BD" w:rsidP="00A90132">
      <w:pPr>
        <w:pStyle w:val="ListParagraph"/>
        <w:numPr>
          <w:ilvl w:val="0"/>
          <w:numId w:val="2"/>
        </w:numPr>
        <w:spacing w:before="160" w:line="240" w:lineRule="auto"/>
      </w:pPr>
      <w:r>
        <w:t>Create a monitoring program to track implementation and evaluate the ongoing effectiveness and relevance of adaptation strategies and ensure monitoring and evaluation programs can be adjusted as needed.</w:t>
      </w:r>
    </w:p>
    <w:p w14:paraId="5DF6D1FE" w14:textId="67E4D43F" w:rsidR="007868EC" w:rsidRDefault="00CF71BD" w:rsidP="00A90132">
      <w:pPr>
        <w:pStyle w:val="ListParagraph"/>
        <w:numPr>
          <w:ilvl w:val="0"/>
          <w:numId w:val="2"/>
        </w:numPr>
        <w:spacing w:before="160" w:line="240" w:lineRule="auto"/>
      </w:pPr>
      <w:r>
        <w:t>Adjust adaptation strategies as monitoring and evaluation input is received.</w:t>
      </w:r>
    </w:p>
    <w:tbl>
      <w:tblPr>
        <w:tblStyle w:val="TableGrid"/>
        <w:tblW w:w="0" w:type="auto"/>
        <w:tblLook w:val="04A0" w:firstRow="1" w:lastRow="0" w:firstColumn="1" w:lastColumn="0" w:noHBand="0" w:noVBand="1"/>
      </w:tblPr>
      <w:tblGrid>
        <w:gridCol w:w="9350"/>
      </w:tblGrid>
      <w:tr w:rsidR="007868EC" w14:paraId="146C68CC" w14:textId="77777777" w:rsidTr="0068194C">
        <w:trPr>
          <w:trHeight w:val="432"/>
        </w:trPr>
        <w:tc>
          <w:tcPr>
            <w:tcW w:w="9350" w:type="dxa"/>
            <w:shd w:val="clear" w:color="auto" w:fill="000000" w:themeFill="text1"/>
            <w:vAlign w:val="center"/>
          </w:tcPr>
          <w:p w14:paraId="294D4568" w14:textId="0B06FCB2" w:rsidR="007868EC" w:rsidRPr="00057C26" w:rsidRDefault="002D03B8" w:rsidP="00BB5ACB">
            <w:pPr>
              <w:rPr>
                <w:b/>
              </w:rPr>
            </w:pPr>
            <w:bookmarkStart w:id="197" w:name="_Ref229485377"/>
            <w:r>
              <w:rPr>
                <w:b/>
              </w:rPr>
              <w:t xml:space="preserve">Figure </w:t>
            </w:r>
            <w:r>
              <w:rPr>
                <w:b/>
              </w:rPr>
              <w:fldChar w:fldCharType="begin"/>
            </w:r>
            <w:r>
              <w:rPr>
                <w:b/>
              </w:rPr>
              <w:instrText xml:space="preserve"> SEQ Figure \* ARABIC </w:instrText>
            </w:r>
            <w:r>
              <w:rPr>
                <w:b/>
              </w:rPr>
              <w:fldChar w:fldCharType="separate"/>
            </w:r>
            <w:r w:rsidR="00517691">
              <w:rPr>
                <w:b/>
                <w:noProof/>
              </w:rPr>
              <w:t>24</w:t>
            </w:r>
            <w:r>
              <w:rPr>
                <w:b/>
              </w:rPr>
              <w:fldChar w:fldCharType="end"/>
            </w:r>
            <w:bookmarkEnd w:id="197"/>
            <w:r>
              <w:rPr>
                <w:b/>
              </w:rPr>
              <w:t>. Steps in Phase 4</w:t>
            </w:r>
          </w:p>
        </w:tc>
      </w:tr>
      <w:tr w:rsidR="007868EC" w:rsidRPr="00CA6741" w14:paraId="1024637C" w14:textId="77777777" w:rsidTr="007868EC">
        <w:tc>
          <w:tcPr>
            <w:tcW w:w="9350" w:type="dxa"/>
          </w:tcPr>
          <w:p w14:paraId="1DFD0E90" w14:textId="0185B921" w:rsidR="007868EC" w:rsidRPr="00E762D4" w:rsidRDefault="00F85877" w:rsidP="00BB5ACB">
            <w:pPr>
              <w:rPr>
                <w:b/>
                <w:sz w:val="12"/>
                <w:szCs w:val="12"/>
              </w:rPr>
            </w:pPr>
            <w:r>
              <w:rPr>
                <w:b/>
                <w:bCs/>
                <w:noProof/>
                <w:sz w:val="12"/>
                <w:szCs w:val="12"/>
              </w:rPr>
              <w:drawing>
                <wp:anchor distT="0" distB="0" distL="114300" distR="114300" simplePos="0" relativeHeight="251658247" behindDoc="0" locked="0" layoutInCell="1" allowOverlap="1" wp14:anchorId="695FB2FA" wp14:editId="6EAC99F4">
                  <wp:simplePos x="0" y="0"/>
                  <wp:positionH relativeFrom="column">
                    <wp:posOffset>585470</wp:posOffset>
                  </wp:positionH>
                  <wp:positionV relativeFrom="paragraph">
                    <wp:posOffset>793115</wp:posOffset>
                  </wp:positionV>
                  <wp:extent cx="4714875" cy="360045"/>
                  <wp:effectExtent l="0" t="0" r="0" b="20955"/>
                  <wp:wrapTopAndBottom/>
                  <wp:docPr id="357857486" name="Diagram 1" descr="This is a graphic showing the Outreach &amp; Engagement Steps in Phase 4 of adaptation planning.">
                    <a:extLst xmlns:a="http://schemas.openxmlformats.org/drawingml/2006/main">
                      <a:ext uri="{FF2B5EF4-FFF2-40B4-BE49-F238E27FC236}">
                        <a16:creationId xmlns:a16="http://schemas.microsoft.com/office/drawing/2014/main" id="{6E8739BE-149A-4DA9-296F-843088B9BFE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4" r:lo="rId285" r:qs="rId286" r:cs="rId287"/>
                    </a:graphicData>
                  </a:graphic>
                  <wp14:sizeRelH relativeFrom="margin">
                    <wp14:pctWidth>0</wp14:pctWidth>
                  </wp14:sizeRelH>
                </wp:anchor>
              </w:drawing>
            </w:r>
            <w:r>
              <w:rPr>
                <w:b/>
                <w:bCs/>
                <w:noProof/>
                <w:sz w:val="12"/>
                <w:szCs w:val="12"/>
              </w:rPr>
              <w:drawing>
                <wp:anchor distT="0" distB="0" distL="114300" distR="114300" simplePos="0" relativeHeight="251658246" behindDoc="0" locked="0" layoutInCell="1" allowOverlap="1" wp14:anchorId="1D3A4017" wp14:editId="07ED8C90">
                  <wp:simplePos x="0" y="0"/>
                  <wp:positionH relativeFrom="column">
                    <wp:posOffset>792253</wp:posOffset>
                  </wp:positionH>
                  <wp:positionV relativeFrom="paragraph">
                    <wp:posOffset>383</wp:posOffset>
                  </wp:positionV>
                  <wp:extent cx="4301490" cy="793432"/>
                  <wp:effectExtent l="19050" t="0" r="41910" b="0"/>
                  <wp:wrapTopAndBottom/>
                  <wp:docPr id="1948975024" name="Diagram 1" descr="2 parallel arrows point to the right. The top one has the 4 steps from phase 4 consecutively, while the bottom is titled &quot;Outreach and engagement&quot; and goes throughout all 4 phases">
                    <a:extLst xmlns:a="http://schemas.openxmlformats.org/drawingml/2006/main">
                      <a:ext uri="{FF2B5EF4-FFF2-40B4-BE49-F238E27FC236}">
                        <a16:creationId xmlns:a16="http://schemas.microsoft.com/office/drawing/2014/main" id="{0EE24402-2F21-38EB-DA80-4739BE5F3BA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9" r:lo="rId290" r:qs="rId291" r:cs="rId292"/>
                    </a:graphicData>
                  </a:graphic>
                </wp:anchor>
              </w:drawing>
            </w:r>
          </w:p>
        </w:tc>
      </w:tr>
    </w:tbl>
    <w:p w14:paraId="63D089D3" w14:textId="77777777" w:rsidR="00F85877" w:rsidRPr="00BB38C6" w:rsidRDefault="00F85877" w:rsidP="001524A9">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B3E74" w:rsidRPr="00AE48E1" w14:paraId="0A614016" w14:textId="77777777">
        <w:trPr>
          <w:trHeight w:val="576"/>
        </w:trPr>
        <w:tc>
          <w:tcPr>
            <w:tcW w:w="9350" w:type="dxa"/>
            <w:shd w:val="clear" w:color="auto" w:fill="404040" w:themeFill="text1" w:themeFillTint="BF"/>
            <w:vAlign w:val="center"/>
          </w:tcPr>
          <w:p w14:paraId="21F68BE3" w14:textId="77777777" w:rsidR="00AB3E74" w:rsidRPr="00AE48E1" w:rsidRDefault="00AB3E74">
            <w:pPr>
              <w:rPr>
                <w:b/>
                <w:color w:val="FFFFFF" w:themeColor="background1"/>
              </w:rPr>
            </w:pPr>
            <w:r>
              <w:rPr>
                <w:b/>
                <w:color w:val="FFFFFF" w:themeColor="background1"/>
              </w:rPr>
              <w:t>How to Use the Appendices in This Phase</w:t>
            </w:r>
          </w:p>
        </w:tc>
      </w:tr>
      <w:tr w:rsidR="00AB3E74" w:rsidRPr="00AE48E1" w14:paraId="021613C3" w14:textId="77777777" w:rsidTr="001524A9">
        <w:tc>
          <w:tcPr>
            <w:tcW w:w="9350" w:type="dxa"/>
            <w:shd w:val="clear" w:color="auto" w:fill="F2F2F2" w:themeFill="background1" w:themeFillShade="F2"/>
          </w:tcPr>
          <w:p w14:paraId="4FE43D72" w14:textId="020E180B" w:rsidR="00AB3E74" w:rsidRPr="006F4133" w:rsidRDefault="00AB3E74" w:rsidP="006F4133">
            <w:pPr>
              <w:spacing w:before="120" w:after="120"/>
              <w:rPr>
                <w:bCs/>
              </w:rPr>
            </w:pPr>
            <w:r>
              <w:rPr>
                <w:b/>
              </w:rPr>
              <w:t>Appendix A</w:t>
            </w:r>
            <w:r>
              <w:rPr>
                <w:b/>
                <w:bCs/>
              </w:rPr>
              <w:t>: Outreach and Engagement</w:t>
            </w:r>
            <w:r>
              <w:rPr>
                <w:b/>
              </w:rPr>
              <w:t xml:space="preserve">: </w:t>
            </w:r>
            <w:r>
              <w:rPr>
                <w:bCs/>
              </w:rPr>
              <w:t>This phase relies heavily on outreach and engagement. Refer to Appendix A throughout this phase for detailed guidance on engagement methods and best practices. Specific guidance for engagement touchpoint Step 4.1C is included in the Appendix.</w:t>
            </w:r>
          </w:p>
        </w:tc>
      </w:tr>
    </w:tbl>
    <w:p w14:paraId="23DE4B2C" w14:textId="77777777" w:rsidR="00AB3E74" w:rsidRPr="00BB38C6" w:rsidRDefault="00AB3E74" w:rsidP="00CC5E0E">
      <w:pPr>
        <w:spacing w:before="160" w:line="240" w:lineRule="auto"/>
      </w:pPr>
    </w:p>
    <w:p w14:paraId="34BEB743" w14:textId="0F3335DA" w:rsidR="00CF71BD" w:rsidRPr="00BB38C6" w:rsidRDefault="00FE122D" w:rsidP="00CC5E0E">
      <w:pPr>
        <w:pStyle w:val="Heading2"/>
        <w:spacing w:before="160" w:after="160" w:line="240" w:lineRule="auto"/>
      </w:pPr>
      <w:bookmarkStart w:id="198" w:name="_Toc235802720"/>
      <w:r>
        <w:t>Outreach and Engagement in Phase 4</w:t>
      </w:r>
      <w:bookmarkEnd w:id="198"/>
    </w:p>
    <w:p w14:paraId="13895DE8" w14:textId="25AC8083" w:rsidR="00CF71BD" w:rsidRPr="00BB38C6" w:rsidRDefault="00CF71BD" w:rsidP="000F55DC">
      <w:pPr>
        <w:spacing w:before="160" w:line="240" w:lineRule="auto"/>
      </w:pPr>
      <w:r>
        <w:t>Long-term implementation cannot be effective without close collaboration with the community. Outreach and engagement should be conducted through all phases of adaptation planning and should continue through implementation.</w:t>
      </w:r>
    </w:p>
    <w:p w14:paraId="17E45B96" w14:textId="4C9E5B98" w:rsidR="00CF71BD" w:rsidRPr="00BB38C6" w:rsidRDefault="00EA7712" w:rsidP="000F55DC">
      <w:pPr>
        <w:spacing w:before="160" w:line="240" w:lineRule="auto"/>
      </w:pPr>
      <w:r>
        <w:t>Phase 4 emphasizes that implementation, monitoring, and adjustment should actively and meaningfully involve community members. This is particularly important in frontline communities who are disproportionately vulnerable to climate change, including Tribal communities. This ensures that community members are partners if the results of monitoring and evaluation require a change in adaptation strategies. Involving the same representatives from community advisory groups formed during the previous phases can help with this objective.</w:t>
      </w:r>
    </w:p>
    <w:p w14:paraId="6D10B40D" w14:textId="3404FB47" w:rsidR="00CF71BD" w:rsidRPr="00BB38C6" w:rsidRDefault="00CF71BD" w:rsidP="000F55DC">
      <w:pPr>
        <w:spacing w:before="160" w:line="240" w:lineRule="auto"/>
        <w:rPr>
          <w:rFonts w:eastAsia="MS Mincho" w:cs="Arial"/>
        </w:rPr>
      </w:pPr>
      <w:r>
        <w:t>In all the phases, equity is a critical consideration. This means including opportunities for meaningful involvement from members of frontline communities and vulnerable populations who are disproportionately impacted by climate change and often underrepresented in community decision-making processes. Distributional and structural equity should be a key consideration in the prioritization and implementation of strategies</w:t>
      </w:r>
      <w:r>
        <w:rPr>
          <w:rFonts w:eastAsia="MS Mincho" w:cs="Arial"/>
        </w:rPr>
        <w:t xml:space="preserve">. This means </w:t>
      </w:r>
      <w:r>
        <w:t>implementing strategies that seek to more fairly distribute benefits of programs and investments and seek to remedy historic underinvestment in communities</w:t>
      </w:r>
      <w:r>
        <w:rPr>
          <w:rFonts w:eastAsia="MS Mincho" w:cs="Arial"/>
        </w:rPr>
        <w:t>.</w:t>
      </w:r>
    </w:p>
    <w:p w14:paraId="038B0D7F" w14:textId="0100DB3D" w:rsidR="00C57645" w:rsidRPr="00BB38C6" w:rsidRDefault="00CF71BD" w:rsidP="00CC5E0E">
      <w:pPr>
        <w:spacing w:before="160" w:line="240" w:lineRule="auto"/>
        <w:rPr>
          <w:rFonts w:eastAsia="MS Mincho" w:cs="Arial"/>
        </w:rPr>
      </w:pPr>
      <w:r>
        <w:t xml:space="preserve">When community members understand and feel the benefits of climate change adaptation strategies, they become advocates for implementation and support adjusting approaches to adaptation over time. Each step of Phase 4 incorporates outreach and provides a list of sample actions. </w:t>
      </w:r>
      <w:r>
        <w:rPr>
          <w:rFonts w:eastAsia="MS Mincho" w:cs="Arial"/>
        </w:rPr>
        <w:t xml:space="preserve">These outreach actions are primarily taken from the </w:t>
      </w:r>
      <w:hyperlink r:id="rId294">
        <w:r>
          <w:rPr>
            <w:rStyle w:val="Hyperlink"/>
            <w:rFonts w:eastAsia="MS Mincho" w:cs="Arial"/>
          </w:rPr>
          <w:t>Guide to Equitable Community-Driven Climate Preparedness Planning</w:t>
        </w:r>
      </w:hyperlink>
      <w:r>
        <w:rPr>
          <w:rFonts w:eastAsia="MS Mincho" w:cs="Arial"/>
        </w:rPr>
        <w:t xml:space="preserve"> (2017) by the Urban Sustainability Directors Network.</w:t>
      </w:r>
    </w:p>
    <w:p w14:paraId="65E86954" w14:textId="08918028" w:rsidR="00CF71BD" w:rsidRPr="00BB38C6" w:rsidRDefault="00CF71BD" w:rsidP="00CC5E0E">
      <w:pPr>
        <w:spacing w:before="160" w:line="240" w:lineRule="auto"/>
        <w:rPr>
          <w:rFonts w:eastAsia="MS Mincho" w:cs="Arial"/>
        </w:rPr>
      </w:pPr>
    </w:p>
    <w:p w14:paraId="201DB0DB" w14:textId="4DECC2AE" w:rsidR="00CF71BD" w:rsidRPr="00BB38C6" w:rsidRDefault="00CF71BD" w:rsidP="00CC5E0E">
      <w:pPr>
        <w:pStyle w:val="Heading2"/>
        <w:spacing w:before="160" w:after="160" w:line="240" w:lineRule="auto"/>
      </w:pPr>
      <w:bookmarkStart w:id="199" w:name="_Toc235802721"/>
      <w:r>
        <w:t>Step 4.1: Implement</w:t>
      </w:r>
      <w:bookmarkEnd w:id="199"/>
    </w:p>
    <w:p w14:paraId="2E168645" w14:textId="5BA37059" w:rsidR="00CF71BD" w:rsidRPr="00BB38C6" w:rsidRDefault="00CF71BD" w:rsidP="000F55DC">
      <w:pPr>
        <w:spacing w:before="160" w:line="240" w:lineRule="auto"/>
      </w:pPr>
      <w:r>
        <w:t>Goal: Implement strategies and projects identified in the adaptation planning process.</w:t>
      </w:r>
    </w:p>
    <w:p w14:paraId="08655C68" w14:textId="227C49FD" w:rsidR="001D60DA" w:rsidRDefault="001D60DA" w:rsidP="000F55DC">
      <w:pPr>
        <w:spacing w:before="160" w:line="240" w:lineRule="auto"/>
      </w:pPr>
      <w:r>
        <w:t>When starting Phase 4, the community should build on the work done in the previous phases to prepare an implementation program. In Phase 1, the community formed the planning team, identified expectations of the end product or plan, and began outreach. Phase 2 identified the planning area’s vulnerabilities and adaptive capacity. In Phase 3, the planning team developed and prioritized adaptation strategies, identifying potential lead departments and/or partners responsible for implementing each strategy, a time frame for implementation, and potential cost estimates.</w:t>
      </w:r>
    </w:p>
    <w:p w14:paraId="31E9D148" w14:textId="18220E7C" w:rsidR="0B5FC1AE" w:rsidRDefault="0B5FC1AE" w:rsidP="00CC5E0E">
      <w:pPr>
        <w:spacing w:before="160" w:line="240" w:lineRule="auto"/>
      </w:pPr>
    </w:p>
    <w:p w14:paraId="32533B4D" w14:textId="6160A676" w:rsidR="35D104EF" w:rsidRDefault="00DB791D" w:rsidP="00CC5E0E">
      <w:pPr>
        <w:pStyle w:val="Heading3"/>
        <w:spacing w:after="160" w:line="240" w:lineRule="auto"/>
      </w:pPr>
      <w:bookmarkStart w:id="200" w:name="_Toc235802722"/>
      <w:r>
        <w:t>Step 4.1A: Develop an Implementation Program</w:t>
      </w:r>
      <w:bookmarkEnd w:id="200"/>
    </w:p>
    <w:p w14:paraId="2BD838CB" w14:textId="68E7BEBE" w:rsidR="00CF71BD" w:rsidRPr="00BB38C6" w:rsidRDefault="00CF71BD" w:rsidP="00CC5E0E">
      <w:pPr>
        <w:spacing w:before="160" w:line="240" w:lineRule="auto"/>
      </w:pPr>
      <w:r>
        <w:t>The implementation program should map out the activities, priorities, timelines, costs, responsible parties overseeing implementation, funding and resources available or needed to pursue each strategy. The implementation program should:</w:t>
      </w:r>
    </w:p>
    <w:p w14:paraId="4174014C" w14:textId="001C07EA" w:rsidR="00D95844" w:rsidRDefault="0061555A">
      <w:pPr>
        <w:pStyle w:val="ListParagraph"/>
        <w:numPr>
          <w:ilvl w:val="0"/>
          <w:numId w:val="18"/>
        </w:numPr>
        <w:spacing w:line="240" w:lineRule="auto"/>
      </w:pPr>
      <w:r>
        <w:t>Identify responsible parties who will oversee implementation of each strategy.</w:t>
      </w:r>
    </w:p>
    <w:p w14:paraId="21079B6A" w14:textId="2CD8D545" w:rsidR="00CF71BD" w:rsidRPr="00BB38C6" w:rsidRDefault="00CF71BD">
      <w:pPr>
        <w:pStyle w:val="ListParagraph"/>
        <w:numPr>
          <w:ilvl w:val="0"/>
          <w:numId w:val="18"/>
        </w:numPr>
        <w:spacing w:line="240" w:lineRule="auto"/>
      </w:pPr>
      <w:r>
        <w:t>Identify strategies that are ready for implementation and those that are ready but require additional funding.</w:t>
      </w:r>
    </w:p>
    <w:p w14:paraId="3BE1F8EA" w14:textId="0E91DDBD" w:rsidR="00CF71BD" w:rsidRPr="00BB38C6" w:rsidRDefault="00CF71BD">
      <w:pPr>
        <w:pStyle w:val="ListParagraph"/>
        <w:numPr>
          <w:ilvl w:val="0"/>
          <w:numId w:val="18"/>
        </w:numPr>
        <w:spacing w:line="240" w:lineRule="auto"/>
      </w:pPr>
      <w:r>
        <w:t>Craft a set of recommendations for advancing and funding actions that are ready to be implemented.</w:t>
      </w:r>
    </w:p>
    <w:p w14:paraId="671706D1" w14:textId="5A0B033B" w:rsidR="00CF71BD" w:rsidRPr="00BB38C6" w:rsidRDefault="00CF71BD">
      <w:pPr>
        <w:pStyle w:val="ListParagraph"/>
        <w:numPr>
          <w:ilvl w:val="0"/>
          <w:numId w:val="18"/>
        </w:numPr>
        <w:spacing w:line="240" w:lineRule="auto"/>
      </w:pPr>
      <w:r>
        <w:t xml:space="preserve">Identify strategies that require further refinement or feasibility assessments. Determine where additional analysis, changes in governance or regulations, or new partners and participants may be needed to support implementation. </w:t>
      </w:r>
    </w:p>
    <w:p w14:paraId="796D69A5" w14:textId="2F094F35" w:rsidR="00CF71BD" w:rsidRPr="00BB38C6" w:rsidRDefault="00CF71BD">
      <w:pPr>
        <w:pStyle w:val="ListParagraph"/>
        <w:numPr>
          <w:ilvl w:val="0"/>
          <w:numId w:val="18"/>
        </w:numPr>
        <w:spacing w:line="240" w:lineRule="auto"/>
      </w:pPr>
      <w:r>
        <w:t>Review strategies that are not ready for implementation and identify those requiring immediate next steps.</w:t>
      </w:r>
    </w:p>
    <w:p w14:paraId="757AEA74" w14:textId="4CAF1978" w:rsidR="00CF71BD" w:rsidRPr="00BB38C6" w:rsidRDefault="00CF71BD" w:rsidP="55DEB025">
      <w:pPr>
        <w:spacing w:before="160" w:line="240" w:lineRule="auto"/>
        <w:rPr>
          <w:rFonts w:eastAsia="MS Mincho" w:cs="Arial"/>
        </w:rPr>
      </w:pPr>
      <w:r>
        <w:t xml:space="preserve">Developing the implementation program is a final chance to ground truth the feasibility and effectiveness of a </w:t>
      </w:r>
      <w:r w:rsidR="5918B9B9">
        <w:t>strategy</w:t>
      </w:r>
      <w:r>
        <w:t>.</w:t>
      </w:r>
      <w:r w:rsidRPr="55DEB025">
        <w:rPr>
          <w:rFonts w:eastAsia="MS Mincho" w:cs="Arial"/>
        </w:rPr>
        <w:t xml:space="preserve"> </w:t>
      </w:r>
      <w:r>
        <w:t>If a strategy has been moved forward to this point, and it is more aspirational than realistic, adjust the implementation to reflect that reality.</w:t>
      </w:r>
    </w:p>
    <w:p w14:paraId="07816CBD" w14:textId="7DEC68D2" w:rsidR="00CF71BD" w:rsidRPr="00BB38C6" w:rsidRDefault="00CF71BD" w:rsidP="00CC5E0E">
      <w:pPr>
        <w:spacing w:before="160" w:line="240" w:lineRule="auto"/>
      </w:pPr>
      <w:r>
        <w:t xml:space="preserve">The 2019 </w:t>
      </w:r>
      <w:hyperlink r:id="rId295">
        <w:r>
          <w:rPr>
            <w:rStyle w:val="Hyperlink"/>
          </w:rPr>
          <w:t>Regional Resilience Toolkit</w:t>
        </w:r>
      </w:hyperlink>
      <w:r>
        <w:t xml:space="preserve"> recommends developing a short-term action plan that can act as a staff level working plan. This short-term action plan should integrate financing and assist in routine city decision making while still maintaining the long-term vision of the implementation program. It should include specific and tactical details that go into city work plans, budgets, and grants planning.</w:t>
      </w:r>
    </w:p>
    <w:p w14:paraId="0B35473C" w14:textId="34723314" w:rsidR="00CF71BD" w:rsidRPr="00BB38C6" w:rsidRDefault="00CF71BD" w:rsidP="00CC5E0E">
      <w:pPr>
        <w:spacing w:before="160" w:line="240" w:lineRule="auto"/>
      </w:pPr>
      <w:r>
        <w:t>Integration of adaptation strategies into other plans can support implementation by building coalitions and aligning strategies with responsible organizations' decision-making processes.</w:t>
      </w:r>
    </w:p>
    <w:p w14:paraId="15FA8198" w14:textId="6DF61146" w:rsidR="00CF71BD" w:rsidRDefault="7A26FAF5" w:rsidP="00CC5E0E">
      <w:pPr>
        <w:spacing w:before="160" w:line="240" w:lineRule="auto"/>
      </w:pPr>
      <w:r>
        <w:t>For instance, i</w:t>
      </w:r>
      <w:r w:rsidR="54CBC396">
        <w:t xml:space="preserve">f adaptation is integrated into the general plan, </w:t>
      </w:r>
      <w:r w:rsidR="5EB7F364">
        <w:t xml:space="preserve">external consistency </w:t>
      </w:r>
      <w:r w:rsidR="54CBC396">
        <w:t>requirements between</w:t>
      </w:r>
      <w:r w:rsidR="4886406B">
        <w:t xml:space="preserve"> a jurisdiction’s</w:t>
      </w:r>
      <w:r w:rsidR="54CBC396">
        <w:t xml:space="preserve"> general plan and</w:t>
      </w:r>
      <w:r w:rsidR="0D9C7C8D">
        <w:t xml:space="preserve"> “downstream” documents like the</w:t>
      </w:r>
      <w:r w:rsidR="54CBC396">
        <w:t xml:space="preserve"> municipal code, capital improvement programs, and land use actions can support implementation</w:t>
      </w:r>
      <w:r w:rsidR="1D7CD398">
        <w:t xml:space="preserve"> for those adaptation strategies</w:t>
      </w:r>
      <w:r w:rsidR="54CBC396">
        <w:t>.</w:t>
      </w:r>
    </w:p>
    <w:p w14:paraId="4AC3FFDB" w14:textId="77777777" w:rsidR="009E3AC6" w:rsidRDefault="009E3AC6" w:rsidP="00FB09C2">
      <w:pPr>
        <w:pStyle w:val="Heading4"/>
      </w:pPr>
      <w:r>
        <w:t>Identify Responsible Parties and Establish Accountability</w:t>
      </w:r>
    </w:p>
    <w:p w14:paraId="11480904" w14:textId="5A9068D0" w:rsidR="000F55DC" w:rsidRDefault="008B1C76" w:rsidP="000F55DC">
      <w:pPr>
        <w:pStyle w:val="ListParagraph"/>
        <w:spacing w:line="240" w:lineRule="auto"/>
        <w:ind w:left="0"/>
      </w:pPr>
      <w:r>
        <w:t xml:space="preserve">For each strategy, the planning team should identify and assign a specific lead responsible party, such as a department, agency, </w:t>
      </w:r>
      <w:r w:rsidR="00EB6BF2">
        <w:t>Tribe</w:t>
      </w:r>
      <w:r w:rsidR="004700B7">
        <w:t>,</w:t>
      </w:r>
      <w:r w:rsidR="00EB6BF2">
        <w:t xml:space="preserve"> </w:t>
      </w:r>
      <w:r>
        <w:t>community partner, or other entity, to ensure clear accountability. Assignments should identify a specific lead entity rather than the jurisdiction as a whole to support ownership and implementation tracking.</w:t>
      </w:r>
    </w:p>
    <w:p w14:paraId="55A81B91" w14:textId="77777777" w:rsidR="00284B52" w:rsidRDefault="00284B52" w:rsidP="000F55DC">
      <w:pPr>
        <w:pStyle w:val="ListParagraph"/>
        <w:spacing w:line="240" w:lineRule="auto"/>
        <w:ind w:left="0"/>
      </w:pPr>
    </w:p>
    <w:p w14:paraId="7DA14DDB" w14:textId="67250337" w:rsidR="00BC316B" w:rsidRDefault="008B1C76" w:rsidP="00284B52">
      <w:pPr>
        <w:pStyle w:val="ListParagraph"/>
        <w:spacing w:line="240" w:lineRule="auto"/>
        <w:ind w:left="0"/>
      </w:pPr>
      <w:r>
        <w:t>Where implementation requires coordination among multiple agencies or partners, those entities should be engaged early to define roles, responsibilities, decision points, and the steps and timelines needed to successfully implement the strategy.</w:t>
      </w:r>
    </w:p>
    <w:tbl>
      <w:tblPr>
        <w:tblStyle w:val="TableGrid"/>
        <w:tblW w:w="0" w:type="auto"/>
        <w:tblLook w:val="04A0" w:firstRow="1" w:lastRow="0" w:firstColumn="1" w:lastColumn="0" w:noHBand="0" w:noVBand="1"/>
      </w:tblPr>
      <w:tblGrid>
        <w:gridCol w:w="9350"/>
      </w:tblGrid>
      <w:tr w:rsidR="00657053" w:rsidRPr="00657053" w14:paraId="245CB669" w14:textId="77777777" w:rsidTr="55DEB025">
        <w:trPr>
          <w:trHeight w:val="576"/>
        </w:trPr>
        <w:tc>
          <w:tcPr>
            <w:tcW w:w="9350" w:type="dxa"/>
            <w:tcBorders>
              <w:top w:val="nil"/>
              <w:left w:val="nil"/>
              <w:bottom w:val="nil"/>
              <w:right w:val="nil"/>
            </w:tcBorders>
            <w:shd w:val="clear" w:color="auto" w:fill="404040" w:themeFill="text1" w:themeFillTint="BF"/>
            <w:vAlign w:val="center"/>
          </w:tcPr>
          <w:p w14:paraId="2691043F" w14:textId="7CDB4864" w:rsidR="00657053" w:rsidRPr="00657053" w:rsidRDefault="00657053" w:rsidP="00BB5ACB">
            <w:pPr>
              <w:pStyle w:val="CalloutBoxTitle"/>
              <w:rPr>
                <w:color w:val="FFFFFF" w:themeColor="background1"/>
              </w:rPr>
            </w:pPr>
            <w:r>
              <w:rPr>
                <w:color w:val="FFFFFF" w:themeColor="background1"/>
              </w:rPr>
              <w:t>Considerations for Implementation Planning</w:t>
            </w:r>
          </w:p>
        </w:tc>
      </w:tr>
      <w:tr w:rsidR="00801F09" w14:paraId="181842EB" w14:textId="77777777" w:rsidTr="55DEB025">
        <w:tc>
          <w:tcPr>
            <w:tcW w:w="9350" w:type="dxa"/>
            <w:tcBorders>
              <w:top w:val="nil"/>
              <w:left w:val="nil"/>
              <w:bottom w:val="nil"/>
              <w:right w:val="nil"/>
            </w:tcBorders>
            <w:shd w:val="clear" w:color="auto" w:fill="F2F2F2" w:themeFill="background1" w:themeFillShade="F2"/>
          </w:tcPr>
          <w:p w14:paraId="332550F8" w14:textId="37E97288" w:rsidR="0073281D" w:rsidRPr="00224CC0" w:rsidRDefault="2A640F9C" w:rsidP="00224CC0">
            <w:pPr>
              <w:spacing w:before="120" w:after="160"/>
            </w:pPr>
            <w:r w:rsidRPr="55DEB025">
              <w:rPr>
                <w:rFonts w:eastAsia="Aptos" w:cs="Aptos"/>
                <w:b/>
                <w:bCs/>
                <w:i/>
                <w:iCs/>
              </w:rPr>
              <w:t>What is the best timeframe for implementation?</w:t>
            </w:r>
            <w:r w:rsidRPr="55DEB025">
              <w:rPr>
                <w:rFonts w:eastAsia="Aptos" w:cs="Aptos"/>
              </w:rPr>
              <w:t xml:space="preserve"> </w:t>
            </w:r>
            <w:r>
              <w:t>All adaptation strategies have temporal components that include time to implementation, timing of necessary action, and duration of effectiveness. Some strategies will be ready to implement quickly, while other strategies are updated and executed over a course of years. Major infrastructure projects, for example, may require a longer timeframe. Strategies with longer timeframes often have less information, certainty and feasibility. Implementation timeframes can also be designed to align with expected updates to adaptation planning documents such as the Safety Element, LHMP, etc., to create opportunities for scheduled strategy adjustments. Some communities may also benefit from framing their planning around adaptation pathways where local jurisdictions can identify multiple future adaptation actions that the jurisdiction will enact when certain thresholds or triggers are passed.</w:t>
            </w:r>
          </w:p>
          <w:p w14:paraId="36CB0BCB" w14:textId="2C2B721B" w:rsidR="0073281D" w:rsidRPr="00BB38C6" w:rsidRDefault="00801F09" w:rsidP="00BB5ACB">
            <w:r>
              <w:rPr>
                <w:b/>
                <w:bCs/>
                <w:i/>
                <w:iCs/>
              </w:rPr>
              <w:t>Who controls the dependencies that will lead to the success of the strategy?</w:t>
            </w:r>
            <w:r>
              <w:t xml:space="preserve"> For instance, does a strategy rely on a different organization passing a policy or funding the activity? The more dependencies and the more actors involved in achieving a strategy will likely require more time and resources to complete. In these cases, implementation plans should consider assigning sub-tasks to organizations and linking those actions to the organizations’ decision-making processes. Developing interorganizational partnerships or agreements can also be helpful when implementation includes multiple players.</w:t>
            </w:r>
          </w:p>
          <w:p w14:paraId="3632F58A" w14:textId="1BC0EC58" w:rsidR="0073281D" w:rsidRPr="00BB38C6" w:rsidRDefault="00801F09" w:rsidP="00224CC0">
            <w:pPr>
              <w:spacing w:before="160" w:after="160"/>
            </w:pPr>
            <w:r>
              <w:rPr>
                <w:b/>
                <w:bCs/>
                <w:i/>
                <w:iCs/>
              </w:rPr>
              <w:t>Can the project move forward with win-win strategies early?</w:t>
            </w:r>
            <w:r>
              <w:t xml:space="preserve"> Early actions can help maintain engagement when moving from planning to implementation. If there is a way to move forward some activities quickly, make that clear in the implementation program. Consider</w:t>
            </w:r>
            <w:r>
              <w:rPr>
                <w:rFonts w:eastAsia="Aptos" w:cs="Aptos"/>
              </w:rPr>
              <w:t xml:space="preserve"> how existing working groups, departments, or funding streams can be adapted to include actions that advance resilience.</w:t>
            </w:r>
          </w:p>
          <w:p w14:paraId="163F5E7B" w14:textId="63E7F717" w:rsidR="00801F09" w:rsidRDefault="00801F09" w:rsidP="00224CC0">
            <w:pPr>
              <w:spacing w:after="120"/>
            </w:pPr>
            <w:r>
              <w:rPr>
                <w:b/>
                <w:bCs/>
                <w:i/>
                <w:iCs/>
              </w:rPr>
              <w:t>Does the strategy connect to another project?</w:t>
            </w:r>
            <w:r>
              <w:t xml:space="preserve"> Building on existing successful projects and processes is a great place to start. Bolstering or altering existing projects or programs can reduce startup time and costs. If implementation will be connected to another project, review the timeline for that effort and make sure that implementation program is responsive to that timeline.</w:t>
            </w:r>
          </w:p>
        </w:tc>
      </w:tr>
    </w:tbl>
    <w:p w14:paraId="02556198" w14:textId="4E83EFDC" w:rsidR="003E6C85" w:rsidRPr="00BB38C6" w:rsidRDefault="003E6C85" w:rsidP="00CC5E0E">
      <w:pPr>
        <w:spacing w:before="160" w:line="240" w:lineRule="auto"/>
      </w:pPr>
    </w:p>
    <w:p w14:paraId="1E31CEA3" w14:textId="396B5A15" w:rsidR="00CF71BD" w:rsidRDefault="00DB791D" w:rsidP="00CC5E0E">
      <w:pPr>
        <w:pStyle w:val="Heading3"/>
        <w:spacing w:after="160" w:line="240" w:lineRule="auto"/>
      </w:pPr>
      <w:bookmarkStart w:id="201" w:name="_Toc235802723"/>
      <w:r>
        <w:t>Step 4.1B: Implementation Funding</w:t>
      </w:r>
      <w:bookmarkEnd w:id="201"/>
    </w:p>
    <w:p w14:paraId="77D101DA" w14:textId="1670A92C" w:rsidR="00CF71BD" w:rsidRPr="00BB38C6" w:rsidRDefault="006B5353" w:rsidP="00CC5E0E">
      <w:pPr>
        <w:pStyle w:val="Heading4"/>
        <w:spacing w:after="160" w:line="240" w:lineRule="auto"/>
      </w:pPr>
      <w:r>
        <w:t>Making the Business Case for Adaptation</w:t>
      </w:r>
    </w:p>
    <w:p w14:paraId="61118CA1" w14:textId="10902540" w:rsidR="00CF71BD" w:rsidRPr="00BB38C6" w:rsidRDefault="00CF71BD" w:rsidP="00CC5E0E">
      <w:pPr>
        <w:spacing w:before="160" w:line="240" w:lineRule="auto"/>
        <w:rPr>
          <w:rFonts w:eastAsia="MS Mincho" w:cs="Arial"/>
        </w:rPr>
      </w:pPr>
      <w:r>
        <w:t>Funding is frequently identified as a significant challenge in implementing adaptation. Making the business case for the resilience effort in the community — planning how to frame the project, back</w:t>
      </w:r>
      <w:r w:rsidR="00834E8D">
        <w:t>ing</w:t>
      </w:r>
      <w:r>
        <w:t xml:space="preserve"> it up with data and numbers, and convinc</w:t>
      </w:r>
      <w:r w:rsidR="00834E8D">
        <w:t>ing</w:t>
      </w:r>
      <w:r>
        <w:t xml:space="preserve"> people to invest in it — is a critical part of this effort. A study by the National Institute of Building Sciences’ 2019 report </w:t>
      </w:r>
      <w:hyperlink r:id="rId296" w:history="1">
        <w:r>
          <w:rPr>
            <w:rStyle w:val="Hyperlink"/>
          </w:rPr>
          <w:t>Natural Hazard Mitigation Saves</w:t>
        </w:r>
      </w:hyperlink>
      <w:r>
        <w:t xml:space="preserve"> determined that there is a savings of $6 in recovery costs for every $1 spent on hazard mitigation efforts through federal grants, with up to $13 savings per $1 spent on hazard mitigation efforts overall. This makes a strong argument for building adaptation into community development at an early phase to reduce total spending over time. The planning team should devise a clearly articulated business case for the resilience actions. In developing the business case, they should consider:</w:t>
      </w:r>
    </w:p>
    <w:p w14:paraId="20DF9F94" w14:textId="151B2CE8" w:rsidR="0086037D" w:rsidRDefault="00CF71BD" w:rsidP="00A90132">
      <w:pPr>
        <w:pStyle w:val="ListParagraph"/>
        <w:numPr>
          <w:ilvl w:val="0"/>
          <w:numId w:val="2"/>
        </w:numPr>
        <w:spacing w:before="160" w:line="240" w:lineRule="auto"/>
      </w:pPr>
      <w:r>
        <w:t>The cost of inaction and increasing climate risks, such as:</w:t>
      </w:r>
    </w:p>
    <w:p w14:paraId="707468BF" w14:textId="640D6AED" w:rsidR="0086037D" w:rsidRPr="0086037D" w:rsidRDefault="0086037D">
      <w:pPr>
        <w:pStyle w:val="ListParagraph"/>
        <w:numPr>
          <w:ilvl w:val="1"/>
          <w:numId w:val="56"/>
        </w:numPr>
        <w:spacing w:line="240" w:lineRule="auto"/>
      </w:pPr>
      <w:r>
        <w:t>Increasing maintenance and service costs</w:t>
      </w:r>
    </w:p>
    <w:p w14:paraId="006A4FDD" w14:textId="7C3AF1A4" w:rsidR="0086037D" w:rsidRPr="0086037D" w:rsidRDefault="0086037D">
      <w:pPr>
        <w:pStyle w:val="ListParagraph"/>
        <w:numPr>
          <w:ilvl w:val="1"/>
          <w:numId w:val="56"/>
        </w:numPr>
        <w:spacing w:line="240" w:lineRule="auto"/>
      </w:pPr>
      <w:r>
        <w:rPr>
          <w:rFonts w:eastAsia="MS Mincho" w:cs="Arial"/>
        </w:rPr>
        <w:t>Increased demand for emergency services during climate extremes</w:t>
      </w:r>
    </w:p>
    <w:p w14:paraId="794CE323" w14:textId="20446D6A" w:rsidR="00CF71BD" w:rsidRPr="00BB38C6" w:rsidRDefault="0086037D">
      <w:pPr>
        <w:pStyle w:val="ListParagraph"/>
        <w:numPr>
          <w:ilvl w:val="1"/>
          <w:numId w:val="56"/>
        </w:numPr>
        <w:spacing w:line="240" w:lineRule="auto"/>
      </w:pPr>
      <w:r>
        <w:rPr>
          <w:rFonts w:eastAsia="MS Mincho" w:cs="Arial"/>
        </w:rPr>
        <w:t>Impacts</w:t>
      </w:r>
      <w:r>
        <w:t xml:space="preserve"> that can be difficult to quantify or monetize such as impacts to public health</w:t>
      </w:r>
    </w:p>
    <w:p w14:paraId="15B2B013" w14:textId="5E669403" w:rsidR="00CF71BD" w:rsidRPr="00BB38C6" w:rsidRDefault="00CF71BD" w:rsidP="00A90132">
      <w:pPr>
        <w:pStyle w:val="ListParagraph"/>
        <w:numPr>
          <w:ilvl w:val="0"/>
          <w:numId w:val="2"/>
        </w:numPr>
        <w:spacing w:before="160" w:line="240" w:lineRule="auto"/>
      </w:pPr>
      <w:r>
        <w:t>The cost of implementing the adaptation strategy</w:t>
      </w:r>
    </w:p>
    <w:p w14:paraId="03199436" w14:textId="5DED982A" w:rsidR="00CF71BD" w:rsidRPr="00BB38C6" w:rsidRDefault="007B398B" w:rsidP="00A90132">
      <w:pPr>
        <w:pStyle w:val="ListParagraph"/>
        <w:numPr>
          <w:ilvl w:val="0"/>
          <w:numId w:val="2"/>
        </w:numPr>
        <w:spacing w:before="160" w:line="240" w:lineRule="auto"/>
      </w:pPr>
      <w:r>
        <w:t>That accounting for the multiple benefits of adaptation actions can make a stronger business case and bring more partners to the table</w:t>
      </w:r>
    </w:p>
    <w:p w14:paraId="07577DCA" w14:textId="472F660A" w:rsidR="00CF71BD" w:rsidRPr="00BB38C6" w:rsidRDefault="00CF71BD" w:rsidP="00A90132">
      <w:pPr>
        <w:pStyle w:val="ListParagraph"/>
        <w:numPr>
          <w:ilvl w:val="0"/>
          <w:numId w:val="2"/>
        </w:numPr>
        <w:spacing w:before="160" w:line="240" w:lineRule="auto"/>
      </w:pPr>
      <w:r>
        <w:t>Who will bear the cost of inaction and those who benefit from adaptation strategies is helpful in identifying partners and funding and financing tools</w:t>
      </w:r>
    </w:p>
    <w:p w14:paraId="42815B44" w14:textId="13AB3510" w:rsidR="00C74728" w:rsidRDefault="00CF71BD" w:rsidP="00D47C97">
      <w:pPr>
        <w:spacing w:before="160" w:line="240" w:lineRule="auto"/>
      </w:pPr>
      <w:r>
        <w:t>Matching resilience needs to funding resources may result in unconventional solutions. For example, different departments may coordinate on spending for capital projects, or neighboring cities may pool funding for large-scale green infrastructure projects to benefit many jurisdictions.</w:t>
      </w:r>
    </w:p>
    <w:p w14:paraId="7F4A043A" w14:textId="77777777" w:rsidR="003107DC" w:rsidRDefault="003107DC" w:rsidP="00D47C97">
      <w:pPr>
        <w:spacing w:before="160" w:line="240" w:lineRule="auto"/>
      </w:pPr>
    </w:p>
    <w:p w14:paraId="1E436635" w14:textId="77777777" w:rsidR="00284B52" w:rsidRDefault="00284B52" w:rsidP="00D47C97">
      <w:pPr>
        <w:spacing w:before="160" w:line="240" w:lineRule="auto"/>
      </w:pPr>
    </w:p>
    <w:p w14:paraId="258F0FB0" w14:textId="77777777" w:rsidR="00284B52" w:rsidRDefault="00284B52" w:rsidP="00D47C97">
      <w:pPr>
        <w:spacing w:before="160" w:line="240" w:lineRule="auto"/>
      </w:pPr>
    </w:p>
    <w:tbl>
      <w:tblPr>
        <w:tblStyle w:val="TableGrid"/>
        <w:tblW w:w="0" w:type="auto"/>
        <w:tblLook w:val="04A0" w:firstRow="1" w:lastRow="0" w:firstColumn="1" w:lastColumn="0" w:noHBand="0" w:noVBand="1"/>
        <w:tblCaption w:val="Case Study"/>
      </w:tblPr>
      <w:tblGrid>
        <w:gridCol w:w="9359"/>
      </w:tblGrid>
      <w:tr w:rsidR="00355797" w:rsidRPr="009C79D8" w14:paraId="2C3E5BC9" w14:textId="77777777" w:rsidTr="00C74728">
        <w:trPr>
          <w:trHeight w:val="576"/>
        </w:trPr>
        <w:tc>
          <w:tcPr>
            <w:tcW w:w="9359" w:type="dxa"/>
            <w:tcBorders>
              <w:top w:val="nil"/>
              <w:left w:val="nil"/>
              <w:bottom w:val="nil"/>
              <w:right w:val="nil"/>
            </w:tcBorders>
            <w:shd w:val="clear" w:color="auto" w:fill="1F5485"/>
            <w:vAlign w:val="center"/>
          </w:tcPr>
          <w:p w14:paraId="2D86ECFC" w14:textId="31437F8A" w:rsidR="00355797" w:rsidRPr="00460EAE" w:rsidRDefault="00355797" w:rsidP="00BB5ACB">
            <w:pPr>
              <w:rPr>
                <w:color w:val="FFFFFF" w:themeColor="background1"/>
              </w:rPr>
            </w:pPr>
            <w:r>
              <w:rPr>
                <w:b/>
                <w:bCs/>
                <w:color w:val="FFFFFF" w:themeColor="background1"/>
              </w:rPr>
              <w:t>Case Study: City of Goleta’s Plan Integration</w:t>
            </w:r>
          </w:p>
        </w:tc>
      </w:tr>
      <w:tr w:rsidR="00411D3F" w14:paraId="2378687D" w14:textId="77777777" w:rsidTr="00C74728">
        <w:tc>
          <w:tcPr>
            <w:tcW w:w="9359" w:type="dxa"/>
            <w:tcBorders>
              <w:top w:val="nil"/>
              <w:left w:val="nil"/>
              <w:bottom w:val="nil"/>
              <w:right w:val="nil"/>
            </w:tcBorders>
            <w:shd w:val="clear" w:color="auto" w:fill="DCEAF7"/>
          </w:tcPr>
          <w:p w14:paraId="58CF4AE0" w14:textId="4A25CFF2" w:rsidR="00411D3F" w:rsidRDefault="00411D3F" w:rsidP="006C66A1">
            <w:pPr>
              <w:spacing w:before="100" w:after="120"/>
            </w:pPr>
            <w:r>
              <w:t xml:space="preserve">The City of Goleta created a </w:t>
            </w:r>
            <w:hyperlink r:id="rId297" w:history="1">
              <w:r>
                <w:rPr>
                  <w:rStyle w:val="Hyperlink"/>
                  <w:i/>
                  <w:iCs/>
                </w:rPr>
                <w:t>Coastal Hazards Vulnerability Assessment and Fiscal Impact Report</w:t>
              </w:r>
            </w:hyperlink>
            <w:r>
              <w:t xml:space="preserve"> in 2015. The report not only details ways in which climate change may affect Goleta, but also specifically assesses the impact of climate change and adaptation measures on economic and fiscal resources. This includes the value of threatened assets and the expense associated with various adaptation measures and estimated city liability for vulnerabilities over time. The report also identifies potential sources of funding to support the adaptation measures identified.</w:t>
            </w:r>
          </w:p>
        </w:tc>
      </w:tr>
      <w:tr w:rsidR="00355797" w14:paraId="27778B33" w14:textId="77777777" w:rsidTr="00C74728">
        <w:tc>
          <w:tcPr>
            <w:tcW w:w="9359" w:type="dxa"/>
            <w:tcBorders>
              <w:top w:val="nil"/>
              <w:left w:val="nil"/>
              <w:bottom w:val="nil"/>
              <w:right w:val="nil"/>
            </w:tcBorders>
            <w:shd w:val="clear" w:color="auto" w:fill="DCEAF7"/>
          </w:tcPr>
          <w:p w14:paraId="03710F1C" w14:textId="7E7E5BB9" w:rsidR="00355797" w:rsidRPr="00E026B9" w:rsidRDefault="00355797" w:rsidP="00E026B9">
            <w:pPr>
              <w:rPr>
                <w:sz w:val="12"/>
                <w:szCs w:val="12"/>
              </w:rPr>
            </w:pPr>
          </w:p>
          <w:tbl>
            <w:tblPr>
              <w:tblStyle w:val="TableGrid"/>
              <w:tblW w:w="0" w:type="auto"/>
              <w:tblLook w:val="04A0" w:firstRow="1" w:lastRow="0" w:firstColumn="1" w:lastColumn="0" w:noHBand="0" w:noVBand="1"/>
            </w:tblPr>
            <w:tblGrid>
              <w:gridCol w:w="9131"/>
            </w:tblGrid>
            <w:tr w:rsidR="00355797" w14:paraId="4F2FE933" w14:textId="77777777">
              <w:tc>
                <w:tcPr>
                  <w:tcW w:w="9124" w:type="dxa"/>
                  <w:shd w:val="clear" w:color="auto" w:fill="000000" w:themeFill="text1"/>
                </w:tcPr>
                <w:p w14:paraId="235D5919" w14:textId="6BC44669" w:rsidR="00355797" w:rsidRPr="00460EAE" w:rsidRDefault="00355797" w:rsidP="00BB5ACB">
                  <w:pPr>
                    <w:rPr>
                      <w:b/>
                      <w:bCs/>
                    </w:rPr>
                  </w:pPr>
                  <w:bookmarkStart w:id="202" w:name="_Ref230969060"/>
                  <w:r>
                    <w:rPr>
                      <w:b/>
                      <w:bCs/>
                    </w:rPr>
                    <w:t xml:space="preserve">Figure </w:t>
                  </w:r>
                  <w:r>
                    <w:rPr>
                      <w:b/>
                    </w:rPr>
                    <w:fldChar w:fldCharType="begin"/>
                  </w:r>
                  <w:r>
                    <w:rPr>
                      <w:b/>
                      <w:bCs/>
                    </w:rPr>
                    <w:instrText xml:space="preserve"> SEQ Figure \* ARABIC </w:instrText>
                  </w:r>
                  <w:r>
                    <w:rPr>
                      <w:b/>
                    </w:rPr>
                    <w:fldChar w:fldCharType="separate"/>
                  </w:r>
                  <w:r w:rsidR="00517691">
                    <w:rPr>
                      <w:b/>
                      <w:bCs/>
                      <w:noProof/>
                    </w:rPr>
                    <w:t>25</w:t>
                  </w:r>
                  <w:r>
                    <w:rPr>
                      <w:b/>
                    </w:rPr>
                    <w:fldChar w:fldCharType="end"/>
                  </w:r>
                  <w:bookmarkEnd w:id="202"/>
                  <w:r>
                    <w:rPr>
                      <w:b/>
                      <w:bCs/>
                    </w:rPr>
                    <w:t>. Excerpt from Goleta’s 2015 Report</w:t>
                  </w:r>
                </w:p>
              </w:tc>
            </w:tr>
            <w:tr w:rsidR="00355797" w14:paraId="60DD880F" w14:textId="77777777">
              <w:trPr>
                <w:trHeight w:val="4608"/>
              </w:trPr>
              <w:tc>
                <w:tcPr>
                  <w:tcW w:w="9124" w:type="dxa"/>
                  <w:shd w:val="clear" w:color="auto" w:fill="FFFFFF" w:themeFill="background1"/>
                </w:tcPr>
                <w:p w14:paraId="7C12308D" w14:textId="5970C11B" w:rsidR="00355797" w:rsidRDefault="003919B1" w:rsidP="00B9583D">
                  <w:pPr>
                    <w:spacing w:before="120" w:after="120"/>
                    <w:jc w:val="center"/>
                  </w:pPr>
                  <w:r>
                    <w:rPr>
                      <w:noProof/>
                    </w:rPr>
                    <w:drawing>
                      <wp:inline distT="0" distB="0" distL="0" distR="0" wp14:anchorId="1701A258" wp14:editId="576138F0">
                        <wp:extent cx="5661588" cy="3219131"/>
                        <wp:effectExtent l="0" t="0" r="0" b="635"/>
                        <wp:docPr id="862181697" name="Picture 22" descr="Screenshot of Goleta's 2015 report showing information that was used in the 2023 LH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81697" name="Picture 22" descr="Screenshot of Goleta's 2015 report showing information that was used in the 2023 LHMP"/>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t="754"/>
                                <a:stretch>
                                  <a:fillRect/>
                                </a:stretch>
                              </pic:blipFill>
                              <pic:spPr bwMode="auto">
                                <a:xfrm>
                                  <a:off x="0" y="0"/>
                                  <a:ext cx="5670698" cy="32243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1203FDD" w14:textId="4A7CB686" w:rsidR="00355797" w:rsidRDefault="00355797" w:rsidP="00224CC0">
            <w:pPr>
              <w:spacing w:before="160" w:after="160"/>
            </w:pPr>
            <w:r>
              <w:t xml:space="preserve">The evaluation provides critical transparency to all community members, and the information from </w:t>
            </w:r>
            <w:r>
              <w:rPr>
                <w:u w:val="single"/>
              </w:rPr>
              <w:fldChar w:fldCharType="begin"/>
            </w:r>
            <w:r>
              <w:rPr>
                <w:u w:val="single"/>
              </w:rPr>
              <w:instrText xml:space="preserve"> REF _Ref230969060 \h  \* MERGEFORMAT </w:instrText>
            </w:r>
            <w:r>
              <w:rPr>
                <w:u w:val="single"/>
              </w:rPr>
            </w:r>
            <w:r>
              <w:rPr>
                <w:u w:val="single"/>
              </w:rPr>
              <w:fldChar w:fldCharType="separate"/>
            </w:r>
            <w:r w:rsidR="00517691" w:rsidRPr="00517691">
              <w:rPr>
                <w:u w:val="single"/>
              </w:rPr>
              <w:t xml:space="preserve">Figure </w:t>
            </w:r>
            <w:r w:rsidR="00517691" w:rsidRPr="00517691">
              <w:rPr>
                <w:noProof/>
                <w:u w:val="single"/>
              </w:rPr>
              <w:t>25</w:t>
            </w:r>
            <w:r>
              <w:rPr>
                <w:u w:val="single"/>
              </w:rPr>
              <w:fldChar w:fldCharType="end"/>
            </w:r>
            <w:r>
              <w:t xml:space="preserve"> was incorporated into the 2023 </w:t>
            </w:r>
            <w:hyperlink r:id="rId299" w:history="1">
              <w:r>
                <w:rPr>
                  <w:rStyle w:val="Hyperlink"/>
                  <w:i/>
                  <w:iCs/>
                </w:rPr>
                <w:t>City of Goleta LHMP</w:t>
              </w:r>
            </w:hyperlink>
            <w:r>
              <w:t>:</w:t>
            </w:r>
          </w:p>
          <w:p w14:paraId="40EA5AF8" w14:textId="47C6AC80" w:rsidR="00355797" w:rsidRDefault="00355797" w:rsidP="00452D45">
            <w:pPr>
              <w:spacing w:before="160"/>
            </w:pPr>
            <w:r>
              <w:rPr>
                <w:b/>
              </w:rPr>
              <w:t>7.4.1 Climate Change Induced Mitigation Actions</w:t>
            </w:r>
          </w:p>
          <w:p w14:paraId="79B0A658" w14:textId="48581C5D" w:rsidR="00355797" w:rsidRDefault="00355797" w:rsidP="00224CC0">
            <w:pPr>
              <w:spacing w:after="160"/>
            </w:pPr>
            <w:r>
              <w:t>Over the next five years, the City will also be examining mitigation actions considering the findings and recommendations resulting from predicted climate change conditions identified in the 2015 City of Goleta Coastal Hazards Vulnerability Assessment and Fiscal Impact Report, the findings of which are summarized below:</w:t>
            </w:r>
          </w:p>
          <w:p w14:paraId="08EA7E66" w14:textId="51FC4986" w:rsidR="00355797" w:rsidRPr="005732D1" w:rsidRDefault="00355797" w:rsidP="00A90132">
            <w:pPr>
              <w:pStyle w:val="ListParagraph"/>
              <w:numPr>
                <w:ilvl w:val="0"/>
                <w:numId w:val="2"/>
              </w:numPr>
              <w:spacing w:before="160" w:after="160"/>
            </w:pPr>
            <w:r>
              <w:t>Existing creek hazards (FEMA) are the highest hazard in the City. Coastal flooding will be exacerbated by SLR, however future climate impacts on creek flooding are not available.</w:t>
            </w:r>
          </w:p>
          <w:p w14:paraId="26FFCF6C" w14:textId="1A5F4CDF" w:rsidR="00355797" w:rsidRPr="005732D1" w:rsidRDefault="00355797" w:rsidP="00A90132">
            <w:pPr>
              <w:pStyle w:val="ListParagraph"/>
              <w:numPr>
                <w:ilvl w:val="0"/>
                <w:numId w:val="2"/>
              </w:numPr>
              <w:spacing w:before="160" w:after="160"/>
            </w:pPr>
            <w:r>
              <w:t>Coastal flooding damages to structures in Goleta could increase dramatically by 416% between the time horizons of 2060 and 2100.</w:t>
            </w:r>
          </w:p>
          <w:p w14:paraId="3EC516D6" w14:textId="66B994B6" w:rsidR="00355797" w:rsidRDefault="00355797" w:rsidP="00A90132">
            <w:pPr>
              <w:pStyle w:val="ListParagraph"/>
              <w:numPr>
                <w:ilvl w:val="0"/>
                <w:numId w:val="2"/>
              </w:numPr>
              <w:spacing w:before="160" w:after="160"/>
            </w:pPr>
            <w:r>
              <w:t>Adaptation costs to elevate and accommodate coastal flooding by 2100 ($175 million) exceed damages ($14 million) and cleanup (approximately $5 million) by an order of magnitude.</w:t>
            </w:r>
          </w:p>
          <w:p w14:paraId="2A09D6DA" w14:textId="77434F1F" w:rsidR="00355797" w:rsidRPr="005732D1" w:rsidRDefault="00355797" w:rsidP="00A90132">
            <w:pPr>
              <w:pStyle w:val="ListParagraph"/>
              <w:numPr>
                <w:ilvl w:val="0"/>
                <w:numId w:val="2"/>
              </w:numPr>
              <w:spacing w:before="160" w:after="160"/>
            </w:pPr>
            <w:r>
              <w:t>The Storke Ranch neighborhood becomes exposed around 2100 when Goleta and Devereux Sloughs come together.</w:t>
            </w:r>
          </w:p>
          <w:p w14:paraId="56842B22" w14:textId="2BD47821" w:rsidR="00355797" w:rsidRDefault="00355797">
            <w:pPr>
              <w:pStyle w:val="ListParagraph"/>
              <w:numPr>
                <w:ilvl w:val="0"/>
                <w:numId w:val="36"/>
              </w:numPr>
              <w:spacing w:after="120"/>
              <w:contextualSpacing w:val="0"/>
            </w:pPr>
            <w:r>
              <w:t>Coastal flooding impacts the light manufacturing sector the greatest between 2 and 5 feet of SLR from 2060 to 2100.</w:t>
            </w:r>
          </w:p>
        </w:tc>
      </w:tr>
    </w:tbl>
    <w:p w14:paraId="3DE78E4D" w14:textId="7418E7E8" w:rsidR="00CF71BD" w:rsidRPr="00BB38C6" w:rsidRDefault="00CF71BD" w:rsidP="00D47C97">
      <w:pPr>
        <w:pStyle w:val="Heading4"/>
        <w:spacing w:after="160" w:line="240" w:lineRule="auto"/>
      </w:pPr>
      <w:r>
        <w:t>Equity Considerations in Funding</w:t>
      </w:r>
    </w:p>
    <w:p w14:paraId="440FEA26" w14:textId="29E0DFD5" w:rsidR="004C45F0" w:rsidRDefault="00CF71BD" w:rsidP="004C45F0">
      <w:pPr>
        <w:spacing w:before="160" w:line="240" w:lineRule="auto"/>
      </w:pPr>
      <w:r>
        <w:t xml:space="preserve">The uneven distribution of risk, costs from damages, funding needs, and funding options could result in unequal adaptation responses. An unequal distribution of adaptation could deepen inequity and increase vulnerabilities for low-income communities. An additional concern is an increased financial burden on low-income communities created by potentially regressive adaptation funding mechanisms. </w:t>
      </w:r>
    </w:p>
    <w:p w14:paraId="1D8F3B1E" w14:textId="5D2832F2" w:rsidR="00A64AE1" w:rsidRDefault="00CF71BD" w:rsidP="00D47C97">
      <w:pPr>
        <w:spacing w:before="160" w:line="240" w:lineRule="auto"/>
      </w:pPr>
      <w:r>
        <w:t>It is important to consider who is paying, who benefits, and how things are paid for. Additionally, smaller jurisdictions, Trib</w:t>
      </w:r>
      <w:r w:rsidR="0004544F">
        <w:t>es</w:t>
      </w:r>
      <w:r>
        <w:t>, and under-resourced communities may face additional barriers in accessing competitive grant funding because of a number of factors that may include limited staffing or technical expertise. Understanding these elements of funding and financing tools is essential to building equitable adaptation.</w:t>
      </w:r>
    </w:p>
    <w:p w14:paraId="1781D655" w14:textId="6FFB72DF" w:rsidR="00CF71BD" w:rsidRPr="00BB38C6" w:rsidRDefault="003B2CE8" w:rsidP="00D47C97">
      <w:pPr>
        <w:pStyle w:val="Heading4"/>
        <w:spacing w:after="160" w:line="240" w:lineRule="auto"/>
      </w:pPr>
      <w:r>
        <w:t>Diverse, Layered Funding Led by Local Sources</w:t>
      </w:r>
    </w:p>
    <w:p w14:paraId="6B083578" w14:textId="1AA92EA2" w:rsidR="00CF71BD" w:rsidRPr="00BB38C6" w:rsidRDefault="00CF71BD" w:rsidP="00D47C97">
      <w:pPr>
        <w:spacing w:before="160" w:line="240" w:lineRule="auto"/>
        <w:rPr>
          <w:b/>
          <w:bCs/>
        </w:rPr>
      </w:pPr>
      <w:r>
        <w:t>Funding and financing sources can include local general funds, bonds, taxes, assessments, fees, grants, private sector partnerships or investments, non-profit grants and partnerships.</w:t>
      </w:r>
      <w:r>
        <w:rPr>
          <w:rFonts w:eastAsia="Aptos" w:cs="Aptos"/>
        </w:rPr>
        <w:t xml:space="preserve"> Adaptation funding is also an area of ongoing innovation, </w:t>
      </w:r>
      <w:r>
        <w:t>with communities utilizing funding sources and tools in creative ways.</w:t>
      </w:r>
    </w:p>
    <w:p w14:paraId="34F83E72" w14:textId="03E88223" w:rsidR="00CF71BD" w:rsidRPr="00BB38C6" w:rsidRDefault="00CF71BD" w:rsidP="00D47C97">
      <w:pPr>
        <w:spacing w:before="160" w:line="240" w:lineRule="auto"/>
      </w:pPr>
      <w:r>
        <w:rPr>
          <w:rFonts w:eastAsia="MS Mincho" w:cs="Arial"/>
        </w:rPr>
        <w:t xml:space="preserve">Ideally, communities will be able to develop a layered and diverse funding portfolio - one that includes </w:t>
      </w:r>
      <w:r>
        <w:t>a diverse set of public funding mechanisms as well as private and philanthropic funding. In addition, it is not just funding streams earmarked specifically for adaptation that will be utilized, but funding currently used for a wide variety of city and county projects will need to incorporate resilience as a major component of project planning and implementation costs. For instance, new transportation projects in the future floodplain will need to examine raised streets, bridges and transit facilities.</w:t>
      </w:r>
    </w:p>
    <w:p w14:paraId="32806D03" w14:textId="12191207" w:rsidR="00CF71BD" w:rsidRPr="00BB38C6" w:rsidRDefault="00CF71BD" w:rsidP="00D47C97">
      <w:pPr>
        <w:spacing w:before="160" w:line="240" w:lineRule="auto"/>
      </w:pPr>
      <w:r>
        <w:t>Local initiatives will play the largest role in ensuring climate risk-reduction, as most land use and infrastructure projects are planned, managed, implemented, and maintained by local jurisdictions.</w:t>
      </w:r>
    </w:p>
    <w:p w14:paraId="03E2DE84" w14:textId="065EFB1D" w:rsidR="00CF71BD" w:rsidRPr="00BB38C6" w:rsidRDefault="5CD9B3C5" w:rsidP="00D47C97">
      <w:pPr>
        <w:spacing w:before="160" w:line="240" w:lineRule="auto"/>
        <w:rPr>
          <w:rFonts w:eastAsia="Aptos" w:cs="Aptos"/>
        </w:rPr>
      </w:pPr>
      <w:r>
        <w:rPr>
          <w:rFonts w:eastAsia="Aptos" w:cs="Aptos"/>
        </w:rPr>
        <w:t xml:space="preserve">A good place to start is to embed resilience budgeting into the community’s fiscal planning. </w:t>
      </w:r>
      <w:r>
        <w:t>A local government’s Capital Improvement Plan (CIP) is an annual or biennial plan for financing community projects and is typically what funds community assets or infrastructure, such as bridges, water treatment facilities, street improvements, parks or community centers.</w:t>
      </w:r>
      <w:r>
        <w:rPr>
          <w:rFonts w:eastAsia="Aptos" w:cs="Aptos"/>
        </w:rPr>
        <w:t xml:space="preserve"> Incrementally, resilience projects and initiatives need to be part of the regular budget and decision-making discussions.</w:t>
      </w:r>
    </w:p>
    <w:p w14:paraId="68739CE9" w14:textId="77922718" w:rsidR="000C40E1" w:rsidRDefault="00CF71BD" w:rsidP="00D47C97">
      <w:pPr>
        <w:spacing w:before="160" w:line="240" w:lineRule="auto"/>
      </w:pPr>
      <w:r>
        <w:t>Examine all funding sources at hand as possible resilience monies that can open new possibilities to implement projects more quickly. Existing revenues can be slightly reallocated to incorporate adaptation into existing projects and services. Cities can task their transportation, planning, and public works divisions to incorporate adaptation into all projects using existing funds for these sectors. Comb through internal budget sources and consider how to re-purpose existing funds or create new revenue scenarios to leverage what’s already available.</w:t>
      </w:r>
    </w:p>
    <w:tbl>
      <w:tblPr>
        <w:tblStyle w:val="TableGrid"/>
        <w:tblW w:w="0" w:type="auto"/>
        <w:tblLook w:val="04A0" w:firstRow="1" w:lastRow="0" w:firstColumn="1" w:lastColumn="0" w:noHBand="0" w:noVBand="1"/>
      </w:tblPr>
      <w:tblGrid>
        <w:gridCol w:w="9350"/>
      </w:tblGrid>
      <w:tr w:rsidR="00363D13" w:rsidRPr="00471616" w14:paraId="2C9F02EF" w14:textId="77777777" w:rsidTr="00BB5ACB">
        <w:trPr>
          <w:trHeight w:val="576"/>
        </w:trPr>
        <w:tc>
          <w:tcPr>
            <w:tcW w:w="9350" w:type="dxa"/>
            <w:tcBorders>
              <w:top w:val="nil"/>
              <w:left w:val="nil"/>
              <w:bottom w:val="nil"/>
              <w:right w:val="nil"/>
            </w:tcBorders>
            <w:shd w:val="clear" w:color="auto" w:fill="58257F"/>
            <w:vAlign w:val="center"/>
          </w:tcPr>
          <w:p w14:paraId="4131BFFC" w14:textId="4E2A606F" w:rsidR="00363D13" w:rsidRPr="006F66F2" w:rsidRDefault="00363D13" w:rsidP="00BB5ACB">
            <w:pPr>
              <w:rPr>
                <w:b/>
                <w:bCs/>
                <w:color w:val="FFFFFF" w:themeColor="background1"/>
              </w:rPr>
            </w:pPr>
            <w:r>
              <w:rPr>
                <w:b/>
                <w:bCs/>
                <w:color w:val="FFFFFF" w:themeColor="background1"/>
              </w:rPr>
              <w:t xml:space="preserve">Policy Connection: Local Hazard Mitigation Plans </w:t>
            </w:r>
          </w:p>
        </w:tc>
      </w:tr>
      <w:tr w:rsidR="00363D13" w14:paraId="38CBBC9C" w14:textId="77777777">
        <w:tc>
          <w:tcPr>
            <w:tcW w:w="9350" w:type="dxa"/>
            <w:tcBorders>
              <w:top w:val="nil"/>
              <w:left w:val="nil"/>
              <w:bottom w:val="nil"/>
              <w:right w:val="nil"/>
            </w:tcBorders>
            <w:shd w:val="clear" w:color="auto" w:fill="E4D2F2"/>
          </w:tcPr>
          <w:p w14:paraId="1F527128" w14:textId="345D5D57" w:rsidR="007903A3" w:rsidRPr="00314B7D" w:rsidRDefault="007903A3" w:rsidP="007A3FE4">
            <w:pPr>
              <w:spacing w:before="120" w:after="120"/>
              <w:rPr>
                <w:color w:val="000000"/>
              </w:rPr>
            </w:pPr>
            <w:r>
              <w:rPr>
                <w:color w:val="000000"/>
              </w:rPr>
              <w:t xml:space="preserve">The </w:t>
            </w:r>
            <w:hyperlink r:id="rId300" w:history="1">
              <w:r>
                <w:rPr>
                  <w:rStyle w:val="Hyperlink"/>
                </w:rPr>
                <w:t>Local Mitigation Planning Policy Guide</w:t>
              </w:r>
            </w:hyperlink>
            <w:r>
              <w:rPr>
                <w:color w:val="000000"/>
              </w:rPr>
              <w:t xml:space="preserve"> requires plans to describe how existing authorities, policies, programs, funding, and resources support the mitigation strategy, including building codes and land use and development regulations. Plans must also describe each participant’s ability to expand or improve these capabilities or note any limitations. Identifying current capabilities and gaps helps justify mitigation actions and address vulnerabilities identified in the risk assessment.</w:t>
            </w:r>
          </w:p>
        </w:tc>
      </w:tr>
    </w:tbl>
    <w:p w14:paraId="7B0F8589" w14:textId="0213FC89" w:rsidR="00310E69" w:rsidRDefault="00310E69" w:rsidP="007A3FE4">
      <w:pPr>
        <w:spacing w:after="0" w:line="240" w:lineRule="auto"/>
      </w:pPr>
    </w:p>
    <w:p w14:paraId="38F446C5" w14:textId="77777777" w:rsidR="003107DC" w:rsidRDefault="003107DC" w:rsidP="007A3FE4">
      <w:pPr>
        <w:spacing w:after="0" w:line="240" w:lineRule="auto"/>
      </w:pPr>
    </w:p>
    <w:p w14:paraId="0DB1F958" w14:textId="77777777" w:rsidR="003107DC" w:rsidRDefault="003107DC" w:rsidP="007A3FE4">
      <w:pPr>
        <w:spacing w:after="0" w:line="240" w:lineRule="auto"/>
      </w:pPr>
    </w:p>
    <w:p w14:paraId="383EB9C9" w14:textId="77777777" w:rsidR="003107DC" w:rsidRDefault="003107DC" w:rsidP="007A3FE4">
      <w:pPr>
        <w:spacing w:after="0" w:line="240" w:lineRule="auto"/>
      </w:pPr>
    </w:p>
    <w:p w14:paraId="5FAF3069" w14:textId="77777777" w:rsidR="003107DC" w:rsidRDefault="003107DC" w:rsidP="007A3FE4">
      <w:pPr>
        <w:spacing w:after="0" w:line="240" w:lineRule="auto"/>
      </w:pPr>
    </w:p>
    <w:p w14:paraId="5E31760D" w14:textId="77777777" w:rsidR="00284B52" w:rsidRDefault="00284B52" w:rsidP="007A3FE4">
      <w:pPr>
        <w:spacing w:after="0" w:line="240" w:lineRule="auto"/>
      </w:pPr>
    </w:p>
    <w:p w14:paraId="272B0C0D" w14:textId="77777777" w:rsidR="00284B52" w:rsidRDefault="00284B52" w:rsidP="007A3FE4">
      <w:pPr>
        <w:spacing w:after="0" w:line="240" w:lineRule="auto"/>
      </w:pPr>
    </w:p>
    <w:p w14:paraId="1D36BC36" w14:textId="77777777" w:rsidR="00284B52" w:rsidRDefault="00284B52" w:rsidP="007A3FE4">
      <w:pPr>
        <w:spacing w:after="0" w:line="240" w:lineRule="auto"/>
      </w:pPr>
    </w:p>
    <w:p w14:paraId="2926101C" w14:textId="77777777" w:rsidR="00284B52" w:rsidRDefault="00284B52" w:rsidP="007A3FE4">
      <w:pPr>
        <w:spacing w:after="0" w:line="240" w:lineRule="auto"/>
      </w:pPr>
    </w:p>
    <w:p w14:paraId="4F2C829C" w14:textId="77777777" w:rsidR="00284B52" w:rsidRDefault="00284B52" w:rsidP="007A3FE4">
      <w:pPr>
        <w:spacing w:after="0" w:line="240" w:lineRule="auto"/>
      </w:pPr>
    </w:p>
    <w:p w14:paraId="5ABDA3AD" w14:textId="77777777" w:rsidR="00284B52" w:rsidRDefault="00284B52" w:rsidP="007A3FE4">
      <w:pPr>
        <w:spacing w:after="0" w:line="240" w:lineRule="auto"/>
      </w:pPr>
    </w:p>
    <w:p w14:paraId="189D8670" w14:textId="77777777" w:rsidR="00284B52" w:rsidRDefault="00284B52" w:rsidP="007A3FE4">
      <w:pPr>
        <w:spacing w:after="0" w:line="240" w:lineRule="auto"/>
      </w:pPr>
    </w:p>
    <w:p w14:paraId="70208FAB" w14:textId="77777777" w:rsidR="00284B52" w:rsidRDefault="00284B52" w:rsidP="007A3FE4">
      <w:pPr>
        <w:spacing w:after="0" w:line="240" w:lineRule="auto"/>
      </w:pPr>
    </w:p>
    <w:p w14:paraId="7410D66B" w14:textId="77777777" w:rsidR="00284B52" w:rsidRDefault="00284B52" w:rsidP="007A3FE4">
      <w:pPr>
        <w:spacing w:after="0" w:line="240" w:lineRule="auto"/>
      </w:pPr>
    </w:p>
    <w:p w14:paraId="7D0E16E2" w14:textId="77777777" w:rsidR="00284B52" w:rsidRDefault="00284B52" w:rsidP="007A3FE4">
      <w:pPr>
        <w:spacing w:after="0" w:line="240" w:lineRule="auto"/>
      </w:pPr>
    </w:p>
    <w:p w14:paraId="7B7871A7" w14:textId="77777777" w:rsidR="003107DC" w:rsidRDefault="003107DC" w:rsidP="007A3FE4">
      <w:pPr>
        <w:spacing w:after="0" w:line="240" w:lineRule="auto"/>
      </w:pPr>
    </w:p>
    <w:p w14:paraId="485909C3" w14:textId="77777777" w:rsidR="003107DC" w:rsidRDefault="003107DC" w:rsidP="007A3FE4">
      <w:pPr>
        <w:spacing w:after="0" w:line="240" w:lineRule="auto"/>
      </w:pPr>
    </w:p>
    <w:p w14:paraId="78DF1D6C" w14:textId="77777777" w:rsidR="003107DC" w:rsidRDefault="003107DC" w:rsidP="007A3FE4">
      <w:pPr>
        <w:spacing w:after="0" w:line="240" w:lineRule="auto"/>
      </w:pPr>
    </w:p>
    <w:tbl>
      <w:tblPr>
        <w:tblStyle w:val="TableGrid"/>
        <w:tblW w:w="0" w:type="auto"/>
        <w:tblLook w:val="04A0" w:firstRow="1" w:lastRow="0" w:firstColumn="1" w:lastColumn="0" w:noHBand="0" w:noVBand="1"/>
      </w:tblPr>
      <w:tblGrid>
        <w:gridCol w:w="9350"/>
      </w:tblGrid>
      <w:tr w:rsidR="00363D13" w:rsidRPr="00710973" w14:paraId="35AD0165" w14:textId="77777777" w:rsidTr="00BB5ACB">
        <w:trPr>
          <w:trHeight w:val="576"/>
        </w:trPr>
        <w:tc>
          <w:tcPr>
            <w:tcW w:w="9350" w:type="dxa"/>
            <w:shd w:val="clear" w:color="auto" w:fill="1F5383"/>
            <w:vAlign w:val="center"/>
          </w:tcPr>
          <w:p w14:paraId="3C7D803A" w14:textId="0CCD21E3" w:rsidR="00363D13" w:rsidRPr="006F66F2" w:rsidRDefault="00363D13" w:rsidP="00BB5ACB">
            <w:pPr>
              <w:rPr>
                <w:b/>
                <w:bCs/>
                <w:color w:val="FFFFFF" w:themeColor="background1"/>
              </w:rPr>
            </w:pPr>
            <w:r>
              <w:rPr>
                <w:b/>
                <w:bCs/>
                <w:color w:val="FFFFFF" w:themeColor="background1"/>
              </w:rPr>
              <w:t>Case Study: City of La Verne’s LHMP</w:t>
            </w:r>
          </w:p>
        </w:tc>
      </w:tr>
      <w:tr w:rsidR="00363D13" w14:paraId="0B44A288" w14:textId="77777777" w:rsidTr="007A3FE4">
        <w:trPr>
          <w:trHeight w:val="7776"/>
        </w:trPr>
        <w:tc>
          <w:tcPr>
            <w:tcW w:w="9350" w:type="dxa"/>
            <w:shd w:val="clear" w:color="auto" w:fill="DCEAF7"/>
          </w:tcPr>
          <w:p w14:paraId="37A89AB4" w14:textId="1D499AA8" w:rsidR="00363D13" w:rsidRPr="00224CC0" w:rsidRDefault="00363D13" w:rsidP="00224CC0">
            <w:pPr>
              <w:spacing w:before="120" w:after="160"/>
              <w:rPr>
                <w:color w:val="000000"/>
              </w:rPr>
            </w:pPr>
            <w:r>
              <w:rPr>
                <w:color w:val="000000"/>
              </w:rPr>
              <w:t xml:space="preserve">The </w:t>
            </w:r>
            <w:hyperlink r:id="rId301" w:history="1">
              <w:r>
                <w:rPr>
                  <w:rStyle w:val="Hyperlink"/>
                  <w:i/>
                  <w:iCs/>
                  <w:szCs w:val="22"/>
                </w:rPr>
                <w:t>City</w:t>
              </w:r>
              <w:r>
                <w:rPr>
                  <w:rStyle w:val="Hyperlink"/>
                  <w:i/>
                  <w:iCs/>
                </w:rPr>
                <w:t xml:space="preserve"> of La Verne LHMP 2026</w:t>
              </w:r>
            </w:hyperlink>
            <w:r>
              <w:rPr>
                <w:color w:val="000000"/>
              </w:rPr>
              <w:t xml:space="preserve"> lists its fiscal capabilities in </w:t>
            </w:r>
            <w:r>
              <w:rPr>
                <w:u w:val="single"/>
              </w:rPr>
              <w:fldChar w:fldCharType="begin"/>
            </w:r>
            <w:r>
              <w:rPr>
                <w:u w:val="single"/>
              </w:rPr>
              <w:instrText xml:space="preserve"> REF _Ref228453298 \h  \* MERGEFORMAT </w:instrText>
            </w:r>
            <w:r>
              <w:rPr>
                <w:u w:val="single"/>
              </w:rPr>
            </w:r>
            <w:r>
              <w:rPr>
                <w:u w:val="single"/>
              </w:rPr>
              <w:fldChar w:fldCharType="separate"/>
            </w:r>
            <w:r w:rsidR="00517691" w:rsidRPr="00517691">
              <w:rPr>
                <w:u w:val="single"/>
              </w:rPr>
              <w:t xml:space="preserve">Figure </w:t>
            </w:r>
            <w:r w:rsidR="00517691" w:rsidRPr="00517691">
              <w:rPr>
                <w:noProof/>
                <w:u w:val="single"/>
              </w:rPr>
              <w:t>26</w:t>
            </w:r>
            <w:r>
              <w:rPr>
                <w:u w:val="single"/>
              </w:rPr>
              <w:fldChar w:fldCharType="end"/>
            </w:r>
            <w:r>
              <w:rPr>
                <w:color w:val="000000"/>
              </w:rPr>
              <w:t>, along with how they can be improved in the future.</w:t>
            </w:r>
          </w:p>
          <w:tbl>
            <w:tblPr>
              <w:tblStyle w:val="TableGrid"/>
              <w:tblW w:w="0" w:type="auto"/>
              <w:tblLook w:val="04A0" w:firstRow="1" w:lastRow="0" w:firstColumn="1" w:lastColumn="0" w:noHBand="0" w:noVBand="1"/>
            </w:tblPr>
            <w:tblGrid>
              <w:gridCol w:w="9124"/>
            </w:tblGrid>
            <w:tr w:rsidR="00363D13" w14:paraId="71D31E0E" w14:textId="77777777" w:rsidTr="00F96CE0">
              <w:trPr>
                <w:trHeight w:val="432"/>
              </w:trPr>
              <w:tc>
                <w:tcPr>
                  <w:tcW w:w="9124" w:type="dxa"/>
                  <w:shd w:val="clear" w:color="auto" w:fill="000000" w:themeFill="text1"/>
                  <w:vAlign w:val="center"/>
                </w:tcPr>
                <w:p w14:paraId="5A43B066" w14:textId="258CA64C" w:rsidR="00363D13" w:rsidRPr="00DA1397" w:rsidRDefault="00363D13" w:rsidP="00F96CE0">
                  <w:pPr>
                    <w:rPr>
                      <w:b/>
                      <w:bCs/>
                      <w:color w:val="000000"/>
                      <w:sz w:val="22"/>
                    </w:rPr>
                  </w:pPr>
                  <w:bookmarkStart w:id="203" w:name="_Ref228453298"/>
                  <w:r>
                    <w:rPr>
                      <w:b/>
                      <w:bCs/>
                    </w:rPr>
                    <w:t xml:space="preserve">Figure </w:t>
                  </w:r>
                  <w:r>
                    <w:rPr>
                      <w:b/>
                      <w:bCs/>
                    </w:rPr>
                    <w:fldChar w:fldCharType="begin"/>
                  </w:r>
                  <w:r>
                    <w:rPr>
                      <w:b/>
                      <w:bCs/>
                    </w:rPr>
                    <w:instrText xml:space="preserve"> SEQ Figure \* ARABIC </w:instrText>
                  </w:r>
                  <w:r>
                    <w:rPr>
                      <w:b/>
                      <w:bCs/>
                    </w:rPr>
                    <w:fldChar w:fldCharType="separate"/>
                  </w:r>
                  <w:r w:rsidR="00517691">
                    <w:rPr>
                      <w:b/>
                      <w:bCs/>
                      <w:noProof/>
                    </w:rPr>
                    <w:t>26</w:t>
                  </w:r>
                  <w:r>
                    <w:rPr>
                      <w:b/>
                      <w:bCs/>
                    </w:rPr>
                    <w:fldChar w:fldCharType="end"/>
                  </w:r>
                  <w:bookmarkEnd w:id="203"/>
                  <w:r>
                    <w:rPr>
                      <w:b/>
                      <w:bCs/>
                    </w:rPr>
                    <w:t>. Excerpt from La Verne’s LHMP</w:t>
                  </w:r>
                </w:p>
              </w:tc>
            </w:tr>
            <w:tr w:rsidR="00363D13" w14:paraId="4A581575" w14:textId="77777777">
              <w:tc>
                <w:tcPr>
                  <w:tcW w:w="9124" w:type="dxa"/>
                  <w:shd w:val="clear" w:color="auto" w:fill="FFFFFF" w:themeFill="background1"/>
                </w:tcPr>
                <w:p w14:paraId="4B34F998" w14:textId="77777777" w:rsidR="00363D13" w:rsidRDefault="00363D13" w:rsidP="00224CC0">
                  <w:pPr>
                    <w:spacing w:before="120" w:after="120"/>
                    <w:jc w:val="center"/>
                    <w:rPr>
                      <w:color w:val="000000"/>
                      <w:sz w:val="22"/>
                    </w:rPr>
                  </w:pPr>
                  <w:r>
                    <w:rPr>
                      <w:noProof/>
                      <w:color w:val="000000"/>
                      <w:sz w:val="22"/>
                    </w:rPr>
                    <w:drawing>
                      <wp:inline distT="0" distB="0" distL="0" distR="0" wp14:anchorId="3F779EFE" wp14:editId="5AFE059B">
                        <wp:extent cx="5378217" cy="4245996"/>
                        <wp:effectExtent l="0" t="0" r="0" b="2540"/>
                        <wp:docPr id="1809158949" name="Picture 1" descr="Screenshot of section 15.3.4 of La Verne's LHMP with a table displaying current fiscal capabilities. Underneath the table, there is a paragraph description of how to expand on the existing fiscal cap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58949" name="Picture 1" descr="Screenshot of section 15.3.4 of La Verne's LHMP with a table displaying current fiscal capabilities. Underneath the table, there is a paragraph description of how to expand on the existing fiscal capabilities."/>
                                <pic:cNvPicPr/>
                              </pic:nvPicPr>
                              <pic:blipFill rotWithShape="1">
                                <a:blip r:embed="rId302"/>
                                <a:srcRect t="2525" b="3052"/>
                                <a:stretch>
                                  <a:fillRect/>
                                </a:stretch>
                              </pic:blipFill>
                              <pic:spPr bwMode="auto">
                                <a:xfrm>
                                  <a:off x="0" y="0"/>
                                  <a:ext cx="5398270" cy="42618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3C1028" w14:textId="67A65A07" w:rsidR="00363D13" w:rsidRPr="00224CC0" w:rsidRDefault="00224CC0" w:rsidP="00BB5ACB">
            <w:pPr>
              <w:rPr>
                <w:sz w:val="12"/>
                <w:szCs w:val="12"/>
              </w:rPr>
            </w:pPr>
            <w:r>
              <w:rPr>
                <w:sz w:val="12"/>
                <w:szCs w:val="12"/>
              </w:rPr>
              <w:t xml:space="preserve">  </w:t>
            </w:r>
          </w:p>
        </w:tc>
      </w:tr>
    </w:tbl>
    <w:p w14:paraId="7412D790" w14:textId="7553D545" w:rsidR="00CF71BD" w:rsidRPr="00BB38C6" w:rsidRDefault="003B2CE8" w:rsidP="00D47C97">
      <w:pPr>
        <w:pStyle w:val="Heading4"/>
        <w:spacing w:after="160" w:line="240" w:lineRule="auto"/>
      </w:pPr>
      <w:r>
        <w:t>Which Type of Tool is Most Appropriate?</w:t>
      </w:r>
    </w:p>
    <w:p w14:paraId="11E4A52E" w14:textId="6D3347B6" w:rsidR="00CF71BD" w:rsidRPr="00BB38C6" w:rsidRDefault="00CF71BD" w:rsidP="00D47C97">
      <w:pPr>
        <w:spacing w:before="160" w:line="240" w:lineRule="auto"/>
      </w:pPr>
      <w:r>
        <w:t>Adaptation and resilience projects may require large upfront expenditures; financing is often necessary since it may be difficult to pay for the construction of a multimillion-dollar project in full. To secure financing, project proponents must be able to identify and commit to securing a dependable revenue source that can repay investors over a longer time.</w:t>
      </w:r>
    </w:p>
    <w:p w14:paraId="0BA17E8D" w14:textId="65444D63" w:rsidR="00CF71BD" w:rsidRPr="00BB38C6" w:rsidRDefault="00CF71BD">
      <w:pPr>
        <w:pStyle w:val="ListParagraph"/>
        <w:numPr>
          <w:ilvl w:val="0"/>
          <w:numId w:val="17"/>
        </w:numPr>
        <w:spacing w:line="240" w:lineRule="auto"/>
      </w:pPr>
      <w:r>
        <w:rPr>
          <w:b/>
          <w:bCs/>
        </w:rPr>
        <w:t>Funding:</w:t>
      </w:r>
      <w:r>
        <w:t xml:space="preserve"> direct revenue or cash to pay for projects, e.g. through taxes, fees and grants</w:t>
      </w:r>
    </w:p>
    <w:p w14:paraId="4D809A79" w14:textId="15FD3D62" w:rsidR="00CF71BD" w:rsidRPr="00BB38C6" w:rsidRDefault="00CF71BD">
      <w:pPr>
        <w:pStyle w:val="ListParagraph"/>
        <w:numPr>
          <w:ilvl w:val="0"/>
          <w:numId w:val="17"/>
        </w:numPr>
        <w:spacing w:line="240" w:lineRule="auto"/>
      </w:pPr>
      <w:r>
        <w:rPr>
          <w:b/>
          <w:bCs/>
        </w:rPr>
        <w:t>Financing:</w:t>
      </w:r>
      <w:r>
        <w:t xml:space="preserve"> project payment over time by borrowing money from institutions; provision of the initial cash for the projects at a return rate, e.g. a loan or a bond</w:t>
      </w:r>
    </w:p>
    <w:p w14:paraId="483F0134" w14:textId="54D7BD4A" w:rsidR="00A4759B" w:rsidRDefault="00CF71BD" w:rsidP="00D47C97">
      <w:pPr>
        <w:spacing w:before="160" w:line="240" w:lineRule="auto"/>
      </w:pPr>
      <w:r>
        <w:t xml:space="preserve">There are many funding tools available for project development in California, and it is common for projects to be supported by a mix of such tools. To help develop an effective funding strategy, it is important to consider each relevant funding tool’s revenue potential, approval requirements, and cost burdens, as well as the administrative complexity of applying for and administering the funds. Additional criteria to evaluate tools may be useful for specific projects and contexts. For example, the 2018 </w:t>
      </w:r>
      <w:hyperlink r:id="rId303" w:history="1">
        <w:r>
          <w:rPr>
            <w:rStyle w:val="Hyperlink"/>
            <w:i/>
            <w:iCs/>
          </w:rPr>
          <w:t>Paying for Climate Adaptation in California: A Primer for Practitioners</w:t>
        </w:r>
      </w:hyperlink>
      <w:r>
        <w:rPr>
          <w:i/>
          <w:iCs/>
        </w:rPr>
        <w:t xml:space="preserve"> </w:t>
      </w:r>
      <w:r>
        <w:t>discusses</w:t>
      </w:r>
      <w:r>
        <w:rPr>
          <w:i/>
          <w:iCs/>
        </w:rPr>
        <w:t xml:space="preserve"> </w:t>
      </w:r>
      <w:r>
        <w:t>San Francisco’s seawall funding strategy project leaders considered whether or not the funding tool would divert money from other City needs.</w:t>
      </w:r>
    </w:p>
    <w:tbl>
      <w:tblPr>
        <w:tblStyle w:val="TableGrid"/>
        <w:tblW w:w="0" w:type="auto"/>
        <w:tblLook w:val="04A0" w:firstRow="1" w:lastRow="0" w:firstColumn="1" w:lastColumn="0" w:noHBand="0" w:noVBand="1"/>
      </w:tblPr>
      <w:tblGrid>
        <w:gridCol w:w="9350"/>
      </w:tblGrid>
      <w:tr w:rsidR="00AC0252" w:rsidRPr="000B0A91" w14:paraId="7F90CCDD" w14:textId="77777777" w:rsidTr="00A26E7F">
        <w:trPr>
          <w:trHeight w:val="576"/>
        </w:trPr>
        <w:tc>
          <w:tcPr>
            <w:tcW w:w="9350" w:type="dxa"/>
            <w:tcBorders>
              <w:top w:val="nil"/>
              <w:left w:val="nil"/>
              <w:bottom w:val="nil"/>
              <w:right w:val="nil"/>
            </w:tcBorders>
            <w:shd w:val="clear" w:color="auto" w:fill="58257F"/>
            <w:vAlign w:val="center"/>
          </w:tcPr>
          <w:p w14:paraId="20A54690" w14:textId="6AF03B08" w:rsidR="00AC0252" w:rsidRPr="00AC0252" w:rsidRDefault="00AC0252" w:rsidP="00A26E7F">
            <w:pPr>
              <w:pStyle w:val="CalloutBoxTitle"/>
              <w:rPr>
                <w:color w:val="FFFFFF" w:themeColor="background1"/>
              </w:rPr>
            </w:pPr>
            <w:r>
              <w:rPr>
                <w:color w:val="FFFFFF" w:themeColor="background1"/>
              </w:rPr>
              <w:t>Policy Connection: Key Legislation</w:t>
            </w:r>
          </w:p>
        </w:tc>
      </w:tr>
      <w:tr w:rsidR="00AC0252" w14:paraId="275AD6D1" w14:textId="77777777" w:rsidTr="00301A1C">
        <w:tc>
          <w:tcPr>
            <w:tcW w:w="9350" w:type="dxa"/>
            <w:tcBorders>
              <w:top w:val="nil"/>
              <w:left w:val="nil"/>
              <w:bottom w:val="nil"/>
              <w:right w:val="nil"/>
            </w:tcBorders>
            <w:shd w:val="clear" w:color="auto" w:fill="E4D2F2"/>
          </w:tcPr>
          <w:p w14:paraId="71103038" w14:textId="6B88F049" w:rsidR="00AC0252" w:rsidRPr="00BB38C6" w:rsidRDefault="00AC0252" w:rsidP="00224CC0">
            <w:pPr>
              <w:spacing w:before="120" w:after="160"/>
            </w:pPr>
            <w:hyperlink r:id="rId304" w:history="1">
              <w:r>
                <w:rPr>
                  <w:rStyle w:val="Hyperlink"/>
                </w:rPr>
                <w:t>California Prop. 13</w:t>
              </w:r>
            </w:hyperlink>
            <w:r>
              <w:t>, passed in 1978, limits property tax to no more than 1% of the house’s value in 1975 and limits annual increases to inflation or 2%, whichever is lower. It also requires a two-thirds majority vote of the state legislature to increase non-property taxes and a two-thirds majority vote for local governments for any special taxes.</w:t>
            </w:r>
          </w:p>
          <w:p w14:paraId="1516D0F4" w14:textId="1515CEA7" w:rsidR="00AC0252" w:rsidRDefault="00AC0252" w:rsidP="00224CC0">
            <w:pPr>
              <w:spacing w:after="120"/>
            </w:pPr>
            <w:hyperlink r:id="rId305" w:history="1">
              <w:r>
                <w:rPr>
                  <w:rStyle w:val="Hyperlink"/>
                </w:rPr>
                <w:t>California Prop. 26</w:t>
              </w:r>
            </w:hyperlink>
            <w:r>
              <w:t>, passed in 2010, requires a two-thirds supermajority for new taxes, levies, charges, and fees. This makes any new funding measures very challenging to approve without proper public engagement and education.</w:t>
            </w:r>
          </w:p>
        </w:tc>
      </w:tr>
    </w:tbl>
    <w:p w14:paraId="2CDE5444" w14:textId="368AFCFC" w:rsidR="00FB1F00" w:rsidRPr="00FB1F00" w:rsidRDefault="00262F13" w:rsidP="00A01225">
      <w:pPr>
        <w:spacing w:before="160" w:after="0" w:line="240" w:lineRule="auto"/>
        <w:rPr>
          <w:rFonts w:eastAsia="MS Mincho" w:cs="Arial"/>
          <w:b/>
          <w:bCs/>
        </w:rPr>
      </w:pPr>
      <w:r>
        <w:rPr>
          <w:rFonts w:eastAsia="MS Mincho" w:cs="Arial"/>
          <w:b/>
          <w:bCs/>
        </w:rPr>
        <w:t xml:space="preserve">Table </w:t>
      </w:r>
      <w:r>
        <w:rPr>
          <w:rFonts w:eastAsia="MS Mincho" w:cs="Arial"/>
          <w:b/>
          <w:bCs/>
        </w:rPr>
        <w:fldChar w:fldCharType="begin"/>
      </w:r>
      <w:r>
        <w:rPr>
          <w:rFonts w:eastAsia="MS Mincho" w:cs="Arial"/>
          <w:b/>
          <w:bCs/>
        </w:rPr>
        <w:instrText xml:space="preserve"> SEQ Table \* ARABIC </w:instrText>
      </w:r>
      <w:r>
        <w:rPr>
          <w:rFonts w:eastAsia="MS Mincho" w:cs="Arial"/>
          <w:b/>
          <w:bCs/>
        </w:rPr>
        <w:fldChar w:fldCharType="separate"/>
      </w:r>
      <w:r w:rsidR="00517691">
        <w:rPr>
          <w:rFonts w:eastAsia="MS Mincho" w:cs="Arial"/>
          <w:b/>
          <w:bCs/>
          <w:noProof/>
        </w:rPr>
        <w:t>20</w:t>
      </w:r>
      <w:r>
        <w:rPr>
          <w:rFonts w:eastAsia="MS Mincho" w:cs="Arial"/>
          <w:b/>
          <w:bCs/>
        </w:rPr>
        <w:fldChar w:fldCharType="end"/>
      </w:r>
      <w:r>
        <w:rPr>
          <w:rFonts w:eastAsia="MS Mincho" w:cs="Arial"/>
          <w:b/>
          <w:bCs/>
        </w:rPr>
        <w:t>. Funding tools</w:t>
      </w:r>
    </w:p>
    <w:tbl>
      <w:tblPr>
        <w:tblStyle w:val="TableGrid"/>
        <w:tblW w:w="9355" w:type="dxa"/>
        <w:tblLook w:val="06A0" w:firstRow="1" w:lastRow="0" w:firstColumn="1" w:lastColumn="0" w:noHBand="1" w:noVBand="1"/>
        <w:tblDescription w:val="16 potential funding tools with descriptions of who pays, key benefits, and key drawbacks for each tool"/>
      </w:tblPr>
      <w:tblGrid>
        <w:gridCol w:w="2121"/>
        <w:gridCol w:w="1597"/>
        <w:gridCol w:w="2857"/>
        <w:gridCol w:w="2780"/>
      </w:tblGrid>
      <w:tr w:rsidR="00CF71BD" w:rsidRPr="00BB38C6" w14:paraId="12E89C3D" w14:textId="77777777" w:rsidTr="003F23A7">
        <w:trPr>
          <w:cantSplit/>
          <w:trHeight w:val="300"/>
          <w:tblHeader/>
        </w:trPr>
        <w:tc>
          <w:tcPr>
            <w:tcW w:w="2121" w:type="dxa"/>
            <w:shd w:val="clear" w:color="auto" w:fill="000000" w:themeFill="text1"/>
          </w:tcPr>
          <w:p w14:paraId="4CD45343" w14:textId="148BE5BE" w:rsidR="00CF71BD" w:rsidRPr="00AE636D" w:rsidRDefault="00CF71BD" w:rsidP="00BB5ACB">
            <w:pPr>
              <w:rPr>
                <w:b/>
                <w:bCs/>
              </w:rPr>
            </w:pPr>
            <w:r>
              <w:rPr>
                <w:b/>
                <w:bCs/>
              </w:rPr>
              <w:t>Funding Tool</w:t>
            </w:r>
          </w:p>
        </w:tc>
        <w:tc>
          <w:tcPr>
            <w:tcW w:w="1597" w:type="dxa"/>
            <w:shd w:val="clear" w:color="auto" w:fill="000000" w:themeFill="text1"/>
          </w:tcPr>
          <w:p w14:paraId="088B1453" w14:textId="5DF74178" w:rsidR="00CF71BD" w:rsidRPr="00AE636D" w:rsidRDefault="00CF71BD" w:rsidP="00BB5ACB">
            <w:pPr>
              <w:rPr>
                <w:b/>
                <w:bCs/>
              </w:rPr>
            </w:pPr>
            <w:r>
              <w:rPr>
                <w:b/>
                <w:bCs/>
              </w:rPr>
              <w:t>Who Pays?</w:t>
            </w:r>
          </w:p>
        </w:tc>
        <w:tc>
          <w:tcPr>
            <w:tcW w:w="2857" w:type="dxa"/>
            <w:shd w:val="clear" w:color="auto" w:fill="000000" w:themeFill="text1"/>
          </w:tcPr>
          <w:p w14:paraId="5A97659B" w14:textId="5A1C3D59" w:rsidR="00CF71BD" w:rsidRPr="00AE636D" w:rsidRDefault="00CF71BD" w:rsidP="00BB5ACB">
            <w:pPr>
              <w:rPr>
                <w:b/>
                <w:bCs/>
              </w:rPr>
            </w:pPr>
            <w:r>
              <w:rPr>
                <w:b/>
                <w:bCs/>
              </w:rPr>
              <w:t>Key Benefits</w:t>
            </w:r>
          </w:p>
        </w:tc>
        <w:tc>
          <w:tcPr>
            <w:tcW w:w="2780" w:type="dxa"/>
            <w:shd w:val="clear" w:color="auto" w:fill="000000" w:themeFill="text1"/>
          </w:tcPr>
          <w:p w14:paraId="7D21C0A6" w14:textId="7586A0A6" w:rsidR="00CF71BD" w:rsidRPr="00AE636D" w:rsidRDefault="00CF71BD" w:rsidP="00BB5ACB">
            <w:pPr>
              <w:rPr>
                <w:b/>
                <w:bCs/>
              </w:rPr>
            </w:pPr>
            <w:r>
              <w:rPr>
                <w:b/>
                <w:bCs/>
              </w:rPr>
              <w:t>Key Drawbacks</w:t>
            </w:r>
          </w:p>
        </w:tc>
      </w:tr>
      <w:tr w:rsidR="00CF71BD" w:rsidRPr="00BB38C6" w14:paraId="3F2A0A9D" w14:textId="77777777" w:rsidTr="003F23A7">
        <w:trPr>
          <w:cantSplit/>
          <w:trHeight w:val="300"/>
        </w:trPr>
        <w:tc>
          <w:tcPr>
            <w:tcW w:w="2121" w:type="dxa"/>
          </w:tcPr>
          <w:p w14:paraId="00BE946D" w14:textId="77777777" w:rsidR="00CF71BD" w:rsidRPr="00BB38C6" w:rsidRDefault="00CF71BD" w:rsidP="00BB5ACB">
            <w:r>
              <w:t>Grants</w:t>
            </w:r>
          </w:p>
        </w:tc>
        <w:tc>
          <w:tcPr>
            <w:tcW w:w="1597" w:type="dxa"/>
          </w:tcPr>
          <w:p w14:paraId="2A50B8EB" w14:textId="3FA5D244" w:rsidR="00CF71BD" w:rsidRPr="00BB38C6" w:rsidRDefault="00CF71BD" w:rsidP="00BB5ACB">
            <w:r>
              <w:t>Federal, state, local funds / taxpayers</w:t>
            </w:r>
          </w:p>
        </w:tc>
        <w:tc>
          <w:tcPr>
            <w:tcW w:w="2857" w:type="dxa"/>
          </w:tcPr>
          <w:p w14:paraId="697F9B62" w14:textId="3EBDADB1" w:rsidR="004A456D" w:rsidRDefault="00CF71BD" w:rsidP="005A03DB">
            <w:pPr>
              <w:spacing w:after="160"/>
            </w:pPr>
            <w:r>
              <w:t>Money raised from broader geographies (e.g. federal level) can be invested locally,</w:t>
            </w:r>
          </w:p>
          <w:p w14:paraId="75D2E65C" w14:textId="2A01E5E2" w:rsidR="00CF71BD" w:rsidRPr="004A456D" w:rsidRDefault="00CF71BD" w:rsidP="00BB5ACB">
            <w:r>
              <w:t>Can be used to attract additional funding</w:t>
            </w:r>
          </w:p>
        </w:tc>
        <w:tc>
          <w:tcPr>
            <w:tcW w:w="2780" w:type="dxa"/>
          </w:tcPr>
          <w:p w14:paraId="55E3C216" w14:textId="2F516B3C" w:rsidR="002F02C2" w:rsidRDefault="00CF71BD" w:rsidP="005A03DB">
            <w:pPr>
              <w:spacing w:after="160"/>
            </w:pPr>
            <w:r>
              <w:t>High capacity is needed to apply for and manage and report on funds,</w:t>
            </w:r>
          </w:p>
          <w:p w14:paraId="36DC5EB5" w14:textId="1B4C7052" w:rsidR="00CF71BD" w:rsidRPr="00BB38C6" w:rsidRDefault="00CF71BD" w:rsidP="00BB5ACB">
            <w:r>
              <w:t>Redirects money that could be used for other purposes</w:t>
            </w:r>
          </w:p>
        </w:tc>
      </w:tr>
      <w:tr w:rsidR="00CF71BD" w:rsidRPr="00BB38C6" w14:paraId="2805A6EC" w14:textId="77777777" w:rsidTr="003F23A7">
        <w:trPr>
          <w:cantSplit/>
          <w:trHeight w:val="300"/>
        </w:trPr>
        <w:tc>
          <w:tcPr>
            <w:tcW w:w="2121" w:type="dxa"/>
            <w:shd w:val="clear" w:color="auto" w:fill="D9D9D9" w:themeFill="background1" w:themeFillShade="D9"/>
          </w:tcPr>
          <w:p w14:paraId="4AE6001A" w14:textId="77777777" w:rsidR="00CF71BD" w:rsidRPr="00BB38C6" w:rsidRDefault="00CF71BD" w:rsidP="00BB5ACB">
            <w:r>
              <w:t>Assessments</w:t>
            </w:r>
          </w:p>
        </w:tc>
        <w:tc>
          <w:tcPr>
            <w:tcW w:w="1597" w:type="dxa"/>
            <w:shd w:val="clear" w:color="auto" w:fill="D9D9D9" w:themeFill="background1" w:themeFillShade="D9"/>
          </w:tcPr>
          <w:p w14:paraId="749EC1D4" w14:textId="18D11FD5" w:rsidR="00CF71BD" w:rsidRPr="00BB38C6" w:rsidRDefault="00CF71BD" w:rsidP="00BB5ACB">
            <w:r>
              <w:t>Property Owners</w:t>
            </w:r>
          </w:p>
        </w:tc>
        <w:tc>
          <w:tcPr>
            <w:tcW w:w="2857" w:type="dxa"/>
            <w:shd w:val="clear" w:color="auto" w:fill="D9D9D9" w:themeFill="background1" w:themeFillShade="D9"/>
          </w:tcPr>
          <w:p w14:paraId="5539AB41" w14:textId="77777777" w:rsidR="006F3A7F" w:rsidRDefault="00CF71BD" w:rsidP="005A03DB">
            <w:pPr>
              <w:spacing w:after="160"/>
            </w:pPr>
            <w:r>
              <w:t>Costs linked to benefits,</w:t>
            </w:r>
          </w:p>
          <w:p w14:paraId="6F56CC60" w14:textId="206BCD28" w:rsidR="004A456D" w:rsidRDefault="00CF71BD" w:rsidP="005A03DB">
            <w:pPr>
              <w:spacing w:after="160"/>
            </w:pPr>
            <w:r>
              <w:t>Flexible geography,</w:t>
            </w:r>
          </w:p>
          <w:p w14:paraId="097EE0CC" w14:textId="11A43DB7" w:rsidR="00CF71BD" w:rsidRPr="00BB38C6" w:rsidRDefault="00CF71BD" w:rsidP="00BB5ACB">
            <w:r>
              <w:t>Not considered a tax under Prop. 26</w:t>
            </w:r>
          </w:p>
        </w:tc>
        <w:tc>
          <w:tcPr>
            <w:tcW w:w="2780" w:type="dxa"/>
            <w:shd w:val="clear" w:color="auto" w:fill="D9D9D9" w:themeFill="background1" w:themeFillShade="D9"/>
          </w:tcPr>
          <w:p w14:paraId="706B9212" w14:textId="279156F6" w:rsidR="002F02C2" w:rsidRDefault="00CF71BD" w:rsidP="005A03DB">
            <w:pPr>
              <w:spacing w:after="160"/>
            </w:pPr>
            <w:r>
              <w:t>Extensive documentation of benefits required,</w:t>
            </w:r>
          </w:p>
          <w:p w14:paraId="6382B279" w14:textId="126617E6" w:rsidR="00CF71BD" w:rsidRPr="00BB38C6" w:rsidRDefault="00CF71BD" w:rsidP="00BB5ACB">
            <w:r>
              <w:t>Approval requires support of most affected property owners</w:t>
            </w:r>
          </w:p>
        </w:tc>
      </w:tr>
      <w:tr w:rsidR="00CF71BD" w:rsidRPr="00BB38C6" w14:paraId="4543AC6A" w14:textId="77777777" w:rsidTr="003F23A7">
        <w:trPr>
          <w:cantSplit/>
          <w:trHeight w:val="300"/>
        </w:trPr>
        <w:tc>
          <w:tcPr>
            <w:tcW w:w="2121" w:type="dxa"/>
          </w:tcPr>
          <w:p w14:paraId="144EFB3B" w14:textId="77C17F22" w:rsidR="00CF71BD" w:rsidRPr="00BB38C6" w:rsidRDefault="00E84099" w:rsidP="00BB5ACB">
            <w:r>
              <w:t>Taxes: Ad valorem property tax for voter-approved debt</w:t>
            </w:r>
          </w:p>
        </w:tc>
        <w:tc>
          <w:tcPr>
            <w:tcW w:w="1597" w:type="dxa"/>
          </w:tcPr>
          <w:p w14:paraId="3508B0C5" w14:textId="41341C82" w:rsidR="00CF71BD" w:rsidRPr="00BB38C6" w:rsidRDefault="00CF71BD" w:rsidP="00BB5ACB">
            <w:r>
              <w:t>Property Owners</w:t>
            </w:r>
          </w:p>
        </w:tc>
        <w:tc>
          <w:tcPr>
            <w:tcW w:w="2857" w:type="dxa"/>
          </w:tcPr>
          <w:p w14:paraId="29724119" w14:textId="25632214" w:rsidR="00CF71BD" w:rsidRPr="00BB38C6" w:rsidRDefault="00CF71BD" w:rsidP="00BB5ACB">
            <w:r>
              <w:t>Potential for significant funding</w:t>
            </w:r>
          </w:p>
        </w:tc>
        <w:tc>
          <w:tcPr>
            <w:tcW w:w="2780" w:type="dxa"/>
          </w:tcPr>
          <w:p w14:paraId="1F381328" w14:textId="10BA59FF" w:rsidR="00CF71BD" w:rsidRPr="00BB38C6" w:rsidRDefault="00CF71BD" w:rsidP="00BB5ACB">
            <w:r>
              <w:t>Requires two-thirds voter approval</w:t>
            </w:r>
          </w:p>
        </w:tc>
      </w:tr>
      <w:tr w:rsidR="00CF71BD" w:rsidRPr="00BB38C6" w14:paraId="621FC49F" w14:textId="77777777" w:rsidTr="003F23A7">
        <w:trPr>
          <w:cantSplit/>
          <w:trHeight w:val="300"/>
        </w:trPr>
        <w:tc>
          <w:tcPr>
            <w:tcW w:w="2121" w:type="dxa"/>
            <w:shd w:val="clear" w:color="auto" w:fill="D9D9D9" w:themeFill="background1" w:themeFillShade="D9"/>
          </w:tcPr>
          <w:p w14:paraId="503A31E7" w14:textId="34FE970F" w:rsidR="00CF71BD" w:rsidRPr="00BB38C6" w:rsidRDefault="00E84099" w:rsidP="00BB5ACB">
            <w:r>
              <w:t>Taxes: Parcel tax</w:t>
            </w:r>
          </w:p>
        </w:tc>
        <w:tc>
          <w:tcPr>
            <w:tcW w:w="1597" w:type="dxa"/>
            <w:shd w:val="clear" w:color="auto" w:fill="D9D9D9" w:themeFill="background1" w:themeFillShade="D9"/>
          </w:tcPr>
          <w:p w14:paraId="63994B20" w14:textId="63AA3A98" w:rsidR="00CF71BD" w:rsidRPr="00BB38C6" w:rsidRDefault="00CF71BD" w:rsidP="00BB5ACB">
            <w:r>
              <w:t>Property Owners</w:t>
            </w:r>
          </w:p>
        </w:tc>
        <w:tc>
          <w:tcPr>
            <w:tcW w:w="2857" w:type="dxa"/>
            <w:shd w:val="clear" w:color="auto" w:fill="D9D9D9" w:themeFill="background1" w:themeFillShade="D9"/>
          </w:tcPr>
          <w:p w14:paraId="0AE3ED29" w14:textId="7A23F57D" w:rsidR="00CF71BD" w:rsidRPr="00BB38C6" w:rsidRDefault="00CF71BD" w:rsidP="00BB5ACB">
            <w:r>
              <w:t>Can be regional in scale Flexible use</w:t>
            </w:r>
          </w:p>
        </w:tc>
        <w:tc>
          <w:tcPr>
            <w:tcW w:w="2780" w:type="dxa"/>
            <w:shd w:val="clear" w:color="auto" w:fill="D9D9D9" w:themeFill="background1" w:themeFillShade="D9"/>
          </w:tcPr>
          <w:p w14:paraId="650DEBE6" w14:textId="419324FC" w:rsidR="00CF71BD" w:rsidRPr="00BB38C6" w:rsidRDefault="00CF71BD" w:rsidP="00BB5ACB">
            <w:r>
              <w:t>Requires two-thirds voter approval</w:t>
            </w:r>
          </w:p>
        </w:tc>
      </w:tr>
      <w:tr w:rsidR="00CF71BD" w:rsidRPr="00BB38C6" w14:paraId="4E036923" w14:textId="77777777" w:rsidTr="003F23A7">
        <w:trPr>
          <w:cantSplit/>
          <w:trHeight w:val="300"/>
        </w:trPr>
        <w:tc>
          <w:tcPr>
            <w:tcW w:w="2121" w:type="dxa"/>
          </w:tcPr>
          <w:p w14:paraId="77C70171" w14:textId="080BFFD2" w:rsidR="00CF71BD" w:rsidRPr="00BB38C6" w:rsidRDefault="00E84099" w:rsidP="00BB5ACB">
            <w:r>
              <w:t>Taxes: Tax-increment financing (TIF) or Climate Resilient Districts</w:t>
            </w:r>
          </w:p>
        </w:tc>
        <w:tc>
          <w:tcPr>
            <w:tcW w:w="1597" w:type="dxa"/>
          </w:tcPr>
          <w:p w14:paraId="288F4BA8" w14:textId="763D6743" w:rsidR="00CF71BD" w:rsidRPr="00BB38C6" w:rsidRDefault="00CF71BD" w:rsidP="00BB5ACB">
            <w:r>
              <w:t>Property Owners</w:t>
            </w:r>
          </w:p>
        </w:tc>
        <w:tc>
          <w:tcPr>
            <w:tcW w:w="2857" w:type="dxa"/>
          </w:tcPr>
          <w:p w14:paraId="1C562C66" w14:textId="70FFED1A" w:rsidR="00CF71BD" w:rsidRPr="00BB38C6" w:rsidRDefault="00CF71BD" w:rsidP="00BB5ACB">
            <w:r>
              <w:t>Not subject to Proposition 13 limitations</w:t>
            </w:r>
          </w:p>
        </w:tc>
        <w:tc>
          <w:tcPr>
            <w:tcW w:w="2780" w:type="dxa"/>
          </w:tcPr>
          <w:p w14:paraId="4E4C033B" w14:textId="39FDC6D3" w:rsidR="00162FF4" w:rsidRDefault="00CF71BD" w:rsidP="005A03DB">
            <w:pPr>
              <w:spacing w:after="160"/>
            </w:pPr>
            <w:r>
              <w:t>Issuance of TIF bond requires 55% voter approval in district,</w:t>
            </w:r>
          </w:p>
          <w:p w14:paraId="6F802DBA" w14:textId="2F8BD835" w:rsidR="00162FF4" w:rsidRDefault="00CF71BD" w:rsidP="005A03DB">
            <w:pPr>
              <w:spacing w:after="160"/>
            </w:pPr>
            <w:r>
              <w:t>Requires redirecting future property tax revenue,</w:t>
            </w:r>
          </w:p>
          <w:p w14:paraId="644567A7" w14:textId="42698860" w:rsidR="00162FF4" w:rsidRDefault="00162FF4" w:rsidP="005A03DB">
            <w:pPr>
              <w:spacing w:after="160"/>
            </w:pPr>
            <w:r>
              <w:t>Dependent on anticipated increases in value; limited for highly built-out areas,</w:t>
            </w:r>
          </w:p>
          <w:p w14:paraId="30F1F9A8" w14:textId="15D5684B" w:rsidR="00CF71BD" w:rsidRPr="00BB38C6" w:rsidRDefault="00162FF4" w:rsidP="005A03DB">
            <w:r>
              <w:t>Requires district property owners to voluntarily allocate increment to the district</w:t>
            </w:r>
          </w:p>
        </w:tc>
      </w:tr>
      <w:tr w:rsidR="00CF71BD" w:rsidRPr="00BB38C6" w14:paraId="3345204B" w14:textId="77777777" w:rsidTr="003F23A7">
        <w:trPr>
          <w:cantSplit/>
          <w:trHeight w:val="300"/>
        </w:trPr>
        <w:tc>
          <w:tcPr>
            <w:tcW w:w="2121" w:type="dxa"/>
            <w:shd w:val="clear" w:color="auto" w:fill="D9D9D9" w:themeFill="background1" w:themeFillShade="D9"/>
          </w:tcPr>
          <w:p w14:paraId="73E54C03" w14:textId="050EF9F7" w:rsidR="00CF71BD" w:rsidRPr="00BB38C6" w:rsidRDefault="00E84099" w:rsidP="00BB5ACB">
            <w:r>
              <w:t>Taxes: Mello-</w:t>
            </w:r>
            <w:proofErr w:type="spellStart"/>
            <w:r>
              <w:t>Roos</w:t>
            </w:r>
            <w:proofErr w:type="spellEnd"/>
            <w:r>
              <w:t xml:space="preserve"> tax</w:t>
            </w:r>
          </w:p>
        </w:tc>
        <w:tc>
          <w:tcPr>
            <w:tcW w:w="1597" w:type="dxa"/>
            <w:shd w:val="clear" w:color="auto" w:fill="D9D9D9" w:themeFill="background1" w:themeFillShade="D9"/>
          </w:tcPr>
          <w:p w14:paraId="3EA2094C" w14:textId="298EAE51" w:rsidR="00CF71BD" w:rsidRPr="00BB38C6" w:rsidRDefault="00CF71BD" w:rsidP="00BB5ACB">
            <w:r>
              <w:t>Property Owners</w:t>
            </w:r>
          </w:p>
        </w:tc>
        <w:tc>
          <w:tcPr>
            <w:tcW w:w="2857" w:type="dxa"/>
            <w:shd w:val="clear" w:color="auto" w:fill="D9D9D9" w:themeFill="background1" w:themeFillShade="D9"/>
          </w:tcPr>
          <w:p w14:paraId="694B8C56" w14:textId="04026020" w:rsidR="00CF71BD" w:rsidRPr="00BB38C6" w:rsidRDefault="00CF71BD" w:rsidP="005A03DB">
            <w:pPr>
              <w:spacing w:after="160"/>
            </w:pPr>
            <w:r>
              <w:t>Low approval thresholds for new development,</w:t>
            </w:r>
          </w:p>
          <w:p w14:paraId="1253B662" w14:textId="0DA79547" w:rsidR="00CF71BD" w:rsidRPr="00BB38C6" w:rsidRDefault="00CF71BD" w:rsidP="005A03DB">
            <w:pPr>
              <w:spacing w:after="160"/>
            </w:pPr>
            <w:r>
              <w:t>Boundaries do not need to be contiguous,</w:t>
            </w:r>
          </w:p>
          <w:p w14:paraId="308879BC" w14:textId="07E6B802" w:rsidR="00CF71BD" w:rsidRPr="00BB38C6" w:rsidRDefault="00CF71BD" w:rsidP="005A03DB">
            <w:r>
              <w:t>Tax could be based on relative risk-reducing benefits</w:t>
            </w:r>
          </w:p>
        </w:tc>
        <w:tc>
          <w:tcPr>
            <w:tcW w:w="2780" w:type="dxa"/>
            <w:shd w:val="clear" w:color="auto" w:fill="D9D9D9" w:themeFill="background1" w:themeFillShade="D9"/>
          </w:tcPr>
          <w:p w14:paraId="7EB2FA9C" w14:textId="729CBB60" w:rsidR="00CF71BD" w:rsidRPr="00BB38C6" w:rsidRDefault="006F3A7F" w:rsidP="00BB5ACB">
            <w:r>
              <w:t>Requires two-thirds approval of district’s registered voters if there are more than 12 registered voters</w:t>
            </w:r>
          </w:p>
        </w:tc>
      </w:tr>
      <w:tr w:rsidR="00CF71BD" w:rsidRPr="00BB38C6" w14:paraId="5A2568BB" w14:textId="77777777" w:rsidTr="003F23A7">
        <w:trPr>
          <w:cantSplit/>
          <w:trHeight w:val="300"/>
        </w:trPr>
        <w:tc>
          <w:tcPr>
            <w:tcW w:w="2121" w:type="dxa"/>
          </w:tcPr>
          <w:p w14:paraId="7DF4AD31" w14:textId="7BD30D3B" w:rsidR="00CF71BD" w:rsidRPr="00BB38C6" w:rsidRDefault="00E84099" w:rsidP="00BB5ACB">
            <w:r>
              <w:t>Taxes: Other taxes (e.g., sales, gas, hotel, utility users, business license)</w:t>
            </w:r>
          </w:p>
        </w:tc>
        <w:tc>
          <w:tcPr>
            <w:tcW w:w="1597" w:type="dxa"/>
          </w:tcPr>
          <w:p w14:paraId="2EA529BD" w14:textId="72488C93" w:rsidR="00CF71BD" w:rsidRPr="00BB38C6" w:rsidRDefault="00CF71BD" w:rsidP="00BB5ACB">
            <w:r>
              <w:t>Residents, Businesses, Visitors</w:t>
            </w:r>
          </w:p>
        </w:tc>
        <w:tc>
          <w:tcPr>
            <w:tcW w:w="2857" w:type="dxa"/>
          </w:tcPr>
          <w:p w14:paraId="0DDF6973" w14:textId="3B1DAEAC" w:rsidR="00E64C6C" w:rsidRDefault="00CF71BD" w:rsidP="005A03DB">
            <w:pPr>
              <w:spacing w:after="160"/>
            </w:pPr>
            <w:r>
              <w:t>Typically, general taxes, which require only a simple majority for cities and counties to levy (less than two-thirds threshold for special taxes) or two-thirds of legislature for state general taxes,</w:t>
            </w:r>
          </w:p>
          <w:p w14:paraId="113EF1BC" w14:textId="2FB5DBCE" w:rsidR="00CF71BD" w:rsidRPr="00BB38C6" w:rsidRDefault="00CF71BD" w:rsidP="00BB5ACB">
            <w:r>
              <w:t>Flexible use</w:t>
            </w:r>
          </w:p>
        </w:tc>
        <w:tc>
          <w:tcPr>
            <w:tcW w:w="2780" w:type="dxa"/>
          </w:tcPr>
          <w:p w14:paraId="36CC6402" w14:textId="71E30B57" w:rsidR="00CF71BD" w:rsidRPr="00BB38C6" w:rsidRDefault="00CF71BD" w:rsidP="00BB5ACB">
            <w:r>
              <w:t>Can be regressive</w:t>
            </w:r>
          </w:p>
        </w:tc>
      </w:tr>
      <w:tr w:rsidR="00CF71BD" w:rsidRPr="00BB38C6" w14:paraId="64B573D8" w14:textId="77777777" w:rsidTr="003F23A7">
        <w:trPr>
          <w:cantSplit/>
          <w:trHeight w:val="300"/>
        </w:trPr>
        <w:tc>
          <w:tcPr>
            <w:tcW w:w="2121" w:type="dxa"/>
            <w:shd w:val="clear" w:color="auto" w:fill="D9D9D9" w:themeFill="background1" w:themeFillShade="D9"/>
          </w:tcPr>
          <w:p w14:paraId="391C2BA5" w14:textId="6F5728AB" w:rsidR="00CF71BD" w:rsidRPr="00BB38C6" w:rsidRDefault="00E84099" w:rsidP="00BB5ACB">
            <w:r>
              <w:t>Fees: Property-Related Fees: Water, stormwater, and wastewater fees</w:t>
            </w:r>
          </w:p>
        </w:tc>
        <w:tc>
          <w:tcPr>
            <w:tcW w:w="1597" w:type="dxa"/>
            <w:shd w:val="clear" w:color="auto" w:fill="D9D9D9" w:themeFill="background1" w:themeFillShade="D9"/>
          </w:tcPr>
          <w:p w14:paraId="08C3369B" w14:textId="77777777" w:rsidR="00CF71BD" w:rsidRPr="00BB38C6" w:rsidRDefault="00CF71BD" w:rsidP="00BB5ACB">
            <w:r>
              <w:t>Users</w:t>
            </w:r>
          </w:p>
        </w:tc>
        <w:tc>
          <w:tcPr>
            <w:tcW w:w="2857" w:type="dxa"/>
            <w:shd w:val="clear" w:color="auto" w:fill="D9D9D9" w:themeFill="background1" w:themeFillShade="D9"/>
          </w:tcPr>
          <w:p w14:paraId="1E446E5C" w14:textId="56C25810" w:rsidR="00E64C6C" w:rsidRDefault="00CF71BD" w:rsidP="0031151C">
            <w:pPr>
              <w:spacing w:after="160"/>
            </w:pPr>
            <w:r>
              <w:t>Majority protest threshold for publicly owned utilities is lower than other voter approval thresholds,</w:t>
            </w:r>
          </w:p>
          <w:p w14:paraId="4E283543" w14:textId="76A9BB8A" w:rsidR="00E64C6C" w:rsidRDefault="00CF71BD" w:rsidP="0031151C">
            <w:pPr>
              <w:spacing w:after="160"/>
            </w:pPr>
            <w:r>
              <w:t>Privately owned water utilities are exempt from Proposition 218 (these deliver water to roughly 20% of the state’s residents),</w:t>
            </w:r>
          </w:p>
          <w:p w14:paraId="44128DBC" w14:textId="4CE669A9" w:rsidR="00CF71BD" w:rsidRPr="00BB38C6" w:rsidRDefault="00CF71BD" w:rsidP="00BB5ACB">
            <w:r>
              <w:t>Not considered a tax under Prop. 26</w:t>
            </w:r>
          </w:p>
        </w:tc>
        <w:tc>
          <w:tcPr>
            <w:tcW w:w="2780" w:type="dxa"/>
            <w:shd w:val="clear" w:color="auto" w:fill="D9D9D9" w:themeFill="background1" w:themeFillShade="D9"/>
          </w:tcPr>
          <w:p w14:paraId="48CC3D54" w14:textId="72CF951F" w:rsidR="00E64C6C" w:rsidRDefault="00CF71BD" w:rsidP="0031151C">
            <w:pPr>
              <w:spacing w:after="160"/>
            </w:pPr>
            <w:r>
              <w:t>Publicly owned utilities subject to Proposition 218,</w:t>
            </w:r>
          </w:p>
          <w:p w14:paraId="4F21F083" w14:textId="4E7A494E" w:rsidR="00E64C6C" w:rsidRDefault="00CF71BD" w:rsidP="0031151C">
            <w:pPr>
              <w:spacing w:after="160"/>
            </w:pPr>
            <w:r>
              <w:t>Funds raised must directly support operations and rates cannot be tiered to address affordability issues,</w:t>
            </w:r>
          </w:p>
          <w:p w14:paraId="16D42C55" w14:textId="0E856CB7" w:rsidR="00CF71BD" w:rsidRPr="00BB38C6" w:rsidRDefault="00CF71BD" w:rsidP="00BB5ACB">
            <w:r>
              <w:t>Private utilities’ rate setting is regulated by the California Public Utilities Commission (CPUC)</w:t>
            </w:r>
          </w:p>
        </w:tc>
      </w:tr>
      <w:tr w:rsidR="00CF71BD" w:rsidRPr="00BB38C6" w14:paraId="5DB03BE5" w14:textId="77777777" w:rsidTr="003F23A7">
        <w:trPr>
          <w:cantSplit/>
          <w:trHeight w:val="300"/>
        </w:trPr>
        <w:tc>
          <w:tcPr>
            <w:tcW w:w="2121" w:type="dxa"/>
          </w:tcPr>
          <w:p w14:paraId="202A23CD" w14:textId="13AE253C" w:rsidR="00CF71BD" w:rsidRPr="00BB38C6" w:rsidRDefault="00E84099" w:rsidP="00BB5ACB">
            <w:r>
              <w:t>Fees: Non-Property-Related Fees: Gas, electric fees</w:t>
            </w:r>
          </w:p>
        </w:tc>
        <w:tc>
          <w:tcPr>
            <w:tcW w:w="1597" w:type="dxa"/>
          </w:tcPr>
          <w:p w14:paraId="0BAC2C65" w14:textId="77777777" w:rsidR="00CF71BD" w:rsidRPr="00BB38C6" w:rsidRDefault="00CF71BD" w:rsidP="00BB5ACB">
            <w:r>
              <w:t>Users</w:t>
            </w:r>
          </w:p>
        </w:tc>
        <w:tc>
          <w:tcPr>
            <w:tcW w:w="2857" w:type="dxa"/>
          </w:tcPr>
          <w:p w14:paraId="318BFCD4" w14:textId="76CA2EFC" w:rsidR="00E64C6C" w:rsidRDefault="00CF71BD" w:rsidP="005A03DB">
            <w:pPr>
              <w:spacing w:after="160"/>
            </w:pPr>
            <w:r>
              <w:t>Not subject to Proposition 218,</w:t>
            </w:r>
          </w:p>
          <w:p w14:paraId="6DC779C9" w14:textId="5E943FD7" w:rsidR="00E64C6C" w:rsidRDefault="00CF71BD" w:rsidP="005A03DB">
            <w:pPr>
              <w:spacing w:after="160"/>
            </w:pPr>
            <w:r>
              <w:t>No voter approval required,</w:t>
            </w:r>
          </w:p>
          <w:p w14:paraId="672FC5A7" w14:textId="42C07467" w:rsidR="00CF71BD" w:rsidRPr="00BB38C6" w:rsidRDefault="00E64C6C" w:rsidP="00BB5ACB">
            <w:r>
              <w:t>Not considered a tax under Prop. 26</w:t>
            </w:r>
          </w:p>
        </w:tc>
        <w:tc>
          <w:tcPr>
            <w:tcW w:w="2780" w:type="dxa"/>
          </w:tcPr>
          <w:p w14:paraId="65F313BE" w14:textId="630CC1EB" w:rsidR="00E64C6C" w:rsidRDefault="00CF71BD" w:rsidP="005A03DB">
            <w:pPr>
              <w:spacing w:after="160"/>
            </w:pPr>
            <w:r>
              <w:t>Funds raised must directly support operations,</w:t>
            </w:r>
          </w:p>
          <w:p w14:paraId="2EBE82E4" w14:textId="4C9A81D3" w:rsidR="00CF71BD" w:rsidRPr="00BB38C6" w:rsidRDefault="00CF71BD" w:rsidP="00BB5ACB">
            <w:r>
              <w:t>Rate setting regulated by CPUC for investor-owned utilities or by elected boards for publicly owned utilities</w:t>
            </w:r>
          </w:p>
        </w:tc>
      </w:tr>
      <w:tr w:rsidR="00CF71BD" w:rsidRPr="00BB38C6" w14:paraId="13FDE1C7" w14:textId="77777777" w:rsidTr="003F23A7">
        <w:trPr>
          <w:cantSplit/>
          <w:trHeight w:val="300"/>
        </w:trPr>
        <w:tc>
          <w:tcPr>
            <w:tcW w:w="2121" w:type="dxa"/>
            <w:shd w:val="clear" w:color="auto" w:fill="D9D9D9" w:themeFill="background1" w:themeFillShade="D9"/>
          </w:tcPr>
          <w:p w14:paraId="4CF69C94" w14:textId="1D2C865B" w:rsidR="00CF71BD" w:rsidRPr="00BB38C6" w:rsidRDefault="00E84099" w:rsidP="00BB5ACB">
            <w:r>
              <w:t>Fees: Developer impact fees</w:t>
            </w:r>
          </w:p>
        </w:tc>
        <w:tc>
          <w:tcPr>
            <w:tcW w:w="1597" w:type="dxa"/>
            <w:shd w:val="clear" w:color="auto" w:fill="D9D9D9" w:themeFill="background1" w:themeFillShade="D9"/>
          </w:tcPr>
          <w:p w14:paraId="2BE1B22F" w14:textId="1A5C915B" w:rsidR="00CF71BD" w:rsidRPr="00BB38C6" w:rsidRDefault="00CF71BD" w:rsidP="00BB5ACB">
            <w:r>
              <w:t>Developers, Property Owners</w:t>
            </w:r>
          </w:p>
        </w:tc>
        <w:tc>
          <w:tcPr>
            <w:tcW w:w="2857" w:type="dxa"/>
            <w:shd w:val="clear" w:color="auto" w:fill="D9D9D9" w:themeFill="background1" w:themeFillShade="D9"/>
          </w:tcPr>
          <w:p w14:paraId="198FDEA3" w14:textId="4BFA8791" w:rsidR="00E64C6C" w:rsidRDefault="00CF71BD" w:rsidP="005A03DB">
            <w:pPr>
              <w:spacing w:after="160"/>
            </w:pPr>
            <w:r>
              <w:t>Can be used to ensure new development is resilient,</w:t>
            </w:r>
          </w:p>
          <w:p w14:paraId="18C9E59C" w14:textId="77777777" w:rsidR="0031151C" w:rsidRDefault="00CF71BD" w:rsidP="0031151C">
            <w:pPr>
              <w:spacing w:after="160"/>
            </w:pPr>
            <w:r>
              <w:t>No voter approval required</w:t>
            </w:r>
          </w:p>
          <w:p w14:paraId="0C7D7571" w14:textId="1F1A98D2" w:rsidR="00CF71BD" w:rsidRPr="00BB38C6" w:rsidRDefault="0031151C" w:rsidP="00BB5ACB">
            <w:r>
              <w:t>Not considered a tax under Prop. 26</w:t>
            </w:r>
          </w:p>
        </w:tc>
        <w:tc>
          <w:tcPr>
            <w:tcW w:w="2780" w:type="dxa"/>
            <w:shd w:val="clear" w:color="auto" w:fill="D9D9D9" w:themeFill="background1" w:themeFillShade="D9"/>
          </w:tcPr>
          <w:p w14:paraId="77D4E546" w14:textId="6FBC747A" w:rsidR="00E64C6C" w:rsidRDefault="00CF71BD" w:rsidP="005A03DB">
            <w:pPr>
              <w:spacing w:after="160"/>
            </w:pPr>
            <w:r>
              <w:t>Tied to market conditions which are often cyclical and difficult to forecast,</w:t>
            </w:r>
          </w:p>
          <w:p w14:paraId="440F24A7" w14:textId="1FBB129A" w:rsidR="00CF71BD" w:rsidRPr="00BB38C6" w:rsidRDefault="00CF71BD" w:rsidP="00BB5ACB">
            <w:r>
              <w:t>Requires new development/major redevelopment to manifest resilience at a meaningful scale</w:t>
            </w:r>
          </w:p>
        </w:tc>
      </w:tr>
      <w:tr w:rsidR="00CF71BD" w:rsidRPr="00BB38C6" w14:paraId="5D8572BF" w14:textId="77777777" w:rsidTr="003F23A7">
        <w:trPr>
          <w:cantSplit/>
          <w:trHeight w:val="300"/>
        </w:trPr>
        <w:tc>
          <w:tcPr>
            <w:tcW w:w="2121" w:type="dxa"/>
          </w:tcPr>
          <w:p w14:paraId="0DCB513C" w14:textId="13F2F1E2" w:rsidR="00CF71BD" w:rsidRPr="00BB38C6" w:rsidRDefault="00E84099" w:rsidP="00BB5ACB">
            <w:r>
              <w:t>Fees: Other user fees (e.g., Transit fares, tolls)</w:t>
            </w:r>
          </w:p>
        </w:tc>
        <w:tc>
          <w:tcPr>
            <w:tcW w:w="1597" w:type="dxa"/>
          </w:tcPr>
          <w:p w14:paraId="4BF81847" w14:textId="77777777" w:rsidR="00CF71BD" w:rsidRPr="00BB38C6" w:rsidRDefault="00CF71BD" w:rsidP="00BB5ACB">
            <w:r>
              <w:t>Users</w:t>
            </w:r>
          </w:p>
        </w:tc>
        <w:tc>
          <w:tcPr>
            <w:tcW w:w="2857" w:type="dxa"/>
          </w:tcPr>
          <w:p w14:paraId="07C83F74" w14:textId="1C3188CB" w:rsidR="00CF71BD" w:rsidRPr="00BB38C6" w:rsidRDefault="00CF71BD" w:rsidP="00BB5ACB">
            <w:r>
              <w:t>Fees charged to those who use and benefit from the services</w:t>
            </w:r>
          </w:p>
        </w:tc>
        <w:tc>
          <w:tcPr>
            <w:tcW w:w="2780" w:type="dxa"/>
          </w:tcPr>
          <w:p w14:paraId="2836E895" w14:textId="5060A9C0" w:rsidR="00CF71BD" w:rsidRPr="00BB38C6" w:rsidRDefault="00CF71BD" w:rsidP="00BB5ACB">
            <w:r>
              <w:t>Participation of disadvantaged and vulnerable communities may be limited without subsidies/affordability programs</w:t>
            </w:r>
          </w:p>
        </w:tc>
      </w:tr>
      <w:tr w:rsidR="00CF71BD" w:rsidRPr="00BB38C6" w14:paraId="19DA2C97" w14:textId="77777777" w:rsidTr="003F23A7">
        <w:trPr>
          <w:cantSplit/>
          <w:trHeight w:val="300"/>
        </w:trPr>
        <w:tc>
          <w:tcPr>
            <w:tcW w:w="2121" w:type="dxa"/>
            <w:shd w:val="clear" w:color="auto" w:fill="D9D9D9" w:themeFill="background1" w:themeFillShade="D9"/>
          </w:tcPr>
          <w:p w14:paraId="7B10C6D2" w14:textId="2D483A7E" w:rsidR="00CF71BD" w:rsidRPr="00BB38C6" w:rsidRDefault="00E84099" w:rsidP="00BB5ACB">
            <w:r>
              <w:t>Private Involvement: Business Improvement Districts</w:t>
            </w:r>
          </w:p>
        </w:tc>
        <w:tc>
          <w:tcPr>
            <w:tcW w:w="1597" w:type="dxa"/>
            <w:shd w:val="clear" w:color="auto" w:fill="D9D9D9" w:themeFill="background1" w:themeFillShade="D9"/>
          </w:tcPr>
          <w:p w14:paraId="4DA85735" w14:textId="4D600679" w:rsidR="00CF71BD" w:rsidRPr="00BB38C6" w:rsidRDefault="00CF71BD" w:rsidP="00BB5ACB">
            <w:r>
              <w:t>Businesses, Consumers</w:t>
            </w:r>
          </w:p>
        </w:tc>
        <w:tc>
          <w:tcPr>
            <w:tcW w:w="2857" w:type="dxa"/>
            <w:shd w:val="clear" w:color="auto" w:fill="D9D9D9" w:themeFill="background1" w:themeFillShade="D9"/>
          </w:tcPr>
          <w:p w14:paraId="6193ED47" w14:textId="2C4012CE" w:rsidR="00F47539" w:rsidRDefault="00CF71BD" w:rsidP="005A03DB">
            <w:pPr>
              <w:spacing w:after="160"/>
            </w:pPr>
            <w:r>
              <w:t>Useful for district-wide infrastructure that could benefit from economies of scale (e.g., stormwater infrastructure),</w:t>
            </w:r>
          </w:p>
          <w:p w14:paraId="4E265BE7" w14:textId="5C1E0521" w:rsidR="00CF71BD" w:rsidRPr="00BB38C6" w:rsidRDefault="00F47539" w:rsidP="00BB5ACB">
            <w:r>
              <w:t>Contributes private revenues to public or shared goods</w:t>
            </w:r>
          </w:p>
        </w:tc>
        <w:tc>
          <w:tcPr>
            <w:tcW w:w="2780" w:type="dxa"/>
            <w:shd w:val="clear" w:color="auto" w:fill="D9D9D9" w:themeFill="background1" w:themeFillShade="D9"/>
          </w:tcPr>
          <w:p w14:paraId="1C80B84E" w14:textId="6E9233CE" w:rsidR="008123C9" w:rsidRDefault="00CF71BD" w:rsidP="00BB5ACB">
            <w:r>
              <w:t>Limited revenue generation,</w:t>
            </w:r>
          </w:p>
          <w:p w14:paraId="30A089FB" w14:textId="34B908A5" w:rsidR="00CF71BD" w:rsidRPr="00BB38C6" w:rsidRDefault="00CF71BD" w:rsidP="00BB5ACB">
            <w:r>
              <w:t>Require contiguous boundaries</w:t>
            </w:r>
          </w:p>
        </w:tc>
      </w:tr>
      <w:tr w:rsidR="00CF71BD" w:rsidRPr="00BB38C6" w14:paraId="204417E9" w14:textId="77777777" w:rsidTr="003F23A7">
        <w:trPr>
          <w:cantSplit/>
          <w:trHeight w:val="300"/>
        </w:trPr>
        <w:tc>
          <w:tcPr>
            <w:tcW w:w="2121" w:type="dxa"/>
          </w:tcPr>
          <w:p w14:paraId="61ED5E7E" w14:textId="586E46BE" w:rsidR="00CF71BD" w:rsidRPr="00BB38C6" w:rsidRDefault="00E84099" w:rsidP="00BB5ACB">
            <w:r>
              <w:t>Private Involvement: Enterprise revenues (e.g., naming rights, concessions)</w:t>
            </w:r>
          </w:p>
        </w:tc>
        <w:tc>
          <w:tcPr>
            <w:tcW w:w="1597" w:type="dxa"/>
          </w:tcPr>
          <w:p w14:paraId="6A4EE61B" w14:textId="77777777" w:rsidR="00CF71BD" w:rsidRPr="00BB38C6" w:rsidRDefault="00CF71BD" w:rsidP="00BB5ACB">
            <w:r>
              <w:t>Businesses</w:t>
            </w:r>
          </w:p>
        </w:tc>
        <w:tc>
          <w:tcPr>
            <w:tcW w:w="2857" w:type="dxa"/>
          </w:tcPr>
          <w:p w14:paraId="5F6BD541" w14:textId="7E33498E" w:rsidR="00F47539" w:rsidRDefault="00CF71BD" w:rsidP="005A03DB">
            <w:pPr>
              <w:spacing w:after="160"/>
            </w:pPr>
            <w:r>
              <w:t>Contributes private revenues to public good,</w:t>
            </w:r>
          </w:p>
          <w:p w14:paraId="6FDE8DF2" w14:textId="6A80770F" w:rsidR="00CF71BD" w:rsidRPr="00BB38C6" w:rsidRDefault="00CF71BD" w:rsidP="00BB5ACB">
            <w:r>
              <w:t>Effective for funding operations and maintenance expenses</w:t>
            </w:r>
          </w:p>
        </w:tc>
        <w:tc>
          <w:tcPr>
            <w:tcW w:w="2780" w:type="dxa"/>
          </w:tcPr>
          <w:p w14:paraId="14CE7916" w14:textId="488C9658" w:rsidR="00F47539" w:rsidRDefault="00CF71BD" w:rsidP="005A03DB">
            <w:pPr>
              <w:spacing w:after="160"/>
            </w:pPr>
            <w:r>
              <w:t>Limited revenue generation,</w:t>
            </w:r>
          </w:p>
          <w:p w14:paraId="47F86B95" w14:textId="3B075EE6" w:rsidR="00CF71BD" w:rsidRPr="00BB38C6" w:rsidRDefault="00CF71BD" w:rsidP="00BB5ACB">
            <w:r>
              <w:t>Commercialization of and less public control over public space</w:t>
            </w:r>
          </w:p>
        </w:tc>
      </w:tr>
      <w:tr w:rsidR="00CF71BD" w:rsidRPr="00BB38C6" w14:paraId="370AA8D5" w14:textId="77777777" w:rsidTr="003F23A7">
        <w:trPr>
          <w:cantSplit/>
          <w:trHeight w:val="300"/>
        </w:trPr>
        <w:tc>
          <w:tcPr>
            <w:tcW w:w="2121" w:type="dxa"/>
            <w:shd w:val="clear" w:color="auto" w:fill="D9D9D9" w:themeFill="background1" w:themeFillShade="D9"/>
          </w:tcPr>
          <w:p w14:paraId="6F5604E2" w14:textId="46BA36D0" w:rsidR="00CF71BD" w:rsidRPr="00BB38C6" w:rsidRDefault="00E84099" w:rsidP="00BB5ACB">
            <w:r>
              <w:t>Private Involvement: Incentives (e.g., exemptions, discounts)</w:t>
            </w:r>
          </w:p>
        </w:tc>
        <w:tc>
          <w:tcPr>
            <w:tcW w:w="1597" w:type="dxa"/>
            <w:shd w:val="clear" w:color="auto" w:fill="D9D9D9" w:themeFill="background1" w:themeFillShade="D9"/>
          </w:tcPr>
          <w:p w14:paraId="520637A1" w14:textId="3D647108" w:rsidR="00CF71BD" w:rsidRPr="00BB38C6" w:rsidRDefault="00CF71BD" w:rsidP="00BB5ACB">
            <w:r>
              <w:t>Businesses, Developers, Property Owners</w:t>
            </w:r>
          </w:p>
        </w:tc>
        <w:tc>
          <w:tcPr>
            <w:tcW w:w="2857" w:type="dxa"/>
            <w:shd w:val="clear" w:color="auto" w:fill="D9D9D9" w:themeFill="background1" w:themeFillShade="D9"/>
          </w:tcPr>
          <w:p w14:paraId="5390FA1F" w14:textId="02356C0A" w:rsidR="00CF71BD" w:rsidRPr="00BB38C6" w:rsidRDefault="00CF71BD" w:rsidP="00BB5ACB">
            <w:r>
              <w:t>Encourages investment that may otherwise not occur</w:t>
            </w:r>
          </w:p>
        </w:tc>
        <w:tc>
          <w:tcPr>
            <w:tcW w:w="2780" w:type="dxa"/>
            <w:shd w:val="clear" w:color="auto" w:fill="D9D9D9" w:themeFill="background1" w:themeFillShade="D9"/>
          </w:tcPr>
          <w:p w14:paraId="7BD860E8" w14:textId="04FC9086" w:rsidR="00CF71BD" w:rsidRPr="00BB38C6" w:rsidRDefault="00CF71BD" w:rsidP="00BB5ACB">
            <w:r>
              <w:t>Jurisdictions forfeiting potential revenue sources</w:t>
            </w:r>
          </w:p>
        </w:tc>
      </w:tr>
      <w:tr w:rsidR="00CF71BD" w:rsidRPr="00BB38C6" w14:paraId="59154BBE" w14:textId="77777777" w:rsidTr="003F23A7">
        <w:trPr>
          <w:cantSplit/>
          <w:trHeight w:val="300"/>
        </w:trPr>
        <w:tc>
          <w:tcPr>
            <w:tcW w:w="2121" w:type="dxa"/>
          </w:tcPr>
          <w:p w14:paraId="2EFBB34B" w14:textId="2AB64F75" w:rsidR="00CF71BD" w:rsidRPr="00BB38C6" w:rsidRDefault="00E84099" w:rsidP="00BB5ACB">
            <w:r>
              <w:t>Private Involvement: Community benefit agreements</w:t>
            </w:r>
          </w:p>
        </w:tc>
        <w:tc>
          <w:tcPr>
            <w:tcW w:w="1597" w:type="dxa"/>
          </w:tcPr>
          <w:p w14:paraId="091A1BC4" w14:textId="7F88E336" w:rsidR="00CF71BD" w:rsidRPr="00BB38C6" w:rsidRDefault="00CF71BD" w:rsidP="00BB5ACB">
            <w:r>
              <w:t>Businesses, Developers, Property Owners</w:t>
            </w:r>
          </w:p>
        </w:tc>
        <w:tc>
          <w:tcPr>
            <w:tcW w:w="2857" w:type="dxa"/>
          </w:tcPr>
          <w:p w14:paraId="49A7E7AC" w14:textId="572D8423" w:rsidR="00CF71BD" w:rsidRPr="00BB38C6" w:rsidRDefault="00CF71BD" w:rsidP="00BB5ACB">
            <w:r>
              <w:t>Can involve communities in the planning and development process</w:t>
            </w:r>
          </w:p>
        </w:tc>
        <w:tc>
          <w:tcPr>
            <w:tcW w:w="2780" w:type="dxa"/>
          </w:tcPr>
          <w:p w14:paraId="496F9789" w14:textId="615682B8" w:rsidR="00CF71BD" w:rsidRPr="00BB38C6" w:rsidRDefault="00CF71BD" w:rsidP="00BB5ACB">
            <w:r>
              <w:t>Can be time and resource intensive to adequately determine and address community needs, and negotiate between key players</w:t>
            </w:r>
          </w:p>
        </w:tc>
      </w:tr>
      <w:tr w:rsidR="00CF71BD" w:rsidRPr="00BB38C6" w14:paraId="5D406C87" w14:textId="77777777" w:rsidTr="003F23A7">
        <w:trPr>
          <w:cantSplit/>
          <w:trHeight w:val="300"/>
        </w:trPr>
        <w:tc>
          <w:tcPr>
            <w:tcW w:w="2121" w:type="dxa"/>
            <w:shd w:val="clear" w:color="auto" w:fill="D9D9D9" w:themeFill="background1" w:themeFillShade="D9"/>
          </w:tcPr>
          <w:p w14:paraId="2107A439" w14:textId="4F6C3CB7" w:rsidR="00CF71BD" w:rsidRPr="00BB38C6" w:rsidRDefault="00E84099" w:rsidP="00BB5ACB">
            <w:r>
              <w:t>Private Involvement: Regulations (e.g. building codes)</w:t>
            </w:r>
          </w:p>
        </w:tc>
        <w:tc>
          <w:tcPr>
            <w:tcW w:w="1597" w:type="dxa"/>
            <w:shd w:val="clear" w:color="auto" w:fill="D9D9D9" w:themeFill="background1" w:themeFillShade="D9"/>
          </w:tcPr>
          <w:p w14:paraId="3D33DD46" w14:textId="305EFB24" w:rsidR="00CF71BD" w:rsidRPr="00BB38C6" w:rsidRDefault="00CF71BD" w:rsidP="00BB5ACB">
            <w:r>
              <w:t>Businesses, Developers, Property Owners</w:t>
            </w:r>
          </w:p>
        </w:tc>
        <w:tc>
          <w:tcPr>
            <w:tcW w:w="2857" w:type="dxa"/>
            <w:shd w:val="clear" w:color="auto" w:fill="D9D9D9" w:themeFill="background1" w:themeFillShade="D9"/>
          </w:tcPr>
          <w:p w14:paraId="7482086E" w14:textId="24573FF2" w:rsidR="00E20CB5" w:rsidRDefault="00CF71BD" w:rsidP="005A03DB">
            <w:pPr>
              <w:spacing w:after="160"/>
            </w:pPr>
            <w:r>
              <w:t>Passes upfront costs to the private sector, placing less burden on public to invest in adaptation needs/ disaster bailouts,</w:t>
            </w:r>
          </w:p>
          <w:p w14:paraId="09BC939C" w14:textId="67484CBA" w:rsidR="00CF71BD" w:rsidRPr="00BB38C6" w:rsidRDefault="00CF71BD" w:rsidP="00BB5ACB">
            <w:r>
              <w:t>Institutionalizes building standards that account for future risk</w:t>
            </w:r>
          </w:p>
        </w:tc>
        <w:tc>
          <w:tcPr>
            <w:tcW w:w="2780" w:type="dxa"/>
            <w:shd w:val="clear" w:color="auto" w:fill="D9D9D9" w:themeFill="background1" w:themeFillShade="D9"/>
          </w:tcPr>
          <w:p w14:paraId="49985728" w14:textId="762180D6" w:rsidR="00E20CB5" w:rsidRDefault="00CF71BD" w:rsidP="005A03DB">
            <w:pPr>
              <w:spacing w:after="160"/>
            </w:pPr>
            <w:r>
              <w:t>Requires regulatory action by appropriate state agency,</w:t>
            </w:r>
          </w:p>
          <w:p w14:paraId="22777E99" w14:textId="00B18477" w:rsidR="00CF71BD" w:rsidRPr="00BB38C6" w:rsidRDefault="00CF71BD" w:rsidP="00BB5ACB">
            <w:r>
              <w:t>Can deter development</w:t>
            </w:r>
          </w:p>
        </w:tc>
      </w:tr>
    </w:tbl>
    <w:p w14:paraId="0B9052AF" w14:textId="77777777" w:rsidR="00CF71BD" w:rsidRPr="00BB38C6" w:rsidRDefault="00CF71BD" w:rsidP="00D81B7F">
      <w:pPr>
        <w:spacing w:after="0" w:line="240" w:lineRule="auto"/>
      </w:pPr>
    </w:p>
    <w:tbl>
      <w:tblPr>
        <w:tblStyle w:val="TableGrid"/>
        <w:tblW w:w="0" w:type="auto"/>
        <w:tblLook w:val="04A0" w:firstRow="1" w:lastRow="0" w:firstColumn="1" w:lastColumn="0" w:noHBand="0" w:noVBand="1"/>
      </w:tblPr>
      <w:tblGrid>
        <w:gridCol w:w="9350"/>
      </w:tblGrid>
      <w:tr w:rsidR="001C640C" w:rsidRPr="00E91295" w14:paraId="601FE2D3" w14:textId="77777777" w:rsidTr="00A26E7F">
        <w:trPr>
          <w:trHeight w:val="576"/>
        </w:trPr>
        <w:tc>
          <w:tcPr>
            <w:tcW w:w="9350" w:type="dxa"/>
            <w:tcBorders>
              <w:top w:val="nil"/>
              <w:left w:val="nil"/>
              <w:bottom w:val="nil"/>
              <w:right w:val="nil"/>
            </w:tcBorders>
            <w:shd w:val="clear" w:color="auto" w:fill="1F5485"/>
            <w:vAlign w:val="center"/>
          </w:tcPr>
          <w:p w14:paraId="57292290" w14:textId="25B1DFE2" w:rsidR="001C640C" w:rsidRPr="00205B87" w:rsidRDefault="001C640C" w:rsidP="00A26E7F">
            <w:pPr>
              <w:rPr>
                <w:rStyle w:val="ExampleChar"/>
                <w:i w:val="0"/>
                <w:iCs/>
                <w:color w:val="FFFFFF" w:themeColor="background1"/>
              </w:rPr>
            </w:pPr>
            <w:r>
              <w:rPr>
                <w:rStyle w:val="ExampleChar"/>
                <w:i w:val="0"/>
                <w:iCs/>
                <w:color w:val="FFFFFF" w:themeColor="background1"/>
              </w:rPr>
              <w:t>Case Study: San Francisco Bay Restoration Authority’s Measure AA</w:t>
            </w:r>
          </w:p>
        </w:tc>
      </w:tr>
      <w:tr w:rsidR="001C640C" w14:paraId="3791BF92" w14:textId="77777777">
        <w:tc>
          <w:tcPr>
            <w:tcW w:w="9350" w:type="dxa"/>
            <w:tcBorders>
              <w:top w:val="nil"/>
              <w:left w:val="nil"/>
              <w:bottom w:val="nil"/>
              <w:right w:val="nil"/>
            </w:tcBorders>
            <w:shd w:val="clear" w:color="auto" w:fill="DCEAF7"/>
          </w:tcPr>
          <w:p w14:paraId="424DA3CD" w14:textId="7388462B" w:rsidR="001C640C" w:rsidRDefault="001C640C" w:rsidP="00224CC0">
            <w:pPr>
              <w:spacing w:before="120" w:after="120"/>
            </w:pPr>
            <w:hyperlink r:id="rId306" w:history="1">
              <w:r>
                <w:rPr>
                  <w:rStyle w:val="Hyperlink"/>
                  <w:rFonts w:eastAsiaTheme="majorEastAsia" w:cstheme="majorBidi"/>
                </w:rPr>
                <w:t>San</w:t>
              </w:r>
              <w:r>
                <w:rPr>
                  <w:rStyle w:val="Hyperlink"/>
                  <w:b/>
                  <w:bCs/>
                </w:rPr>
                <w:t xml:space="preserve"> </w:t>
              </w:r>
              <w:r>
                <w:rPr>
                  <w:rStyle w:val="Hyperlink"/>
                </w:rPr>
                <w:t>Francisco Bay Restoration Authority’s Measure AA</w:t>
              </w:r>
            </w:hyperlink>
            <w:r>
              <w:t xml:space="preserve"> passed in 2016 and introduced a $12 annual parcel tax for 20 years to fund Bay Area habitat restoration projects. This totals $500 million, or $25 million a year for 20 years before automatically expiring in 2037.</w:t>
            </w:r>
          </w:p>
        </w:tc>
      </w:tr>
    </w:tbl>
    <w:p w14:paraId="5EFA813F" w14:textId="77777777" w:rsidR="001C640C" w:rsidRPr="00073938" w:rsidRDefault="001C640C" w:rsidP="00A01225">
      <w:pPr>
        <w:spacing w:after="0" w:line="240" w:lineRule="auto"/>
      </w:pPr>
    </w:p>
    <w:tbl>
      <w:tblPr>
        <w:tblStyle w:val="TableGrid"/>
        <w:tblW w:w="0" w:type="auto"/>
        <w:tblLook w:val="04A0" w:firstRow="1" w:lastRow="0" w:firstColumn="1" w:lastColumn="0" w:noHBand="0" w:noVBand="1"/>
      </w:tblPr>
      <w:tblGrid>
        <w:gridCol w:w="9350"/>
      </w:tblGrid>
      <w:tr w:rsidR="001C640C" w:rsidRPr="00D630B1" w14:paraId="517BEFE1" w14:textId="77777777" w:rsidTr="00A26E7F">
        <w:trPr>
          <w:trHeight w:val="576"/>
        </w:trPr>
        <w:tc>
          <w:tcPr>
            <w:tcW w:w="9350" w:type="dxa"/>
            <w:tcBorders>
              <w:top w:val="nil"/>
              <w:left w:val="nil"/>
              <w:bottom w:val="nil"/>
              <w:right w:val="nil"/>
            </w:tcBorders>
            <w:shd w:val="clear" w:color="auto" w:fill="1F5485"/>
            <w:vAlign w:val="center"/>
          </w:tcPr>
          <w:p w14:paraId="5BD9E6E6" w14:textId="75970C07" w:rsidR="001C640C" w:rsidRPr="00205B87" w:rsidRDefault="001C640C" w:rsidP="00A26E7F">
            <w:pPr>
              <w:rPr>
                <w:rStyle w:val="ExampleChar"/>
                <w:color w:val="FFFFFF" w:themeColor="background1"/>
              </w:rPr>
            </w:pPr>
            <w:r>
              <w:rPr>
                <w:rStyle w:val="ExampleChar"/>
                <w:i w:val="0"/>
                <w:iCs/>
                <w:color w:val="FFFFFF" w:themeColor="background1"/>
              </w:rPr>
              <w:t>Case Study: Marin Wildfire Prevention Authority</w:t>
            </w:r>
          </w:p>
        </w:tc>
      </w:tr>
      <w:tr w:rsidR="001C640C" w14:paraId="46B06855" w14:textId="77777777">
        <w:tc>
          <w:tcPr>
            <w:tcW w:w="9350" w:type="dxa"/>
            <w:tcBorders>
              <w:top w:val="nil"/>
              <w:left w:val="nil"/>
              <w:bottom w:val="nil"/>
              <w:right w:val="nil"/>
            </w:tcBorders>
            <w:shd w:val="clear" w:color="auto" w:fill="DCEAF7"/>
          </w:tcPr>
          <w:p w14:paraId="2DE2841F" w14:textId="5D7C0CBF" w:rsidR="001C640C" w:rsidRDefault="001C640C" w:rsidP="00224CC0">
            <w:pPr>
              <w:spacing w:before="120" w:after="160"/>
            </w:pPr>
            <w:hyperlink r:id="rId307" w:history="1">
              <w:r>
                <w:rPr>
                  <w:rStyle w:val="Hyperlink"/>
                </w:rPr>
                <w:t>Marin County’s Measure C</w:t>
              </w:r>
            </w:hyperlink>
            <w:r>
              <w:t xml:space="preserve"> passed with 70.8% voter support in March 2020 to fund proactive, state-of-the-art wildfire prevention and preparedness efforts. Measure C approved a tax to all parcels of real property in Marin County within the defined boundary of the “Member Taxing Entities,” starting in 2020-21 for a period of ten years.</w:t>
            </w:r>
          </w:p>
          <w:p w14:paraId="65F36D2E" w14:textId="26083F67" w:rsidR="001C640C" w:rsidRDefault="001C640C" w:rsidP="00224CC0">
            <w:pPr>
              <w:spacing w:after="120"/>
            </w:pPr>
            <w:r>
              <w:t>The parcel tax levies up to 10¢ per building square foot ($75 per multifamily unit) for ten years, providing $19,300,000 annually. A joint powers authority among 17 member agencies covering most of Marin County created the Marin Wildfire Prevention Authority (MWPA) to coordinate fire prevention activities using Measure C funds. Funds will be used for ﬁre protection and prevention services, including but not limited to: Vegetation management (Fuels reduction), Wildfire detection, Evacuation plans &amp; alerts, Grants, Public education and Defensible space and fire-resistant structure evaluations.</w:t>
            </w:r>
          </w:p>
        </w:tc>
      </w:tr>
    </w:tbl>
    <w:p w14:paraId="1BAAA19A" w14:textId="56413CCC" w:rsidR="00633F71" w:rsidRDefault="00CF71BD" w:rsidP="00D47C97">
      <w:pPr>
        <w:spacing w:before="160" w:line="240" w:lineRule="auto"/>
      </w:pPr>
      <w:r>
        <w:t>Financing tools allow for funds generated over time to be used as a form of repayment. They provide necessary upfront capital for project development before all revenues are collected. To help develop an effective financing strategy, it is important to consider a financing tool’s use in the market, investor appeal, and complexity to structure and deploy. Additional criteria to evaluate tools may be useful for specific projects and contexts; for example, municipalities seeking private financing might compare the interest burden of private versus public finance tools.</w:t>
      </w:r>
    </w:p>
    <w:p w14:paraId="385D7584" w14:textId="06985AEB" w:rsidR="00FB1F00" w:rsidRPr="00FB1F00" w:rsidRDefault="00375382" w:rsidP="00BB5ACB">
      <w:pPr>
        <w:spacing w:after="0" w:line="240" w:lineRule="auto"/>
        <w:rPr>
          <w:rFonts w:eastAsia="MS Mincho" w:cs="Arial"/>
          <w:b/>
          <w:bCs/>
        </w:rPr>
      </w:pPr>
      <w:r>
        <w:rPr>
          <w:rFonts w:eastAsia="MS Mincho" w:cs="Arial"/>
          <w:b/>
          <w:bCs/>
        </w:rPr>
        <w:t xml:space="preserve">Table </w:t>
      </w:r>
      <w:r>
        <w:rPr>
          <w:rFonts w:eastAsia="MS Mincho" w:cs="Arial"/>
          <w:b/>
          <w:bCs/>
        </w:rPr>
        <w:fldChar w:fldCharType="begin"/>
      </w:r>
      <w:r>
        <w:rPr>
          <w:rFonts w:eastAsia="MS Mincho" w:cs="Arial"/>
          <w:b/>
          <w:bCs/>
        </w:rPr>
        <w:instrText xml:space="preserve"> SEQ Table \* ARABIC </w:instrText>
      </w:r>
      <w:r>
        <w:rPr>
          <w:rFonts w:eastAsia="MS Mincho" w:cs="Arial"/>
          <w:b/>
          <w:bCs/>
        </w:rPr>
        <w:fldChar w:fldCharType="separate"/>
      </w:r>
      <w:r w:rsidR="00517691">
        <w:rPr>
          <w:rFonts w:eastAsia="MS Mincho" w:cs="Arial"/>
          <w:b/>
          <w:bCs/>
          <w:noProof/>
        </w:rPr>
        <w:t>21</w:t>
      </w:r>
      <w:r>
        <w:rPr>
          <w:rFonts w:eastAsia="MS Mincho" w:cs="Arial"/>
          <w:b/>
          <w:bCs/>
        </w:rPr>
        <w:fldChar w:fldCharType="end"/>
      </w:r>
      <w:r>
        <w:rPr>
          <w:rFonts w:eastAsia="MS Mincho" w:cs="Arial"/>
          <w:b/>
          <w:bCs/>
        </w:rPr>
        <w:t>. Financing tools</w:t>
      </w:r>
    </w:p>
    <w:tbl>
      <w:tblPr>
        <w:tblStyle w:val="TableGrid"/>
        <w:tblW w:w="0" w:type="auto"/>
        <w:tblLook w:val="06A0" w:firstRow="1" w:lastRow="0" w:firstColumn="1" w:lastColumn="0" w:noHBand="1" w:noVBand="1"/>
        <w:tblDescription w:val="8 additional financing tools, who the key issuers and involved parties are, key benefits, and key drawbacks"/>
      </w:tblPr>
      <w:tblGrid>
        <w:gridCol w:w="2337"/>
        <w:gridCol w:w="2338"/>
        <w:gridCol w:w="2337"/>
        <w:gridCol w:w="2338"/>
      </w:tblGrid>
      <w:tr w:rsidR="00CF71BD" w:rsidRPr="00BB38C6" w14:paraId="19E0B17D" w14:textId="77777777" w:rsidTr="00D43541">
        <w:trPr>
          <w:cantSplit/>
          <w:trHeight w:val="300"/>
          <w:tblHeader/>
        </w:trPr>
        <w:tc>
          <w:tcPr>
            <w:tcW w:w="2337" w:type="dxa"/>
            <w:shd w:val="clear" w:color="auto" w:fill="000000" w:themeFill="text1"/>
            <w:vAlign w:val="center"/>
          </w:tcPr>
          <w:p w14:paraId="7E05760F" w14:textId="0F8E2C94" w:rsidR="00CF71BD" w:rsidRPr="009C652F" w:rsidRDefault="00CF71BD" w:rsidP="00CB6B60">
            <w:pPr>
              <w:rPr>
                <w:b/>
                <w:bCs/>
              </w:rPr>
            </w:pPr>
            <w:r>
              <w:rPr>
                <w:b/>
                <w:bCs/>
              </w:rPr>
              <w:t>Financing Tools</w:t>
            </w:r>
          </w:p>
        </w:tc>
        <w:tc>
          <w:tcPr>
            <w:tcW w:w="2338" w:type="dxa"/>
            <w:shd w:val="clear" w:color="auto" w:fill="000000" w:themeFill="text1"/>
            <w:vAlign w:val="center"/>
          </w:tcPr>
          <w:p w14:paraId="328F13FD" w14:textId="23CAA318" w:rsidR="00CF71BD" w:rsidRPr="009C652F" w:rsidRDefault="00CF71BD" w:rsidP="00CB6B60">
            <w:pPr>
              <w:rPr>
                <w:b/>
                <w:bCs/>
              </w:rPr>
            </w:pPr>
            <w:r>
              <w:rPr>
                <w:b/>
                <w:bCs/>
              </w:rPr>
              <w:t>Key Issuers/ Involved Parties</w:t>
            </w:r>
          </w:p>
        </w:tc>
        <w:tc>
          <w:tcPr>
            <w:tcW w:w="2337" w:type="dxa"/>
            <w:shd w:val="clear" w:color="auto" w:fill="000000" w:themeFill="text1"/>
            <w:vAlign w:val="center"/>
          </w:tcPr>
          <w:p w14:paraId="35FE922C" w14:textId="38160253" w:rsidR="00CF71BD" w:rsidRPr="009C652F" w:rsidRDefault="00CF71BD" w:rsidP="00CB6B60">
            <w:pPr>
              <w:rPr>
                <w:b/>
                <w:bCs/>
              </w:rPr>
            </w:pPr>
            <w:r>
              <w:rPr>
                <w:b/>
                <w:bCs/>
              </w:rPr>
              <w:t>Key Benefits</w:t>
            </w:r>
          </w:p>
        </w:tc>
        <w:tc>
          <w:tcPr>
            <w:tcW w:w="2338" w:type="dxa"/>
            <w:shd w:val="clear" w:color="auto" w:fill="000000" w:themeFill="text1"/>
            <w:vAlign w:val="center"/>
          </w:tcPr>
          <w:p w14:paraId="023A83D8" w14:textId="7B787340" w:rsidR="00CF71BD" w:rsidRPr="009C652F" w:rsidRDefault="00CF71BD" w:rsidP="00CB6B60">
            <w:pPr>
              <w:rPr>
                <w:b/>
                <w:bCs/>
              </w:rPr>
            </w:pPr>
            <w:r>
              <w:rPr>
                <w:b/>
                <w:bCs/>
              </w:rPr>
              <w:t>Key Drawbacks</w:t>
            </w:r>
          </w:p>
        </w:tc>
      </w:tr>
      <w:tr w:rsidR="00CF71BD" w:rsidRPr="00BB38C6" w14:paraId="46F40EA1" w14:textId="77777777" w:rsidTr="00D43541">
        <w:trPr>
          <w:cantSplit/>
          <w:trHeight w:val="300"/>
        </w:trPr>
        <w:tc>
          <w:tcPr>
            <w:tcW w:w="2337" w:type="dxa"/>
          </w:tcPr>
          <w:p w14:paraId="5C05CED8" w14:textId="764B3FA2" w:rsidR="00CF71BD" w:rsidRPr="00BB38C6" w:rsidRDefault="00CF71BD" w:rsidP="00BB5ACB">
            <w:r>
              <w:t>Municipal Bonds (General Obligation Bonds, Revenue Bonds)</w:t>
            </w:r>
          </w:p>
        </w:tc>
        <w:tc>
          <w:tcPr>
            <w:tcW w:w="2338" w:type="dxa"/>
          </w:tcPr>
          <w:p w14:paraId="65DD1B6B" w14:textId="7587F751" w:rsidR="00CF71BD" w:rsidRPr="00BB38C6" w:rsidRDefault="00CF71BD" w:rsidP="00BB5ACB">
            <w:r>
              <w:t>Local or state government</w:t>
            </w:r>
          </w:p>
        </w:tc>
        <w:tc>
          <w:tcPr>
            <w:tcW w:w="2337" w:type="dxa"/>
          </w:tcPr>
          <w:p w14:paraId="6E71C7BD" w14:textId="214F6FC2" w:rsidR="00CF71BD" w:rsidRPr="00BB38C6" w:rsidRDefault="00CF71BD" w:rsidP="00BB5ACB">
            <w:r>
              <w:t>Commonly used</w:t>
            </w:r>
          </w:p>
        </w:tc>
        <w:tc>
          <w:tcPr>
            <w:tcW w:w="2338" w:type="dxa"/>
          </w:tcPr>
          <w:p w14:paraId="1E087EC5" w14:textId="531BBEED" w:rsidR="00CF71BD" w:rsidRPr="00BB38C6" w:rsidRDefault="00CF71BD" w:rsidP="00BB5ACB">
            <w:r>
              <w:t>Subject to voter approval requirements</w:t>
            </w:r>
          </w:p>
        </w:tc>
      </w:tr>
      <w:tr w:rsidR="00CF71BD" w:rsidRPr="00BB38C6" w14:paraId="341B82BB" w14:textId="77777777" w:rsidTr="00D43541">
        <w:trPr>
          <w:cantSplit/>
          <w:trHeight w:val="300"/>
        </w:trPr>
        <w:tc>
          <w:tcPr>
            <w:tcW w:w="2337" w:type="dxa"/>
            <w:shd w:val="clear" w:color="auto" w:fill="D9D9D9" w:themeFill="background1" w:themeFillShade="D9"/>
          </w:tcPr>
          <w:p w14:paraId="1BE1FFC5" w14:textId="36FA28D6" w:rsidR="00CF71BD" w:rsidRPr="00BB38C6" w:rsidRDefault="00CF71BD" w:rsidP="00BB5ACB">
            <w:r>
              <w:t>Private Activity Bonds</w:t>
            </w:r>
          </w:p>
        </w:tc>
        <w:tc>
          <w:tcPr>
            <w:tcW w:w="2338" w:type="dxa"/>
            <w:shd w:val="clear" w:color="auto" w:fill="D9D9D9" w:themeFill="background1" w:themeFillShade="D9"/>
          </w:tcPr>
          <w:p w14:paraId="481DF4C5" w14:textId="165E8C68" w:rsidR="00CF71BD" w:rsidRPr="00BB38C6" w:rsidRDefault="00CF71BD" w:rsidP="00BB5ACB">
            <w:r>
              <w:t>Private Activity Bonds</w:t>
            </w:r>
          </w:p>
        </w:tc>
        <w:tc>
          <w:tcPr>
            <w:tcW w:w="2337" w:type="dxa"/>
            <w:shd w:val="clear" w:color="auto" w:fill="D9D9D9" w:themeFill="background1" w:themeFillShade="D9"/>
          </w:tcPr>
          <w:p w14:paraId="4043F8FE" w14:textId="0D1ED9FD" w:rsidR="00CF71BD" w:rsidRPr="00BB38C6" w:rsidRDefault="00CF71BD" w:rsidP="00BB5ACB">
            <w:r>
              <w:t>Encourages private sector participation</w:t>
            </w:r>
          </w:p>
        </w:tc>
        <w:tc>
          <w:tcPr>
            <w:tcW w:w="2338" w:type="dxa"/>
            <w:shd w:val="clear" w:color="auto" w:fill="D9D9D9" w:themeFill="background1" w:themeFillShade="D9"/>
          </w:tcPr>
          <w:p w14:paraId="0AB3F06F" w14:textId="6AEEB4B7" w:rsidR="00CF71BD" w:rsidRPr="00BB38C6" w:rsidRDefault="00CF71BD" w:rsidP="00BB5ACB">
            <w:r>
              <w:t>Limited application and amount</w:t>
            </w:r>
          </w:p>
        </w:tc>
      </w:tr>
      <w:tr w:rsidR="00CF71BD" w:rsidRPr="00BB38C6" w14:paraId="370EA8A0" w14:textId="77777777" w:rsidTr="00D43541">
        <w:trPr>
          <w:cantSplit/>
          <w:trHeight w:val="300"/>
        </w:trPr>
        <w:tc>
          <w:tcPr>
            <w:tcW w:w="2337" w:type="dxa"/>
          </w:tcPr>
          <w:p w14:paraId="1E730073" w14:textId="3C62F73E" w:rsidR="00CF71BD" w:rsidRPr="00BB38C6" w:rsidRDefault="00CF71BD" w:rsidP="00BB5ACB">
            <w:r>
              <w:t>Pay for Success Financing (Social Impact bonds, Environmental Bonds)</w:t>
            </w:r>
          </w:p>
        </w:tc>
        <w:tc>
          <w:tcPr>
            <w:tcW w:w="2338" w:type="dxa"/>
          </w:tcPr>
          <w:p w14:paraId="3CE4FE50" w14:textId="5622FA93" w:rsidR="00CF71BD" w:rsidRPr="00BB38C6" w:rsidRDefault="00CF71BD" w:rsidP="00BB5ACB">
            <w:r>
              <w:t>Partnership between public agency, private provider, and third-party verifier</w:t>
            </w:r>
          </w:p>
        </w:tc>
        <w:tc>
          <w:tcPr>
            <w:tcW w:w="2337" w:type="dxa"/>
          </w:tcPr>
          <w:p w14:paraId="37FD284B" w14:textId="6816353D" w:rsidR="00CF71BD" w:rsidRPr="00BB38C6" w:rsidRDefault="00CF71BD" w:rsidP="00BB5ACB">
            <w:r>
              <w:t>Transfers risk of achieving intended outcomes from public sector to private sector</w:t>
            </w:r>
          </w:p>
        </w:tc>
        <w:tc>
          <w:tcPr>
            <w:tcW w:w="2338" w:type="dxa"/>
          </w:tcPr>
          <w:p w14:paraId="05FF87F0" w14:textId="61DBEB98" w:rsidR="00CF71BD" w:rsidRPr="00BB38C6" w:rsidRDefault="00CF71BD" w:rsidP="00BB5ACB">
            <w:r>
              <w:t>Limited use to date Significant monitoring and evaluation required</w:t>
            </w:r>
          </w:p>
        </w:tc>
      </w:tr>
      <w:tr w:rsidR="00CF71BD" w:rsidRPr="00BB38C6" w14:paraId="116D81AC" w14:textId="77777777" w:rsidTr="00D43541">
        <w:trPr>
          <w:cantSplit/>
          <w:trHeight w:val="300"/>
        </w:trPr>
        <w:tc>
          <w:tcPr>
            <w:tcW w:w="2337" w:type="dxa"/>
            <w:shd w:val="clear" w:color="auto" w:fill="D9D9D9" w:themeFill="background1" w:themeFillShade="D9"/>
          </w:tcPr>
          <w:p w14:paraId="4867E2EF" w14:textId="4AAED2FD" w:rsidR="00CF71BD" w:rsidRPr="00BB38C6" w:rsidRDefault="00CF71BD" w:rsidP="00BB5ACB">
            <w:r>
              <w:t>Green Bonds</w:t>
            </w:r>
          </w:p>
        </w:tc>
        <w:tc>
          <w:tcPr>
            <w:tcW w:w="2338" w:type="dxa"/>
            <w:shd w:val="clear" w:color="auto" w:fill="D9D9D9" w:themeFill="background1" w:themeFillShade="D9"/>
          </w:tcPr>
          <w:p w14:paraId="5479B860" w14:textId="1EEB32B9" w:rsidR="00CF71BD" w:rsidRPr="00BB38C6" w:rsidRDefault="00CF71BD" w:rsidP="00BB5ACB">
            <w:r>
              <w:t>Local or state government</w:t>
            </w:r>
          </w:p>
        </w:tc>
        <w:tc>
          <w:tcPr>
            <w:tcW w:w="2337" w:type="dxa"/>
            <w:shd w:val="clear" w:color="auto" w:fill="D9D9D9" w:themeFill="background1" w:themeFillShade="D9"/>
          </w:tcPr>
          <w:p w14:paraId="5CA314A3" w14:textId="56710119" w:rsidR="00CF71BD" w:rsidRPr="00BB38C6" w:rsidRDefault="00CF71BD" w:rsidP="00BB5ACB">
            <w:r>
              <w:t>Social impact investor appeal Publicizes commitment of spending towards environmental purposes</w:t>
            </w:r>
          </w:p>
        </w:tc>
        <w:tc>
          <w:tcPr>
            <w:tcW w:w="2338" w:type="dxa"/>
            <w:shd w:val="clear" w:color="auto" w:fill="D9D9D9" w:themeFill="background1" w:themeFillShade="D9"/>
          </w:tcPr>
          <w:p w14:paraId="775BA247" w14:textId="3CC5E67C" w:rsidR="00CF71BD" w:rsidRPr="00BB38C6" w:rsidRDefault="00CF71BD" w:rsidP="00BB5ACB">
            <w:r>
              <w:t>Limited use to date Lack of standardization of what it means to be “green” Administrative complexity</w:t>
            </w:r>
          </w:p>
        </w:tc>
      </w:tr>
      <w:tr w:rsidR="00CF71BD" w:rsidRPr="00BB38C6" w14:paraId="26288C5E" w14:textId="77777777" w:rsidTr="00D43541">
        <w:trPr>
          <w:cantSplit/>
          <w:trHeight w:val="300"/>
        </w:trPr>
        <w:tc>
          <w:tcPr>
            <w:tcW w:w="2337" w:type="dxa"/>
          </w:tcPr>
          <w:p w14:paraId="31144AF9" w14:textId="1B4C0EBB" w:rsidR="00CF71BD" w:rsidRPr="00BB38C6" w:rsidRDefault="00CF71BD" w:rsidP="00BB5ACB">
            <w:r>
              <w:t>Insurance-Linked Securities (Catastrophe Bonds, Resilience Bonds)</w:t>
            </w:r>
          </w:p>
        </w:tc>
        <w:tc>
          <w:tcPr>
            <w:tcW w:w="2338" w:type="dxa"/>
          </w:tcPr>
          <w:p w14:paraId="728D01BA" w14:textId="3BB1D27D" w:rsidR="00CF71BD" w:rsidRPr="00BB38C6" w:rsidRDefault="00CF71BD" w:rsidP="00BB5ACB">
            <w:r>
              <w:t>(Re)Insurance companies, public and private organizations</w:t>
            </w:r>
          </w:p>
        </w:tc>
        <w:tc>
          <w:tcPr>
            <w:tcW w:w="2337" w:type="dxa"/>
          </w:tcPr>
          <w:p w14:paraId="26884385" w14:textId="2FA280E8" w:rsidR="00CF71BD" w:rsidRPr="00BB38C6" w:rsidRDefault="00CF71BD" w:rsidP="00BB5ACB">
            <w:r>
              <w:t>Less or no correlation with markets adds investor appeal</w:t>
            </w:r>
          </w:p>
        </w:tc>
        <w:tc>
          <w:tcPr>
            <w:tcW w:w="2338" w:type="dxa"/>
          </w:tcPr>
          <w:p w14:paraId="5492FE09" w14:textId="77777777" w:rsidR="00CF71BD" w:rsidRPr="00BB38C6" w:rsidRDefault="00CF71BD" w:rsidP="00BB5ACB"/>
        </w:tc>
      </w:tr>
      <w:tr w:rsidR="00CF71BD" w:rsidRPr="00BB38C6" w14:paraId="4B7E3FBF" w14:textId="77777777" w:rsidTr="00D43541">
        <w:trPr>
          <w:cantSplit/>
          <w:trHeight w:val="300"/>
        </w:trPr>
        <w:tc>
          <w:tcPr>
            <w:tcW w:w="2337" w:type="dxa"/>
            <w:shd w:val="clear" w:color="auto" w:fill="D9D9D9" w:themeFill="background1" w:themeFillShade="D9"/>
          </w:tcPr>
          <w:p w14:paraId="1A272415" w14:textId="2B8C4B18" w:rsidR="00CF71BD" w:rsidRPr="00BB38C6" w:rsidRDefault="00E444BC" w:rsidP="00BB5ACB">
            <w:r>
              <w:t>Loans: Federal Loans</w:t>
            </w:r>
          </w:p>
        </w:tc>
        <w:tc>
          <w:tcPr>
            <w:tcW w:w="2338" w:type="dxa"/>
            <w:shd w:val="clear" w:color="auto" w:fill="D9D9D9" w:themeFill="background1" w:themeFillShade="D9"/>
          </w:tcPr>
          <w:p w14:paraId="6ABCFB6F" w14:textId="39593E93" w:rsidR="00073938" w:rsidRDefault="00CF71BD" w:rsidP="00394A97">
            <w:pPr>
              <w:spacing w:after="160"/>
            </w:pPr>
            <w:r>
              <w:t>Federal issues,</w:t>
            </w:r>
          </w:p>
          <w:p w14:paraId="6AA008AD" w14:textId="6CDB6767" w:rsidR="00CF71BD" w:rsidRPr="00BB38C6" w:rsidRDefault="00394A97" w:rsidP="00BB5ACB">
            <w:r>
              <w:t>Borrower can be private or public entity</w:t>
            </w:r>
          </w:p>
        </w:tc>
        <w:tc>
          <w:tcPr>
            <w:tcW w:w="2337" w:type="dxa"/>
            <w:shd w:val="clear" w:color="auto" w:fill="D9D9D9" w:themeFill="background1" w:themeFillShade="D9"/>
          </w:tcPr>
          <w:p w14:paraId="1879C6E4" w14:textId="251B0754" w:rsidR="00CF71BD" w:rsidRPr="00BB38C6" w:rsidRDefault="00CF71BD" w:rsidP="00BB5ACB">
            <w:r>
              <w:t>Commonly used Applicable dedicated loans for transportation and water infrastructure</w:t>
            </w:r>
          </w:p>
        </w:tc>
        <w:tc>
          <w:tcPr>
            <w:tcW w:w="2338" w:type="dxa"/>
            <w:shd w:val="clear" w:color="auto" w:fill="D9D9D9" w:themeFill="background1" w:themeFillShade="D9"/>
          </w:tcPr>
          <w:p w14:paraId="12CFDDD7" w14:textId="05BB6E68" w:rsidR="00CF71BD" w:rsidRPr="00BB38C6" w:rsidRDefault="00CF71BD" w:rsidP="00BB5ACB">
            <w:r>
              <w:t>Dependent on authorization from Congress</w:t>
            </w:r>
          </w:p>
        </w:tc>
      </w:tr>
      <w:tr w:rsidR="00CF71BD" w:rsidRPr="00BB38C6" w14:paraId="259B0002" w14:textId="77777777" w:rsidTr="00D43541">
        <w:trPr>
          <w:cantSplit/>
          <w:trHeight w:val="300"/>
        </w:trPr>
        <w:tc>
          <w:tcPr>
            <w:tcW w:w="2337" w:type="dxa"/>
          </w:tcPr>
          <w:p w14:paraId="45605688" w14:textId="4238B026" w:rsidR="00CF71BD" w:rsidRPr="00BB38C6" w:rsidRDefault="00E444BC" w:rsidP="00BB5ACB">
            <w:r>
              <w:t>Loans: Revolving Loan Funds</w:t>
            </w:r>
          </w:p>
        </w:tc>
        <w:tc>
          <w:tcPr>
            <w:tcW w:w="2338" w:type="dxa"/>
          </w:tcPr>
          <w:p w14:paraId="12E7DF42" w14:textId="4EC3556C" w:rsidR="00073938" w:rsidRDefault="00CF71BD" w:rsidP="00394A97">
            <w:pPr>
              <w:spacing w:after="160"/>
            </w:pPr>
            <w:r>
              <w:t>State issues,</w:t>
            </w:r>
          </w:p>
          <w:p w14:paraId="1BE47893" w14:textId="781CB03C" w:rsidR="00CF71BD" w:rsidRPr="00BB38C6" w:rsidRDefault="00394A97" w:rsidP="00BB5ACB">
            <w:r>
              <w:t>Borrower can be non-profits or public entity</w:t>
            </w:r>
          </w:p>
        </w:tc>
        <w:tc>
          <w:tcPr>
            <w:tcW w:w="2337" w:type="dxa"/>
          </w:tcPr>
          <w:p w14:paraId="26F258B9" w14:textId="3ECFE010" w:rsidR="00CF71BD" w:rsidRPr="00BB38C6" w:rsidRDefault="00CF71BD" w:rsidP="00BB5ACB">
            <w:r>
              <w:t>Dedicated state programs focused on water and infrastructure programs</w:t>
            </w:r>
          </w:p>
        </w:tc>
        <w:tc>
          <w:tcPr>
            <w:tcW w:w="2338" w:type="dxa"/>
          </w:tcPr>
          <w:p w14:paraId="3A428953" w14:textId="46D66198" w:rsidR="00CF71BD" w:rsidRPr="00BB38C6" w:rsidRDefault="00CF71BD" w:rsidP="00BB5ACB">
            <w:r>
              <w:t>Sustainability of programs dependent on loan repayment</w:t>
            </w:r>
          </w:p>
        </w:tc>
      </w:tr>
      <w:tr w:rsidR="00CF71BD" w:rsidRPr="00BB38C6" w14:paraId="2BAB18DE" w14:textId="77777777" w:rsidTr="00D43541">
        <w:trPr>
          <w:cantSplit/>
          <w:trHeight w:val="300"/>
        </w:trPr>
        <w:tc>
          <w:tcPr>
            <w:tcW w:w="2337" w:type="dxa"/>
            <w:shd w:val="clear" w:color="auto" w:fill="D9D9D9" w:themeFill="background1" w:themeFillShade="D9"/>
          </w:tcPr>
          <w:p w14:paraId="465C11CF" w14:textId="084F34DC" w:rsidR="00CF71BD" w:rsidRPr="00BB38C6" w:rsidRDefault="00E444BC" w:rsidP="00BB5ACB">
            <w:r>
              <w:t>Loans: Program Related Investments (PRIs)</w:t>
            </w:r>
          </w:p>
        </w:tc>
        <w:tc>
          <w:tcPr>
            <w:tcW w:w="2338" w:type="dxa"/>
            <w:shd w:val="clear" w:color="auto" w:fill="D9D9D9" w:themeFill="background1" w:themeFillShade="D9"/>
          </w:tcPr>
          <w:p w14:paraId="55241E2B" w14:textId="77777777" w:rsidR="00CF71BD" w:rsidRPr="00BB38C6" w:rsidRDefault="00CF71BD" w:rsidP="00BB5ACB">
            <w:r>
              <w:t>Philanthropies</w:t>
            </w:r>
          </w:p>
        </w:tc>
        <w:tc>
          <w:tcPr>
            <w:tcW w:w="2337" w:type="dxa"/>
            <w:shd w:val="clear" w:color="auto" w:fill="D9D9D9" w:themeFill="background1" w:themeFillShade="D9"/>
          </w:tcPr>
          <w:p w14:paraId="65A64E01" w14:textId="0EA60259" w:rsidR="00CF71BD" w:rsidRPr="00BB38C6" w:rsidRDefault="00CF71BD" w:rsidP="00BB5ACB">
            <w:r>
              <w:t>Flexible application</w:t>
            </w:r>
          </w:p>
        </w:tc>
        <w:tc>
          <w:tcPr>
            <w:tcW w:w="2338" w:type="dxa"/>
            <w:shd w:val="clear" w:color="auto" w:fill="D9D9D9" w:themeFill="background1" w:themeFillShade="D9"/>
          </w:tcPr>
          <w:p w14:paraId="380B7C44" w14:textId="7A03F409" w:rsidR="00CF71BD" w:rsidRPr="00BB38C6" w:rsidRDefault="00CF71BD" w:rsidP="00BB5ACB">
            <w:r>
              <w:t>Requires alignment of philanthropic goals with adaptation and resilience outcomes</w:t>
            </w:r>
          </w:p>
        </w:tc>
      </w:tr>
    </w:tbl>
    <w:p w14:paraId="5DE5C028" w14:textId="77777777" w:rsidR="00CF71BD" w:rsidRPr="00BB38C6" w:rsidRDefault="00CF71BD" w:rsidP="00D20A6C">
      <w:pPr>
        <w:spacing w:after="0" w:line="240" w:lineRule="auto"/>
      </w:pPr>
    </w:p>
    <w:p w14:paraId="1E257E8C" w14:textId="77777777" w:rsidR="009E5B90" w:rsidRDefault="009E5B90" w:rsidP="00D20A6C">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A7FD8" w:rsidRPr="00AE48E1" w14:paraId="5F18111F" w14:textId="77777777" w:rsidTr="00191806">
        <w:trPr>
          <w:trHeight w:val="576"/>
        </w:trPr>
        <w:tc>
          <w:tcPr>
            <w:tcW w:w="9350" w:type="dxa"/>
            <w:shd w:val="clear" w:color="auto" w:fill="404040" w:themeFill="text1" w:themeFillTint="BF"/>
            <w:vAlign w:val="center"/>
          </w:tcPr>
          <w:p w14:paraId="797A2CDD" w14:textId="3A59D905" w:rsidR="005A7FD8" w:rsidRPr="00AE48E1" w:rsidRDefault="005A7FD8" w:rsidP="00191806">
            <w:pPr>
              <w:rPr>
                <w:b/>
                <w:color w:val="FFFFFF" w:themeColor="background1"/>
              </w:rPr>
            </w:pPr>
            <w:r>
              <w:rPr>
                <w:b/>
                <w:color w:val="FFFFFF" w:themeColor="background1"/>
              </w:rPr>
              <w:t>State Conservancies as Funding and Implementation Partners</w:t>
            </w:r>
          </w:p>
        </w:tc>
      </w:tr>
      <w:tr w:rsidR="005A7FD8" w:rsidRPr="00AE48E1" w14:paraId="2736AD6E" w14:textId="77777777" w:rsidTr="00191806">
        <w:tc>
          <w:tcPr>
            <w:tcW w:w="9350" w:type="dxa"/>
            <w:shd w:val="clear" w:color="auto" w:fill="F2F2F2" w:themeFill="background1" w:themeFillShade="F2"/>
          </w:tcPr>
          <w:p w14:paraId="3955AF66" w14:textId="6664E25F" w:rsidR="005A7FD8" w:rsidRPr="00A043A5" w:rsidRDefault="005A7FD8" w:rsidP="00191806">
            <w:pPr>
              <w:spacing w:before="120" w:after="120"/>
              <w:rPr>
                <w:bCs/>
              </w:rPr>
            </w:pPr>
            <w:r w:rsidRPr="005A7FD8">
              <w:rPr>
                <w:bCs/>
              </w:rPr>
              <w:t xml:space="preserve">Consider partnering with a state conservancy to fund and implement strategies. California's 11 state conservancies are uniquely positioned to advance locally tailored climate resilience through funding, land conservation, habitat restoration, and regional partnerships. To identify the state conservancy serving your planning area and available grant programs, visit the </w:t>
            </w:r>
            <w:hyperlink r:id="rId308">
              <w:r w:rsidRPr="005A7FD8">
                <w:rPr>
                  <w:rStyle w:val="Hyperlink"/>
                  <w:bCs/>
                </w:rPr>
                <w:t>California Natural Resources Agency's State Conservancy Network</w:t>
              </w:r>
            </w:hyperlink>
            <w:r w:rsidRPr="005A7FD8">
              <w:rPr>
                <w:bCs/>
              </w:rPr>
              <w:t>.</w:t>
            </w:r>
          </w:p>
        </w:tc>
      </w:tr>
    </w:tbl>
    <w:p w14:paraId="322D2E8A" w14:textId="77777777" w:rsidR="009E5B90" w:rsidRPr="00BB38C6" w:rsidRDefault="009E5B90" w:rsidP="00D20A6C">
      <w:pPr>
        <w:spacing w:after="0" w:line="240" w:lineRule="auto"/>
      </w:pPr>
    </w:p>
    <w:tbl>
      <w:tblPr>
        <w:tblStyle w:val="TableGrid"/>
        <w:tblW w:w="0" w:type="auto"/>
        <w:tblLook w:val="04A0" w:firstRow="1" w:lastRow="0" w:firstColumn="1" w:lastColumn="0" w:noHBand="0" w:noVBand="1"/>
      </w:tblPr>
      <w:tblGrid>
        <w:gridCol w:w="9350"/>
      </w:tblGrid>
      <w:tr w:rsidR="005E17DF" w:rsidRPr="00D630B1" w14:paraId="05379E3B" w14:textId="77777777" w:rsidTr="00A26E7F">
        <w:trPr>
          <w:trHeight w:val="576"/>
        </w:trPr>
        <w:tc>
          <w:tcPr>
            <w:tcW w:w="9350" w:type="dxa"/>
            <w:tcBorders>
              <w:top w:val="nil"/>
              <w:left w:val="nil"/>
              <w:bottom w:val="nil"/>
              <w:right w:val="nil"/>
            </w:tcBorders>
            <w:shd w:val="clear" w:color="auto" w:fill="1F5485"/>
            <w:vAlign w:val="center"/>
          </w:tcPr>
          <w:p w14:paraId="63566A44" w14:textId="45CDD5A0" w:rsidR="005E17DF" w:rsidRPr="00EE6B28" w:rsidRDefault="005E17DF" w:rsidP="00A26E7F">
            <w:pPr>
              <w:rPr>
                <w:color w:val="FFFFFF" w:themeColor="background1"/>
              </w:rPr>
            </w:pPr>
            <w:r>
              <w:rPr>
                <w:b/>
                <w:bCs/>
                <w:color w:val="FFFFFF" w:themeColor="background1"/>
              </w:rPr>
              <w:t>Case Study: Blue Forest’s Forest Resilience Bond</w:t>
            </w:r>
          </w:p>
        </w:tc>
      </w:tr>
      <w:tr w:rsidR="00072030" w14:paraId="5AC858C4" w14:textId="77777777" w:rsidTr="00072030">
        <w:tc>
          <w:tcPr>
            <w:tcW w:w="9350" w:type="dxa"/>
            <w:tcBorders>
              <w:top w:val="nil"/>
              <w:left w:val="nil"/>
              <w:bottom w:val="nil"/>
              <w:right w:val="nil"/>
            </w:tcBorders>
            <w:shd w:val="clear" w:color="auto" w:fill="DCEAF7"/>
          </w:tcPr>
          <w:p w14:paraId="27E6C2B5" w14:textId="6A14C8CE" w:rsidR="00072030" w:rsidRDefault="00072030" w:rsidP="00224CC0">
            <w:pPr>
              <w:spacing w:before="120" w:after="120"/>
            </w:pPr>
            <w:r>
              <w:t xml:space="preserve">Blue Forest’s first Forest Resilience Bond (FRB), the </w:t>
            </w:r>
            <w:hyperlink r:id="rId309" w:history="1">
              <w:r>
                <w:rPr>
                  <w:rStyle w:val="Hyperlink"/>
                </w:rPr>
                <w:t>Yuba I FRB</w:t>
              </w:r>
            </w:hyperlink>
            <w:r>
              <w:t xml:space="preserve">, launched in 2018 with restoration work completed in 2023. The Yuba I FRB helped to catalyze the formation of the </w:t>
            </w:r>
            <w:hyperlink r:id="rId310" w:history="1">
              <w:r>
                <w:rPr>
                  <w:rStyle w:val="Hyperlink"/>
                </w:rPr>
                <w:t>North Yuba Forest Partnership (NYFP)</w:t>
              </w:r>
            </w:hyperlink>
            <w:r>
              <w:t xml:space="preserve"> in 2019. The NYFP is a partnership of nine federal, Tribal, state, and local government agencies and nonprofits focused on forest restoration across 275,000 acres of public and private lands in the North Yuba River Watershed.</w:t>
            </w:r>
          </w:p>
        </w:tc>
      </w:tr>
    </w:tbl>
    <w:p w14:paraId="3CA190E0" w14:textId="77777777" w:rsidR="00072030" w:rsidRPr="00BB38C6" w:rsidRDefault="00072030" w:rsidP="008443D1">
      <w:pPr>
        <w:spacing w:before="160" w:line="240" w:lineRule="auto"/>
      </w:pPr>
    </w:p>
    <w:p w14:paraId="2A9749F3" w14:textId="79BBEDD3" w:rsidR="00CF71BD" w:rsidRPr="004B0E69" w:rsidRDefault="7447A0CF" w:rsidP="00BB5ACB">
      <w:pPr>
        <w:pStyle w:val="Heading4"/>
        <w:spacing w:line="240" w:lineRule="auto"/>
      </w:pPr>
      <w:r>
        <w:t>Best Practices</w:t>
      </w:r>
    </w:p>
    <w:p w14:paraId="61A9D0B3" w14:textId="5C012511" w:rsidR="00CF71BD" w:rsidRPr="00BB38C6" w:rsidRDefault="7447A0CF" w:rsidP="00A90132">
      <w:pPr>
        <w:pStyle w:val="ListParagraph"/>
        <w:numPr>
          <w:ilvl w:val="0"/>
          <w:numId w:val="2"/>
        </w:numPr>
        <w:spacing w:before="160" w:line="240" w:lineRule="auto"/>
      </w:pPr>
      <w:r>
        <w:t>Develop clear, consistent project descriptions that can be adapted for different funders.</w:t>
      </w:r>
    </w:p>
    <w:p w14:paraId="74022B12" w14:textId="5E2D5D39" w:rsidR="00CF71BD" w:rsidRPr="00BB38C6" w:rsidRDefault="7447A0CF" w:rsidP="00A90132">
      <w:pPr>
        <w:pStyle w:val="ListParagraph"/>
        <w:numPr>
          <w:ilvl w:val="0"/>
          <w:numId w:val="2"/>
        </w:numPr>
        <w:spacing w:before="160" w:line="240" w:lineRule="auto"/>
        <w:rPr>
          <w:rFonts w:eastAsia="MS Mincho" w:cs="Arial"/>
        </w:rPr>
      </w:pPr>
      <w:r>
        <w:rPr>
          <w:rFonts w:eastAsia="MS Mincho" w:cs="Arial"/>
        </w:rPr>
        <w:t xml:space="preserve">Align projects to address multiple goals. </w:t>
      </w:r>
      <w:r>
        <w:t>By highlighting multiple benefits of resilience projects, more funders are likely to emerge to support implementation.</w:t>
      </w:r>
    </w:p>
    <w:p w14:paraId="0358109C" w14:textId="119E1001" w:rsidR="00CF71BD" w:rsidRPr="00BB38C6" w:rsidRDefault="7447A0CF" w:rsidP="00A90132">
      <w:pPr>
        <w:pStyle w:val="ListParagraph"/>
        <w:numPr>
          <w:ilvl w:val="0"/>
          <w:numId w:val="2"/>
        </w:numPr>
        <w:spacing w:before="160" w:line="240" w:lineRule="auto"/>
      </w:pPr>
      <w:r>
        <w:t>Build relationships with representatives of key State and Federal agencies.</w:t>
      </w:r>
    </w:p>
    <w:p w14:paraId="4777F4C6" w14:textId="654FA7B6" w:rsidR="00CF71BD" w:rsidRPr="00BB38C6" w:rsidRDefault="7447A0CF" w:rsidP="00A90132">
      <w:pPr>
        <w:pStyle w:val="ListParagraph"/>
        <w:numPr>
          <w:ilvl w:val="0"/>
          <w:numId w:val="2"/>
        </w:numPr>
        <w:spacing w:before="160" w:line="240" w:lineRule="auto"/>
      </w:pPr>
      <w:r>
        <w:t>Work with regional agencies and nearby jurisdictions to apply for grants together. Collaboration with regional partners can result in joint planning and resource sharing activities, as well as cooperative purchasing agreements to support implementation.</w:t>
      </w:r>
    </w:p>
    <w:p w14:paraId="25A936C7" w14:textId="64B2F4F9" w:rsidR="00CF71BD" w:rsidRPr="00BB38C6" w:rsidRDefault="7447A0CF" w:rsidP="00A90132">
      <w:pPr>
        <w:pStyle w:val="ListParagraph"/>
        <w:numPr>
          <w:ilvl w:val="0"/>
          <w:numId w:val="2"/>
        </w:numPr>
        <w:spacing w:before="160" w:line="240" w:lineRule="auto"/>
      </w:pPr>
      <w:r>
        <w:t>Leverage community and private sector alliances.</w:t>
      </w:r>
      <w:r>
        <w:rPr>
          <w:rFonts w:eastAsia="Century Gothic" w:cs="Century Gothic"/>
          <w:szCs w:val="24"/>
        </w:rPr>
        <w:t xml:space="preserve"> </w:t>
      </w:r>
      <w:r>
        <w:t>Aligning strategies with local community groups and private sector entities is a good way to ensure ongoing effectiveness. It also is a way to limit cost burden by delegating aspects of implementation to an external entity. This can be formally established with an MOU or a similar formal partnership agreement. The following section describes outreach specifically, a critical part of ensuring that adaptation benefits are shared in all parts of a community and that the actions bolster social equity.</w:t>
      </w:r>
    </w:p>
    <w:p w14:paraId="02968A9C" w14:textId="32CA6D7D" w:rsidR="00CF71BD" w:rsidRPr="00BB38C6" w:rsidRDefault="7447A0CF" w:rsidP="00A90132">
      <w:pPr>
        <w:pStyle w:val="ListParagraph"/>
        <w:numPr>
          <w:ilvl w:val="0"/>
          <w:numId w:val="2"/>
        </w:numPr>
        <w:spacing w:before="160" w:line="240" w:lineRule="auto"/>
      </w:pPr>
      <w:r>
        <w:rPr>
          <w:rFonts w:eastAsia="MS Mincho" w:cs="Arial"/>
        </w:rPr>
        <w:t xml:space="preserve">Build local support. </w:t>
      </w:r>
      <w:r>
        <w:t>Building and sustaining partner support for resilience action is an essential component of a finance strategy. As a jurisdiction overhauls its internal spending plan to incorporate climate and disaster resilience improvements, develops new revenue sources, or seeks voter approval for tax measures, having solid community backing is a baseline need.</w:t>
      </w:r>
    </w:p>
    <w:p w14:paraId="61D7A4DD" w14:textId="77777777" w:rsidR="00F51B72" w:rsidRPr="00BB38C6" w:rsidRDefault="00F51B72" w:rsidP="00E572DC">
      <w:pPr>
        <w:pStyle w:val="ListParagraph"/>
        <w:spacing w:before="160" w:line="240" w:lineRule="auto"/>
        <w:ind w:left="0"/>
        <w:contextualSpacing w:val="0"/>
      </w:pPr>
    </w:p>
    <w:p w14:paraId="03614201" w14:textId="331FD452" w:rsidR="00CF71BD" w:rsidRPr="00BB38C6" w:rsidRDefault="00DB791D" w:rsidP="007E4F3F">
      <w:pPr>
        <w:pStyle w:val="Heading3"/>
        <w:spacing w:after="160" w:line="240" w:lineRule="auto"/>
      </w:pPr>
      <w:bookmarkStart w:id="204" w:name="_Toc235802724"/>
      <w:r>
        <w:t>Step 4.1C: Implementation Outreach</w:t>
      </w:r>
      <w:bookmarkEnd w:id="204"/>
    </w:p>
    <w:p w14:paraId="452DD99C" w14:textId="1C8D9707" w:rsidR="00CF71BD" w:rsidRPr="00BB38C6" w:rsidRDefault="00CF71BD" w:rsidP="007E4F3F">
      <w:pPr>
        <w:spacing w:before="160" w:line="240" w:lineRule="auto"/>
      </w:pPr>
      <w:r>
        <w:t xml:space="preserve">When the adaptation planning process is complete and the plan is approved, the transition to implementation can be celebrated with a fun, public event. Such an event is an opportunity to honor partners and their role in the </w:t>
      </w:r>
      <w:r w:rsidR="003000D9">
        <w:t xml:space="preserve">process and can </w:t>
      </w:r>
      <w:r w:rsidR="003000D9" w:rsidRPr="003000D9">
        <w:t>serve as a launch point for the next phase of putting the adaptation plan into action</w:t>
      </w:r>
      <w:r>
        <w:t>. The event should be planned with those already engaged in the process, but this is also an opportunity to identify partners that have not been involved and could be important voices and partners during implementation. This includes communities most likely impacted by one or more points of vulnerability or affected by the strategies that have been prioritized for implementation. Community members and community-based organizations can continue serving as partners throughout the lifespan of the plan by sharing local knowledge, providing feedback and helping evaluate if strategies are achieving intended outcomes.</w:t>
      </w:r>
    </w:p>
    <w:p w14:paraId="0B0206D3" w14:textId="7CF67A86" w:rsidR="00CF71BD" w:rsidRPr="00BB38C6" w:rsidRDefault="00723AA6" w:rsidP="007E4F3F">
      <w:pPr>
        <w:spacing w:before="160" w:line="240" w:lineRule="auto"/>
      </w:pPr>
      <w:r>
        <w:t xml:space="preserve"> During engagement, the planning team can share ongoing progress of adaptation actions and their resulting benefits with:</w:t>
      </w:r>
    </w:p>
    <w:p w14:paraId="67CC7543" w14:textId="1DF701CE" w:rsidR="00CF71BD" w:rsidRPr="00BB38C6" w:rsidRDefault="00CF71BD" w:rsidP="00A90132">
      <w:pPr>
        <w:pStyle w:val="ListParagraph"/>
        <w:numPr>
          <w:ilvl w:val="0"/>
          <w:numId w:val="2"/>
        </w:numPr>
        <w:spacing w:before="160" w:line="240" w:lineRule="auto"/>
      </w:pPr>
      <w:r>
        <w:t>Collaborators in education</w:t>
      </w:r>
    </w:p>
    <w:p w14:paraId="29BB766A" w14:textId="280D10BB" w:rsidR="00CF71BD" w:rsidRPr="00BB38C6" w:rsidRDefault="00CF71BD" w:rsidP="00A90132">
      <w:pPr>
        <w:pStyle w:val="ListParagraph"/>
        <w:numPr>
          <w:ilvl w:val="0"/>
          <w:numId w:val="2"/>
        </w:numPr>
        <w:spacing w:before="160" w:line="240" w:lineRule="auto"/>
      </w:pPr>
      <w:r>
        <w:t>Participants and facilitators of tours of adaptation projects as they are implemented</w:t>
      </w:r>
    </w:p>
    <w:p w14:paraId="17BA89A4" w14:textId="1847A80F" w:rsidR="00CF71BD" w:rsidRPr="00BB38C6" w:rsidRDefault="00CF71BD" w:rsidP="00A90132">
      <w:pPr>
        <w:pStyle w:val="ListParagraph"/>
        <w:numPr>
          <w:ilvl w:val="0"/>
          <w:numId w:val="2"/>
        </w:numPr>
        <w:spacing w:before="160" w:line="240" w:lineRule="auto"/>
      </w:pPr>
      <w:r>
        <w:t>Recipients of surveys assessing effectiveness and social acceptance</w:t>
      </w:r>
    </w:p>
    <w:p w14:paraId="6A3F16D7" w14:textId="1006FDED" w:rsidR="00CF71BD" w:rsidRPr="00BB38C6" w:rsidRDefault="00CF71BD" w:rsidP="00A90132">
      <w:pPr>
        <w:pStyle w:val="ListParagraph"/>
        <w:numPr>
          <w:ilvl w:val="0"/>
          <w:numId w:val="2"/>
        </w:numPr>
        <w:spacing w:before="160" w:line="240" w:lineRule="auto"/>
      </w:pPr>
      <w:r>
        <w:t>Receptors or generators of online updates of adaptation progress</w:t>
      </w:r>
    </w:p>
    <w:p w14:paraId="115C3423" w14:textId="77482298" w:rsidR="00CF71BD" w:rsidRPr="00BB38C6" w:rsidRDefault="00CF71BD" w:rsidP="00A90132">
      <w:pPr>
        <w:pStyle w:val="ListParagraph"/>
        <w:numPr>
          <w:ilvl w:val="0"/>
          <w:numId w:val="2"/>
        </w:numPr>
        <w:spacing w:before="160" w:line="240" w:lineRule="auto"/>
      </w:pPr>
      <w:r>
        <w:t>Participants or leaders of pop-up booths at locations illustrating adaptive action or community events</w:t>
      </w:r>
    </w:p>
    <w:p w14:paraId="165DA057" w14:textId="3CF78A40" w:rsidR="00AC4C89" w:rsidRDefault="00CF71BD" w:rsidP="007E4F3F">
      <w:pPr>
        <w:spacing w:before="160" w:line="240" w:lineRule="auto"/>
      </w:pPr>
      <w:r>
        <w:t>Communities can ensure ongoing support for adaptation by maintaining outreach efforts. Climate adaptation requires ongoing, long-term commitment despite changes in elected leaders. When people are informed about and involved in adaptation strategy development, implementation, and monitoring, they are more likely to call on local leadership to continue support.</w:t>
      </w:r>
    </w:p>
    <w:p w14:paraId="598598A3" w14:textId="77777777" w:rsidR="008E564C" w:rsidRDefault="008E564C" w:rsidP="008E564C">
      <w:pPr>
        <w:spacing w:before="160" w:line="240" w:lineRule="auto"/>
      </w:pPr>
      <w:r>
        <w:t xml:space="preserve">Continued engagement requires reducing barriers; making ongoing participation accessible is a key factor for implementation. When engaging with the community, consider meeting times, language access, disability access, childcare, transportation, virtual options, and other factors that can support more community members to participate. </w:t>
      </w:r>
    </w:p>
    <w:p w14:paraId="36B005B2" w14:textId="75444808" w:rsidR="008E564C" w:rsidRDefault="008E564C" w:rsidP="007E4F3F">
      <w:pPr>
        <w:spacing w:before="160" w:line="240" w:lineRule="auto"/>
      </w:pPr>
      <w:r>
        <w:t>During implementation, it is important to have community members assess whether adaptation actions are reaching the intended population and reducing identified disparities. Celebrating milestones throughout implementation can be a powerful way to recognize the contributions of community members, Trib</w:t>
      </w:r>
      <w:r w:rsidR="00053312">
        <w:t>es</w:t>
      </w:r>
      <w:r>
        <w:t xml:space="preserve">, partner organizations, local governments, and other collaborators whose participation supports long-term resilience. </w:t>
      </w:r>
    </w:p>
    <w:tbl>
      <w:tblPr>
        <w:tblStyle w:val="TableGrid"/>
        <w:tblW w:w="0" w:type="auto"/>
        <w:tblLook w:val="04A0" w:firstRow="1" w:lastRow="0" w:firstColumn="1" w:lastColumn="0" w:noHBand="0" w:noVBand="1"/>
      </w:tblPr>
      <w:tblGrid>
        <w:gridCol w:w="9350"/>
      </w:tblGrid>
      <w:tr w:rsidR="001D12F2" w:rsidRPr="00BB03C0" w14:paraId="5823543F" w14:textId="77777777" w:rsidTr="00A26E7F">
        <w:trPr>
          <w:trHeight w:val="576"/>
        </w:trPr>
        <w:tc>
          <w:tcPr>
            <w:tcW w:w="9350" w:type="dxa"/>
            <w:tcBorders>
              <w:top w:val="nil"/>
              <w:left w:val="nil"/>
              <w:bottom w:val="nil"/>
              <w:right w:val="nil"/>
            </w:tcBorders>
            <w:shd w:val="clear" w:color="auto" w:fill="1F5485"/>
            <w:vAlign w:val="center"/>
          </w:tcPr>
          <w:p w14:paraId="273FDD8E" w14:textId="360EB15F" w:rsidR="001D12F2" w:rsidRPr="00ED610E" w:rsidRDefault="001D12F2" w:rsidP="00A26E7F">
            <w:pPr>
              <w:rPr>
                <w:b/>
                <w:bCs/>
                <w:color w:val="FFFFFF" w:themeColor="background1"/>
              </w:rPr>
            </w:pPr>
            <w:r>
              <w:rPr>
                <w:b/>
                <w:bCs/>
                <w:color w:val="FFFFFF" w:themeColor="background1"/>
              </w:rPr>
              <w:t xml:space="preserve">Case Study: City of Lakewood’s Local Hazard Mitigation Plan </w:t>
            </w:r>
          </w:p>
        </w:tc>
      </w:tr>
      <w:tr w:rsidR="001D12F2" w14:paraId="45262B9C" w14:textId="77777777">
        <w:tc>
          <w:tcPr>
            <w:tcW w:w="9350" w:type="dxa"/>
            <w:tcBorders>
              <w:top w:val="nil"/>
              <w:left w:val="nil"/>
              <w:bottom w:val="nil"/>
              <w:right w:val="nil"/>
            </w:tcBorders>
            <w:shd w:val="clear" w:color="auto" w:fill="DCEAF7"/>
          </w:tcPr>
          <w:p w14:paraId="361E25D2" w14:textId="52A7AF21" w:rsidR="001D12F2" w:rsidRDefault="001D12F2" w:rsidP="00224CC0">
            <w:pPr>
              <w:spacing w:before="120" w:after="160"/>
            </w:pPr>
            <w:r>
              <w:t xml:space="preserve">The 2026 </w:t>
            </w:r>
            <w:hyperlink r:id="rId311" w:history="1">
              <w:r>
                <w:rPr>
                  <w:rStyle w:val="Hyperlink"/>
                  <w:i/>
                  <w:iCs/>
                  <w:szCs w:val="22"/>
                </w:rPr>
                <w:t>City</w:t>
              </w:r>
              <w:r>
                <w:rPr>
                  <w:rStyle w:val="Hyperlink"/>
                  <w:i/>
                  <w:iCs/>
                </w:rPr>
                <w:t xml:space="preserve"> of Lakewood LHMP</w:t>
              </w:r>
            </w:hyperlink>
            <w:r>
              <w:t xml:space="preserve"> committed to public engagement and outreach during its implementation phase as a way to celebrate their mitigation successes and draw attention to the work it was doing to protect life and property:</w:t>
            </w:r>
          </w:p>
          <w:p w14:paraId="3D9DBBB6" w14:textId="12ECD40D" w:rsidR="001D12F2" w:rsidRDefault="001D12F2" w:rsidP="00A64894">
            <w:pPr>
              <w:spacing w:before="160"/>
              <w:rPr>
                <w:b/>
                <w:bCs/>
              </w:rPr>
            </w:pPr>
            <w:r>
              <w:rPr>
                <w:b/>
                <w:bCs/>
              </w:rPr>
              <w:t>Continued Public Involvement</w:t>
            </w:r>
          </w:p>
          <w:p w14:paraId="67370776" w14:textId="228FBB96" w:rsidR="001D12F2" w:rsidRDefault="001D12F2" w:rsidP="00224CC0">
            <w:pPr>
              <w:spacing w:after="120"/>
            </w:pPr>
            <w:r>
              <w:t>To facilitate ongoing public input, the completed and adopted Hazard Mitigation Plan will be posted on the City’s website and social media outlets to allow the public to remain engaged and provide feedback. Additionally, the City’s social media outlets and weekly email magazine will be used to inform the public on mitigation action implementation, including the progress and completion of projects. These outreach platforms also provide an opportunity to highlight the City’s “wins”, emphasizing how mitigation efforts protect public safety, reduce long-term recovery costs, and demonstrate responsible use of public funds.</w:t>
            </w:r>
          </w:p>
        </w:tc>
      </w:tr>
    </w:tbl>
    <w:p w14:paraId="00CD3EE2" w14:textId="17CC4CCB" w:rsidR="002C2BD1" w:rsidRDefault="002C2BD1" w:rsidP="007E4F3F">
      <w:pPr>
        <w:spacing w:before="160" w:line="240" w:lineRule="auto"/>
      </w:pPr>
    </w:p>
    <w:p w14:paraId="1D4A8513" w14:textId="13C6AF90" w:rsidR="00CF71BD" w:rsidRPr="00BB38C6" w:rsidRDefault="00CF71BD" w:rsidP="007E4F3F">
      <w:pPr>
        <w:pStyle w:val="Heading2"/>
        <w:spacing w:before="160" w:after="160" w:line="240" w:lineRule="auto"/>
      </w:pPr>
      <w:bookmarkStart w:id="205" w:name="_Toc235802725"/>
      <w:r>
        <w:t>Step 4.2: Monitoring and Evaluation</w:t>
      </w:r>
      <w:bookmarkEnd w:id="205"/>
    </w:p>
    <w:p w14:paraId="4EDFED43" w14:textId="0BD88F7D" w:rsidR="00CF71BD" w:rsidRPr="00BB38C6" w:rsidRDefault="00CF71BD" w:rsidP="007E4F3F">
      <w:pPr>
        <w:spacing w:before="160" w:line="240" w:lineRule="auto"/>
      </w:pPr>
      <w:r>
        <w:t>Goal: Monitor changing climate and community conditions and track effectiveness of adaptation strategies to determine if adjustments are needed.</w:t>
      </w:r>
    </w:p>
    <w:p w14:paraId="7F9E087D" w14:textId="07E963AB" w:rsidR="00CF71BD" w:rsidRPr="00BB38C6" w:rsidRDefault="00CF71BD" w:rsidP="1C7FB60C">
      <w:pPr>
        <w:spacing w:before="160" w:line="240" w:lineRule="auto"/>
      </w:pPr>
      <w:r>
        <w:t xml:space="preserve">Monitoring progress and evaluating identified strategies are essential tools to ensure effective implementation of adaptation strategies and projects. These practices help ensure projects address local needs, secure sustainable and long-term funding, and maintain strong coordination and collaboration across key partners. </w:t>
      </w:r>
      <w:r w:rsidR="2B81D5DB">
        <w:t>For</w:t>
      </w:r>
      <w:r>
        <w:t xml:space="preserve"> adaptation strategies to </w:t>
      </w:r>
      <w:r w:rsidR="570CC2AF">
        <w:t>be effective</w:t>
      </w:r>
      <w:r>
        <w:t>, it is imperative to continuously monitor, evaluate, and adjust strategies to be responsive to a changing climate and community conditions. Adaptation strategies should be flexible to effectively respond to climate conditions, advancements in best available science and technology, changes in funding priorities, and community needs.</w:t>
      </w:r>
    </w:p>
    <w:p w14:paraId="3A19B5A5" w14:textId="065CEACE" w:rsidR="00427C5C" w:rsidRDefault="00427C5C" w:rsidP="007E4F3F">
      <w:pPr>
        <w:spacing w:before="160" w:line="240" w:lineRule="auto"/>
      </w:pPr>
      <w:r>
        <w:t>Effective monitoring of strategies requires clearly defined timelines, designated agencies or teams responsible for tracking progress, and clear intended outcomes. Establishing these components early helps ensure consistent oversight and accountability throughout implementation. Clear monitoring roles and expectations also support coordination across agencies and departments, aligning efforts towards shared goals and milestones. These elements should be incorporated during Phase 3 to strengthen implementation tracking and ensure progress can be measured over time.</w:t>
      </w:r>
    </w:p>
    <w:p w14:paraId="6C5A302D" w14:textId="77777777" w:rsidR="00D62269" w:rsidRPr="00BB38C6" w:rsidRDefault="00D62269" w:rsidP="007E4F3F">
      <w:pPr>
        <w:spacing w:before="160" w:line="240" w:lineRule="auto"/>
      </w:pPr>
    </w:p>
    <w:p w14:paraId="78C1B706" w14:textId="06200626" w:rsidR="00051AA9" w:rsidRDefault="00DB791D" w:rsidP="007E4F3F">
      <w:pPr>
        <w:pStyle w:val="Heading3"/>
        <w:spacing w:after="160" w:line="240" w:lineRule="auto"/>
      </w:pPr>
      <w:bookmarkStart w:id="206" w:name="_Toc235802726"/>
      <w:r>
        <w:t>Step 4.2A: Metrics and Indicators</w:t>
      </w:r>
      <w:bookmarkEnd w:id="206"/>
    </w:p>
    <w:p w14:paraId="03A5C18F" w14:textId="1E13F26B" w:rsidR="00CF71BD" w:rsidRDefault="00CF71BD" w:rsidP="007E4F3F">
      <w:pPr>
        <w:spacing w:before="160" w:line="240" w:lineRule="auto"/>
      </w:pPr>
      <w:r>
        <w:t xml:space="preserve">All plans should incorporate clear monitoring and evaluation metrics to track implementation progress, assess effectiveness, and determine whether the strategies are achieving equitable outcomes. Metrics and indicators should be clearly defined, measurable, and align with the overall goals of the plan (see examples in </w:t>
      </w:r>
      <w:r>
        <w:rPr>
          <w:u w:val="single"/>
        </w:rPr>
        <w:fldChar w:fldCharType="begin"/>
      </w:r>
      <w:r>
        <w:rPr>
          <w:u w:val="single"/>
        </w:rPr>
        <w:instrText xml:space="preserve"> REF _Ref229739954 \h  \* MERGEFORMAT </w:instrText>
      </w:r>
      <w:r>
        <w:rPr>
          <w:u w:val="single"/>
        </w:rPr>
      </w:r>
      <w:r>
        <w:rPr>
          <w:u w:val="single"/>
        </w:rPr>
        <w:fldChar w:fldCharType="separate"/>
      </w:r>
      <w:r w:rsidR="00517691" w:rsidRPr="00517691">
        <w:rPr>
          <w:u w:val="single"/>
        </w:rPr>
        <w:t xml:space="preserve">Table </w:t>
      </w:r>
      <w:r w:rsidR="00517691" w:rsidRPr="00517691">
        <w:rPr>
          <w:noProof/>
          <w:u w:val="single"/>
        </w:rPr>
        <w:t>22</w:t>
      </w:r>
      <w:r>
        <w:rPr>
          <w:u w:val="single"/>
        </w:rPr>
        <w:fldChar w:fldCharType="end"/>
      </w:r>
      <w:r>
        <w:t xml:space="preserve"> below). Monitoring data should be regularly evaluated to determine if strategies are still effective and if any adjustments are needed. The monitoring data should be analyzed and evaluated to identify if and how a strategy no longer meets community needs. This evaluation should focus on what the community sees as the goal of the adaptation strategy, so that effectiveness can be assessed based on community need. An evaluation solely based on monitoring metrics could show that a strategy is being successfully implemented even if a community is dissatisfied with the strategy. However, a holistic assessment focused on evaluating community needs and monitoring metrics could reveal pathways forward for adjusting a strategy to meet community needs.</w:t>
      </w:r>
    </w:p>
    <w:p w14:paraId="18240D46" w14:textId="77777777" w:rsidR="00B63814" w:rsidRDefault="00B63814" w:rsidP="007E4F3F">
      <w:pPr>
        <w:spacing w:before="160" w:line="240" w:lineRule="auto"/>
      </w:pPr>
    </w:p>
    <w:p w14:paraId="2AD9817A" w14:textId="77777777" w:rsidR="00B63814" w:rsidRDefault="00B63814" w:rsidP="007E4F3F">
      <w:pPr>
        <w:spacing w:before="160" w:line="240" w:lineRule="auto"/>
      </w:pPr>
    </w:p>
    <w:p w14:paraId="67FC4CDF" w14:textId="77777777" w:rsidR="00B63814" w:rsidRDefault="00B63814" w:rsidP="007E4F3F">
      <w:pPr>
        <w:spacing w:before="160" w:line="240" w:lineRule="auto"/>
      </w:pPr>
    </w:p>
    <w:p w14:paraId="1C808BB0" w14:textId="77777777" w:rsidR="00B63814" w:rsidRDefault="00B63814" w:rsidP="007E4F3F">
      <w:pPr>
        <w:spacing w:before="160" w:line="240" w:lineRule="auto"/>
      </w:pPr>
    </w:p>
    <w:p w14:paraId="362B4624" w14:textId="0754F3DA" w:rsidR="00B91FD0" w:rsidRPr="00CA6BDC" w:rsidRDefault="007D4CA0" w:rsidP="00BB5ACB">
      <w:pPr>
        <w:spacing w:after="0" w:line="240" w:lineRule="auto"/>
        <w:rPr>
          <w:b/>
        </w:rPr>
      </w:pPr>
      <w:bookmarkStart w:id="207" w:name="_Ref229739954"/>
      <w:r>
        <w:rPr>
          <w:b/>
          <w:bCs/>
        </w:rPr>
        <w:t xml:space="preserve">Table </w:t>
      </w:r>
      <w:r>
        <w:rPr>
          <w:b/>
          <w:bCs/>
        </w:rPr>
        <w:fldChar w:fldCharType="begin"/>
      </w:r>
      <w:r>
        <w:rPr>
          <w:b/>
          <w:bCs/>
        </w:rPr>
        <w:instrText xml:space="preserve"> SEQ Table \* ARABIC </w:instrText>
      </w:r>
      <w:r>
        <w:rPr>
          <w:b/>
          <w:bCs/>
        </w:rPr>
        <w:fldChar w:fldCharType="separate"/>
      </w:r>
      <w:r w:rsidR="00517691">
        <w:rPr>
          <w:b/>
          <w:bCs/>
          <w:noProof/>
        </w:rPr>
        <w:t>22</w:t>
      </w:r>
      <w:r>
        <w:rPr>
          <w:b/>
          <w:bCs/>
        </w:rPr>
        <w:fldChar w:fldCharType="end"/>
      </w:r>
      <w:bookmarkEnd w:id="207"/>
      <w:r>
        <w:rPr>
          <w:b/>
          <w:bCs/>
        </w:rPr>
        <w:t>. Example indicators and metrics</w:t>
      </w:r>
    </w:p>
    <w:tbl>
      <w:tblPr>
        <w:tblStyle w:val="TableGrid"/>
        <w:tblW w:w="9445" w:type="dxa"/>
        <w:tblLook w:val="04A0" w:firstRow="1" w:lastRow="0" w:firstColumn="1" w:lastColumn="0" w:noHBand="0" w:noVBand="1"/>
        <w:tblDescription w:val="4 indicators with descriptions and example metrics to measure the indicators"/>
      </w:tblPr>
      <w:tblGrid>
        <w:gridCol w:w="1966"/>
        <w:gridCol w:w="3429"/>
        <w:gridCol w:w="4050"/>
      </w:tblGrid>
      <w:tr w:rsidR="00B91FD0" w:rsidRPr="00072030" w14:paraId="089E2F4A" w14:textId="77777777" w:rsidTr="002525CC">
        <w:trPr>
          <w:cantSplit/>
          <w:tblHeader/>
        </w:trPr>
        <w:tc>
          <w:tcPr>
            <w:tcW w:w="1966" w:type="dxa"/>
            <w:shd w:val="clear" w:color="auto" w:fill="000000" w:themeFill="text1"/>
          </w:tcPr>
          <w:p w14:paraId="352E9F48" w14:textId="77777777" w:rsidR="00B91FD0" w:rsidRPr="00072030" w:rsidRDefault="00B91FD0" w:rsidP="00BB5ACB">
            <w:pPr>
              <w:rPr>
                <w:b/>
              </w:rPr>
            </w:pPr>
            <w:r>
              <w:rPr>
                <w:b/>
              </w:rPr>
              <w:t>Indicator</w:t>
            </w:r>
          </w:p>
        </w:tc>
        <w:tc>
          <w:tcPr>
            <w:tcW w:w="3429" w:type="dxa"/>
            <w:shd w:val="clear" w:color="auto" w:fill="000000" w:themeFill="text1"/>
          </w:tcPr>
          <w:p w14:paraId="58A15C94" w14:textId="77777777" w:rsidR="00B91FD0" w:rsidRPr="00072030" w:rsidRDefault="00B91FD0" w:rsidP="00BB5ACB">
            <w:pPr>
              <w:rPr>
                <w:b/>
              </w:rPr>
            </w:pPr>
            <w:r>
              <w:rPr>
                <w:b/>
              </w:rPr>
              <w:t>Description</w:t>
            </w:r>
          </w:p>
        </w:tc>
        <w:tc>
          <w:tcPr>
            <w:tcW w:w="4050" w:type="dxa"/>
            <w:shd w:val="clear" w:color="auto" w:fill="000000" w:themeFill="text1"/>
          </w:tcPr>
          <w:p w14:paraId="41698849" w14:textId="57C4B428" w:rsidR="00B91FD0" w:rsidRPr="00072030" w:rsidRDefault="00B91FD0" w:rsidP="00BB5ACB">
            <w:pPr>
              <w:rPr>
                <w:b/>
              </w:rPr>
            </w:pPr>
            <w:r>
              <w:rPr>
                <w:b/>
              </w:rPr>
              <w:t>Example Metrics</w:t>
            </w:r>
          </w:p>
        </w:tc>
      </w:tr>
      <w:tr w:rsidR="00B91FD0" w:rsidRPr="00BB38C6" w14:paraId="597BF1AD" w14:textId="77777777" w:rsidTr="002525CC">
        <w:trPr>
          <w:cantSplit/>
          <w:tblHeader/>
        </w:trPr>
        <w:tc>
          <w:tcPr>
            <w:tcW w:w="1966" w:type="dxa"/>
          </w:tcPr>
          <w:p w14:paraId="3788EA66" w14:textId="0AAA0F9E" w:rsidR="00B91FD0" w:rsidRPr="00BB38C6" w:rsidRDefault="00B91FD0" w:rsidP="00BB5ACB">
            <w:r>
              <w:t>Climate Change Indicators</w:t>
            </w:r>
          </w:p>
        </w:tc>
        <w:tc>
          <w:tcPr>
            <w:tcW w:w="3429" w:type="dxa"/>
          </w:tcPr>
          <w:p w14:paraId="1A950D98" w14:textId="1F9877EC" w:rsidR="00B91FD0" w:rsidRPr="00BB38C6" w:rsidRDefault="00B91FD0" w:rsidP="00BB5ACB">
            <w:r>
              <w:t>These indicators are measurable variables that track changes associated with the impacts of climate events.</w:t>
            </w:r>
          </w:p>
        </w:tc>
        <w:tc>
          <w:tcPr>
            <w:tcW w:w="4050" w:type="dxa"/>
          </w:tcPr>
          <w:p w14:paraId="63373F15" w14:textId="31CB132B" w:rsidR="00B91FD0" w:rsidRPr="00BB38C6" w:rsidRDefault="00B91FD0" w:rsidP="00BB5ACB">
            <w:r>
              <w:t>Mean High Tide (Sea Level Rise), flood frequency and intensity, fire frequency and intensity, greenhouse gas (GHG) concentration, drought severity, global average temperature</w:t>
            </w:r>
          </w:p>
        </w:tc>
      </w:tr>
      <w:tr w:rsidR="00B91FD0" w:rsidRPr="00BB38C6" w14:paraId="13215994" w14:textId="77777777" w:rsidTr="002525CC">
        <w:trPr>
          <w:cantSplit/>
          <w:tblHeader/>
        </w:trPr>
        <w:tc>
          <w:tcPr>
            <w:tcW w:w="1966" w:type="dxa"/>
            <w:shd w:val="clear" w:color="auto" w:fill="D9D9D9" w:themeFill="background1" w:themeFillShade="D9"/>
          </w:tcPr>
          <w:p w14:paraId="02F36D04" w14:textId="7C747BCF" w:rsidR="00B91FD0" w:rsidRPr="00BB38C6" w:rsidRDefault="00B91FD0" w:rsidP="00BB5ACB">
            <w:r>
              <w:t>Vulnerability Indicators</w:t>
            </w:r>
          </w:p>
        </w:tc>
        <w:tc>
          <w:tcPr>
            <w:tcW w:w="3429" w:type="dxa"/>
            <w:shd w:val="clear" w:color="auto" w:fill="D9D9D9" w:themeFill="background1" w:themeFillShade="D9"/>
          </w:tcPr>
          <w:p w14:paraId="4FA9ECE6" w14:textId="5D5D00C5" w:rsidR="00B91FD0" w:rsidRPr="00BB38C6" w:rsidRDefault="00B91FD0" w:rsidP="00BB5ACB">
            <w:r>
              <w:t>These indicators track the community’s exposure to climate threats, the sensitivity of the community of these events, and how suited a community is to adapt to climate threats.</w:t>
            </w:r>
          </w:p>
        </w:tc>
        <w:tc>
          <w:tcPr>
            <w:tcW w:w="4050" w:type="dxa"/>
            <w:shd w:val="clear" w:color="auto" w:fill="D9D9D9" w:themeFill="background1" w:themeFillShade="D9"/>
          </w:tcPr>
          <w:p w14:paraId="44F2011C" w14:textId="033CC12D" w:rsidR="00B91FD0" w:rsidRPr="00BB38C6" w:rsidRDefault="00B91FD0" w:rsidP="00BB5ACB">
            <w:r>
              <w:t># of people living in flood-zone or high fire severity zone, poverty rate, % of households below poverty line, asthma rates</w:t>
            </w:r>
          </w:p>
        </w:tc>
      </w:tr>
      <w:tr w:rsidR="00B91FD0" w:rsidRPr="00BB38C6" w14:paraId="444DFCA3" w14:textId="77777777" w:rsidTr="002525CC">
        <w:trPr>
          <w:cantSplit/>
          <w:tblHeader/>
        </w:trPr>
        <w:tc>
          <w:tcPr>
            <w:tcW w:w="1966" w:type="dxa"/>
          </w:tcPr>
          <w:p w14:paraId="01764468" w14:textId="29631123" w:rsidR="00B91FD0" w:rsidRPr="00BB38C6" w:rsidRDefault="00B91FD0" w:rsidP="00BB5ACB">
            <w:r>
              <w:t>Climate Adaptation Indicators</w:t>
            </w:r>
          </w:p>
        </w:tc>
        <w:tc>
          <w:tcPr>
            <w:tcW w:w="3429" w:type="dxa"/>
          </w:tcPr>
          <w:p w14:paraId="312B01C1" w14:textId="75722F59" w:rsidR="00B91FD0" w:rsidRPr="00BB38C6" w:rsidRDefault="00B91FD0" w:rsidP="00BB5ACB">
            <w:r>
              <w:t xml:space="preserve">These metrics track the community’s progress towards planning for and responding to the impacts of climate change. </w:t>
            </w:r>
          </w:p>
        </w:tc>
        <w:tc>
          <w:tcPr>
            <w:tcW w:w="4050" w:type="dxa"/>
          </w:tcPr>
          <w:p w14:paraId="59EF16E4" w14:textId="43FB77CD" w:rsidR="00B91FD0" w:rsidRPr="00BB38C6" w:rsidRDefault="00B91FD0" w:rsidP="00BB5ACB">
            <w:r>
              <w:t># of disaster response plans, existence of early warning systems, % of infrastructure resilient to flooding, # of training programs to support disaster response, adoption of climate action plans and policies, or climate budgets</w:t>
            </w:r>
          </w:p>
        </w:tc>
      </w:tr>
      <w:tr w:rsidR="00B91FD0" w:rsidRPr="00BB38C6" w14:paraId="260C9813" w14:textId="77777777" w:rsidTr="002525CC">
        <w:trPr>
          <w:cantSplit/>
          <w:tblHeader/>
        </w:trPr>
        <w:tc>
          <w:tcPr>
            <w:tcW w:w="1966" w:type="dxa"/>
            <w:shd w:val="clear" w:color="auto" w:fill="D9D9D9" w:themeFill="background1" w:themeFillShade="D9"/>
          </w:tcPr>
          <w:p w14:paraId="7EE1C63D" w14:textId="405D5953" w:rsidR="00B91FD0" w:rsidRPr="00BB38C6" w:rsidRDefault="00B91FD0" w:rsidP="00BB5ACB">
            <w:r>
              <w:t>Equity Indicators</w:t>
            </w:r>
          </w:p>
        </w:tc>
        <w:tc>
          <w:tcPr>
            <w:tcW w:w="3429" w:type="dxa"/>
            <w:shd w:val="clear" w:color="auto" w:fill="D9D9D9" w:themeFill="background1" w:themeFillShade="D9"/>
          </w:tcPr>
          <w:p w14:paraId="367F07E0" w14:textId="73DA1F1B" w:rsidR="00B91FD0" w:rsidRPr="00BB38C6" w:rsidRDefault="00B91FD0" w:rsidP="00BB5ACB">
            <w:r>
              <w:t>These indicators measure how identified strategies and plans are benefiting vulnerable communities and reducing disparities.</w:t>
            </w:r>
          </w:p>
        </w:tc>
        <w:tc>
          <w:tcPr>
            <w:tcW w:w="4050" w:type="dxa"/>
            <w:shd w:val="clear" w:color="auto" w:fill="D9D9D9" w:themeFill="background1" w:themeFillShade="D9"/>
          </w:tcPr>
          <w:p w14:paraId="425DDDA3" w14:textId="42E3E8C1" w:rsidR="00B91FD0" w:rsidRPr="00BB38C6" w:rsidRDefault="00B91FD0" w:rsidP="00BB5ACB">
            <w:r>
              <w:t>% of adaptation strategies that prioritize vulnerable communities, % of resources and outreach materials offered in languages besides English, representation of vulnerable communities in decision-making process</w:t>
            </w:r>
          </w:p>
        </w:tc>
      </w:tr>
    </w:tbl>
    <w:p w14:paraId="34E28CC5" w14:textId="0294FAB7" w:rsidR="00701812" w:rsidRDefault="00701812" w:rsidP="006A4622">
      <w:pPr>
        <w:spacing w:after="0" w:line="240" w:lineRule="auto"/>
      </w:pPr>
    </w:p>
    <w:p w14:paraId="58AB360B" w14:textId="513A7A7D" w:rsidR="076E87EF" w:rsidRDefault="076E87EF" w:rsidP="076E87EF">
      <w:pPr>
        <w:spacing w:after="0" w:line="240" w:lineRule="auto"/>
      </w:pPr>
    </w:p>
    <w:p w14:paraId="2862FAE0" w14:textId="77777777" w:rsidR="00701812" w:rsidRDefault="00701812">
      <w:r>
        <w:br w:type="page"/>
      </w:r>
    </w:p>
    <w:tbl>
      <w:tblPr>
        <w:tblStyle w:val="TableGrid"/>
        <w:tblW w:w="0" w:type="auto"/>
        <w:tblLook w:val="04A0" w:firstRow="1" w:lastRow="0" w:firstColumn="1" w:lastColumn="0" w:noHBand="0" w:noVBand="1"/>
      </w:tblPr>
      <w:tblGrid>
        <w:gridCol w:w="9350"/>
      </w:tblGrid>
      <w:tr w:rsidR="00E569BB" w:rsidRPr="00BB03C0" w14:paraId="06F176CF" w14:textId="77777777" w:rsidTr="00BB5ACB">
        <w:trPr>
          <w:trHeight w:val="864"/>
        </w:trPr>
        <w:tc>
          <w:tcPr>
            <w:tcW w:w="9350" w:type="dxa"/>
            <w:tcBorders>
              <w:top w:val="nil"/>
              <w:left w:val="nil"/>
              <w:bottom w:val="nil"/>
              <w:right w:val="nil"/>
            </w:tcBorders>
            <w:shd w:val="clear" w:color="auto" w:fill="1F5485"/>
            <w:vAlign w:val="center"/>
          </w:tcPr>
          <w:p w14:paraId="1D70AEE0" w14:textId="09CF320E" w:rsidR="00E569BB" w:rsidRPr="00AA274D" w:rsidRDefault="00E569BB" w:rsidP="00BB5ACB">
            <w:pPr>
              <w:rPr>
                <w:b/>
                <w:color w:val="FFFFFF" w:themeColor="background1"/>
              </w:rPr>
            </w:pPr>
            <w:r>
              <w:rPr>
                <w:b/>
                <w:color w:val="FFFFFF" w:themeColor="background1"/>
              </w:rPr>
              <w:t>Case Study: Manzanita Band of Kumeyaay Nation Crowdsources Adaptation Project Monitoring</w:t>
            </w:r>
          </w:p>
        </w:tc>
      </w:tr>
      <w:tr w:rsidR="00E569BB" w14:paraId="4C28C159" w14:textId="77777777">
        <w:tc>
          <w:tcPr>
            <w:tcW w:w="9350" w:type="dxa"/>
            <w:tcBorders>
              <w:top w:val="nil"/>
              <w:left w:val="nil"/>
              <w:bottom w:val="nil"/>
              <w:right w:val="nil"/>
            </w:tcBorders>
            <w:shd w:val="clear" w:color="auto" w:fill="DCEAF7"/>
          </w:tcPr>
          <w:p w14:paraId="38EC9DF1" w14:textId="1F43C4CE" w:rsidR="00E569BB" w:rsidRDefault="00E569BB" w:rsidP="00224CC0">
            <w:pPr>
              <w:spacing w:before="120" w:after="160"/>
            </w:pPr>
            <w:r>
              <w:t>The Manzanita Band of the Kumeyaay Nation has a deep cultural connection to the ‘</w:t>
            </w:r>
            <w:proofErr w:type="spellStart"/>
            <w:r>
              <w:t>snyaaw</w:t>
            </w:r>
            <w:proofErr w:type="spellEnd"/>
            <w:r>
              <w:t xml:space="preserve"> (Coast Live Oak) in southern California. The 2020 </w:t>
            </w:r>
            <w:hyperlink r:id="rId312" w:history="1">
              <w:r>
                <w:rPr>
                  <w:rStyle w:val="Hyperlink"/>
                  <w:i/>
                  <w:iCs/>
                </w:rPr>
                <w:t>Manzanita Band of the Kumeyaay Nation Tribal Resilience Project</w:t>
              </w:r>
            </w:hyperlink>
            <w:r>
              <w:t xml:space="preserve"> is working to understand the effects of climate change on the habitat in the area and what the Tribe can do to ensure the tree is available for future Manzanita generations.</w:t>
            </w:r>
          </w:p>
          <w:p w14:paraId="463CC29F" w14:textId="4A971915" w:rsidR="00E569BB" w:rsidRDefault="00E569BB" w:rsidP="00224CC0">
            <w:pPr>
              <w:spacing w:before="160" w:after="160"/>
            </w:pPr>
            <w:r>
              <w:t>Part of that work is monitoring the status of the trees over time to determine where new stands of trees are planted, where they are thriving and where they are not, and capturing data for future uses. The Tribe suggests a crowdsourcing method for this, which puts ownership back in the hands of the people most affected:</w:t>
            </w:r>
          </w:p>
          <w:p w14:paraId="78FAE4CF" w14:textId="7CBA197A" w:rsidR="00330B4F" w:rsidRDefault="00E569BB" w:rsidP="00330B4F">
            <w:pPr>
              <w:spacing w:before="160" w:after="160"/>
            </w:pPr>
            <w:r>
              <w:rPr>
                <w:b/>
                <w:bCs/>
              </w:rPr>
              <w:t>Monitoring Plan Recommendation</w:t>
            </w:r>
            <w:r>
              <w:rPr>
                <w:b/>
                <w:bCs/>
              </w:rPr>
              <w:br/>
            </w:r>
            <w:r>
              <w:t>Consider a virtual design process for citizen science oak monitoring including an interactive Google Earth Pro map, survey, and data repository for the Manzanita Tribe. The tool guiding the design parameters is based on the virtual tools and capabilities of Google Earth Pro. With Google Earth Pro, virtual retroactive monitoring can be conducted to build a strong dataset using the Historical Imagery tool. High-resolution Google Earth Pro imagery for the Manzanita Reservation dates back to 2012, with lower-resolution imagery available through 1994. This can help correlate how trees on the reservation responded during dry years and prolonged drought, including canopy die-back, tree mortality, disease, and insect infestations. Google Earth Pro can also support year-round remote monitoring.</w:t>
            </w:r>
          </w:p>
        </w:tc>
      </w:tr>
    </w:tbl>
    <w:p w14:paraId="783BD1B1" w14:textId="20877CAF" w:rsidR="00771F0D" w:rsidRPr="00BB38C6" w:rsidRDefault="00771F0D" w:rsidP="007E4F3F">
      <w:pPr>
        <w:pStyle w:val="Heading4"/>
        <w:spacing w:after="160" w:line="240" w:lineRule="auto"/>
      </w:pPr>
      <w:r>
        <w:t>Considerations when Choosing Metrics</w:t>
      </w:r>
    </w:p>
    <w:p w14:paraId="45EDFD17" w14:textId="4280D0B2" w:rsidR="001E45CC" w:rsidRDefault="00CF71BD" w:rsidP="007E4F3F">
      <w:pPr>
        <w:spacing w:before="160" w:line="240" w:lineRule="auto"/>
      </w:pPr>
      <w:r>
        <w:t xml:space="preserve">When identifying metrics to track, consider baseline data, set short-and long-term targets, and establish timelines for regular data collection and review. </w:t>
      </w:r>
      <w:r>
        <w:rPr>
          <w:bCs/>
        </w:rPr>
        <w:t>The</w:t>
      </w:r>
      <w:r>
        <w:t xml:space="preserve"> 2019 Regional Resilience Toolkit highlights key considerations when identifying metrics:</w:t>
      </w:r>
    </w:p>
    <w:p w14:paraId="54A584A8" w14:textId="2C1CF89A" w:rsidR="0017564E" w:rsidRPr="00E66254" w:rsidRDefault="0017564E" w:rsidP="00A90132">
      <w:pPr>
        <w:pStyle w:val="ListParagraph"/>
        <w:numPr>
          <w:ilvl w:val="0"/>
          <w:numId w:val="2"/>
        </w:numPr>
        <w:spacing w:before="160" w:line="240" w:lineRule="auto"/>
      </w:pPr>
      <w:r>
        <w:rPr>
          <w:b/>
          <w:bCs/>
        </w:rPr>
        <w:t xml:space="preserve">Qualitative or quantitative: </w:t>
      </w:r>
      <w:r>
        <w:t>Consider adopting a combination of both qualitative and quantitative outputs.</w:t>
      </w:r>
    </w:p>
    <w:p w14:paraId="6CDEFE51" w14:textId="7D992F25" w:rsidR="0017564E" w:rsidRPr="00E66254" w:rsidRDefault="0017564E" w:rsidP="00A90132">
      <w:pPr>
        <w:pStyle w:val="ListParagraph"/>
        <w:numPr>
          <w:ilvl w:val="0"/>
          <w:numId w:val="2"/>
        </w:numPr>
        <w:spacing w:before="160" w:line="240" w:lineRule="auto"/>
        <w:rPr>
          <w:b/>
          <w:bCs/>
        </w:rPr>
      </w:pPr>
      <w:r>
        <w:rPr>
          <w:b/>
          <w:bCs/>
        </w:rPr>
        <w:t xml:space="preserve">Simple and clear: </w:t>
      </w:r>
      <w:r>
        <w:t>Identify a small set of metrics that are clearly defined, meaningful, and generally accepted by decision-makers and partners.</w:t>
      </w:r>
    </w:p>
    <w:p w14:paraId="41CF48BC" w14:textId="46341A9E" w:rsidR="0017564E" w:rsidRPr="00E66254" w:rsidRDefault="0017564E" w:rsidP="00A90132">
      <w:pPr>
        <w:pStyle w:val="ListParagraph"/>
        <w:numPr>
          <w:ilvl w:val="0"/>
          <w:numId w:val="2"/>
        </w:numPr>
        <w:spacing w:before="160" w:line="240" w:lineRule="auto"/>
      </w:pPr>
      <w:r>
        <w:rPr>
          <w:b/>
          <w:bCs/>
        </w:rPr>
        <w:t xml:space="preserve">Availability of resources and data: </w:t>
      </w:r>
      <w:r>
        <w:t>Spending too many resources or too much time on data collection can create barriers to access implementation. Metrics are only helpful as they increase the ability of the user to create real, on the ground change.</w:t>
      </w:r>
    </w:p>
    <w:p w14:paraId="48262FEF" w14:textId="5A88183E" w:rsidR="0017564E" w:rsidRPr="00E66254" w:rsidRDefault="0017564E" w:rsidP="00A90132">
      <w:pPr>
        <w:pStyle w:val="ListParagraph"/>
        <w:numPr>
          <w:ilvl w:val="0"/>
          <w:numId w:val="2"/>
        </w:numPr>
        <w:spacing w:before="160" w:line="240" w:lineRule="auto"/>
      </w:pPr>
      <w:r>
        <w:rPr>
          <w:b/>
          <w:bCs/>
        </w:rPr>
        <w:t xml:space="preserve">Types of metrics to use: </w:t>
      </w:r>
      <w:r>
        <w:t>Communities should be deliberate about selecting metrics systems and not be afraid to adapt systems to meet their needs.</w:t>
      </w:r>
    </w:p>
    <w:p w14:paraId="0CCDFB18" w14:textId="08B60DD7" w:rsidR="00CF71BD" w:rsidRPr="00BB38C6" w:rsidRDefault="0017564E" w:rsidP="007E4F3F">
      <w:pPr>
        <w:pStyle w:val="ListParagraph"/>
        <w:numPr>
          <w:ilvl w:val="0"/>
          <w:numId w:val="2"/>
        </w:numPr>
        <w:spacing w:before="160" w:line="240" w:lineRule="auto"/>
      </w:pPr>
      <w:r>
        <w:rPr>
          <w:b/>
          <w:bCs/>
        </w:rPr>
        <w:t xml:space="preserve">Up-to-date and relevant: </w:t>
      </w:r>
      <w:r>
        <w:t>Consider identifying several measurement periods rather than a single absolute end to allow course correction and updates (e.g. quarterly measurements with annual evaluation). Review and evaluate metrics regularly and adjust as needed.</w:t>
      </w:r>
    </w:p>
    <w:p w14:paraId="55268070" w14:textId="62D3F96F" w:rsidR="00CF71BD" w:rsidRPr="00BB38C6" w:rsidRDefault="00CF71BD" w:rsidP="007E4F3F">
      <w:pPr>
        <w:pStyle w:val="Heading4"/>
        <w:spacing w:after="160" w:line="240" w:lineRule="auto"/>
      </w:pPr>
      <w:r>
        <w:t>Additional Factors to Monitor</w:t>
      </w:r>
    </w:p>
    <w:p w14:paraId="411A35C9" w14:textId="115AB581" w:rsidR="00CF71BD" w:rsidRPr="00BB38C6" w:rsidRDefault="00CF71BD" w:rsidP="007E4F3F">
      <w:pPr>
        <w:spacing w:before="160" w:line="240" w:lineRule="auto"/>
      </w:pPr>
      <w:r>
        <w:t>There are additional factors besides indicators and metrics that should be monitored and evaluated to ensure that a strategy and/or plan remains effective. FEMA’s 2024 Climate Adaptation Planning: Guidance for Emergency Managers outlines some of these factors:</w:t>
      </w:r>
    </w:p>
    <w:p w14:paraId="258E257B" w14:textId="35DFF329" w:rsidR="00CF71BD" w:rsidRPr="00BB38C6" w:rsidRDefault="00CF71BD" w:rsidP="00A90132">
      <w:pPr>
        <w:pStyle w:val="ListParagraph"/>
        <w:numPr>
          <w:ilvl w:val="0"/>
          <w:numId w:val="2"/>
        </w:numPr>
        <w:spacing w:before="160" w:line="240" w:lineRule="auto"/>
      </w:pPr>
      <w:r>
        <w:t>New information on climate science</w:t>
      </w:r>
    </w:p>
    <w:p w14:paraId="5940A1C5" w14:textId="202D999D" w:rsidR="00CF71BD" w:rsidRPr="00BB38C6" w:rsidRDefault="00CF71BD" w:rsidP="00A90132">
      <w:pPr>
        <w:pStyle w:val="ListParagraph"/>
        <w:numPr>
          <w:ilvl w:val="0"/>
          <w:numId w:val="2"/>
        </w:numPr>
        <w:spacing w:before="160" w:line="240" w:lineRule="auto"/>
      </w:pPr>
      <w:r>
        <w:t>New data and tools for vulnerability and risk analysis</w:t>
      </w:r>
    </w:p>
    <w:p w14:paraId="1F8AE45A" w14:textId="6346B223" w:rsidR="00CF71BD" w:rsidRPr="00BB38C6" w:rsidRDefault="00CF71BD" w:rsidP="00A90132">
      <w:pPr>
        <w:pStyle w:val="ListParagraph"/>
        <w:numPr>
          <w:ilvl w:val="0"/>
          <w:numId w:val="2"/>
        </w:numPr>
        <w:spacing w:before="160" w:line="240" w:lineRule="auto"/>
      </w:pPr>
      <w:r>
        <w:t>Experience with recent extreme weather events</w:t>
      </w:r>
    </w:p>
    <w:p w14:paraId="2E6705BF" w14:textId="3287A900" w:rsidR="00CF71BD" w:rsidRPr="00BB38C6" w:rsidRDefault="00CF71BD" w:rsidP="00A90132">
      <w:pPr>
        <w:pStyle w:val="ListParagraph"/>
        <w:numPr>
          <w:ilvl w:val="0"/>
          <w:numId w:val="2"/>
        </w:numPr>
        <w:spacing w:before="160" w:line="240" w:lineRule="auto"/>
      </w:pPr>
      <w:r>
        <w:t>Community development patterns</w:t>
      </w:r>
    </w:p>
    <w:p w14:paraId="41543AF1" w14:textId="42F1C8CB" w:rsidR="00CF71BD" w:rsidRPr="00BB38C6" w:rsidRDefault="00CF71BD" w:rsidP="00A90132">
      <w:pPr>
        <w:pStyle w:val="ListParagraph"/>
        <w:numPr>
          <w:ilvl w:val="0"/>
          <w:numId w:val="2"/>
        </w:numPr>
        <w:spacing w:before="160" w:line="240" w:lineRule="auto"/>
      </w:pPr>
      <w:r>
        <w:t>Population characteristics</w:t>
      </w:r>
    </w:p>
    <w:p w14:paraId="5765FF20" w14:textId="2FAB58C0" w:rsidR="00CF71BD" w:rsidRPr="00BB38C6" w:rsidRDefault="00CF71BD" w:rsidP="00A90132">
      <w:pPr>
        <w:pStyle w:val="ListParagraph"/>
        <w:numPr>
          <w:ilvl w:val="0"/>
          <w:numId w:val="2"/>
        </w:numPr>
        <w:spacing w:before="160" w:line="240" w:lineRule="auto"/>
      </w:pPr>
      <w:r>
        <w:t>Community values</w:t>
      </w:r>
    </w:p>
    <w:p w14:paraId="7EF944B7" w14:textId="7B014681" w:rsidR="00CF71BD" w:rsidRPr="00BB38C6" w:rsidRDefault="00CF71BD" w:rsidP="00A90132">
      <w:pPr>
        <w:pStyle w:val="ListParagraph"/>
        <w:numPr>
          <w:ilvl w:val="0"/>
          <w:numId w:val="2"/>
        </w:numPr>
        <w:spacing w:before="160" w:line="240" w:lineRule="auto"/>
      </w:pPr>
      <w:r>
        <w:t>Updates to other community plans and strategies</w:t>
      </w:r>
    </w:p>
    <w:p w14:paraId="3BCE155F" w14:textId="51CE26BF" w:rsidR="00CF71BD" w:rsidRPr="00BB38C6" w:rsidRDefault="00CF71BD" w:rsidP="00A90132">
      <w:pPr>
        <w:pStyle w:val="ListParagraph"/>
        <w:numPr>
          <w:ilvl w:val="0"/>
          <w:numId w:val="2"/>
        </w:numPr>
        <w:spacing w:before="160" w:line="240" w:lineRule="auto"/>
      </w:pPr>
      <w:r>
        <w:t>Addition of new staff and expertise</w:t>
      </w:r>
    </w:p>
    <w:p w14:paraId="6C169EC6" w14:textId="595ADE0D" w:rsidR="00CF71BD" w:rsidRPr="00BB38C6" w:rsidRDefault="00CF71BD" w:rsidP="00A90132">
      <w:pPr>
        <w:pStyle w:val="ListParagraph"/>
        <w:numPr>
          <w:ilvl w:val="0"/>
          <w:numId w:val="2"/>
        </w:numPr>
        <w:spacing w:before="160" w:line="240" w:lineRule="auto"/>
      </w:pPr>
      <w:r>
        <w:t>New technology innovations that change demand and service patterns</w:t>
      </w:r>
    </w:p>
    <w:p w14:paraId="3AD5F3C9" w14:textId="1A2B18DC" w:rsidR="00CF71BD" w:rsidRPr="00BB38C6" w:rsidRDefault="00CF71BD" w:rsidP="00A90132">
      <w:pPr>
        <w:pStyle w:val="ListParagraph"/>
        <w:numPr>
          <w:ilvl w:val="0"/>
          <w:numId w:val="2"/>
        </w:numPr>
        <w:spacing w:before="160" w:line="240" w:lineRule="auto"/>
      </w:pPr>
      <w:r>
        <w:t>Laws and regulations</w:t>
      </w:r>
    </w:p>
    <w:p w14:paraId="3CF6488D" w14:textId="4191E8E8" w:rsidR="00CF71BD" w:rsidRDefault="00CF71BD" w:rsidP="007E4F3F">
      <w:pPr>
        <w:spacing w:before="160" w:line="240" w:lineRule="auto"/>
      </w:pPr>
      <w:r>
        <w:t>Monitoring changes to these factors is key to evaluating when adjustments may be needed.</w:t>
      </w:r>
    </w:p>
    <w:p w14:paraId="7944DF60" w14:textId="6E600B55" w:rsidR="0094437B" w:rsidRDefault="009D18A1" w:rsidP="004A4BB3">
      <w:pPr>
        <w:spacing w:before="160" w:line="240" w:lineRule="auto"/>
        <w:rPr>
          <w:b/>
          <w:bCs/>
        </w:rPr>
      </w:pPr>
      <w:r>
        <w:rPr>
          <w:b/>
          <w:bCs/>
        </w:rPr>
        <w:t>Using Loss Avoidance Studies for Monitoring</w:t>
      </w:r>
    </w:p>
    <w:tbl>
      <w:tblPr>
        <w:tblStyle w:val="TableGrid"/>
        <w:tblW w:w="0" w:type="auto"/>
        <w:tblLook w:val="04A0" w:firstRow="1" w:lastRow="0" w:firstColumn="1" w:lastColumn="0" w:noHBand="0" w:noVBand="1"/>
      </w:tblPr>
      <w:tblGrid>
        <w:gridCol w:w="9350"/>
      </w:tblGrid>
      <w:tr w:rsidR="009145EB" w:rsidRPr="008A1C5E" w14:paraId="4C2B9084" w14:textId="77777777" w:rsidTr="00527A68">
        <w:trPr>
          <w:trHeight w:val="576"/>
        </w:trPr>
        <w:tc>
          <w:tcPr>
            <w:tcW w:w="9350" w:type="dxa"/>
            <w:tcBorders>
              <w:top w:val="nil"/>
              <w:left w:val="nil"/>
              <w:bottom w:val="nil"/>
              <w:right w:val="nil"/>
            </w:tcBorders>
            <w:shd w:val="clear" w:color="auto" w:fill="1F5485"/>
            <w:vAlign w:val="center"/>
          </w:tcPr>
          <w:p w14:paraId="64D14AB3" w14:textId="77777777" w:rsidR="009145EB" w:rsidRPr="006F08E3" w:rsidRDefault="009145EB" w:rsidP="00527A68">
            <w:pPr>
              <w:pStyle w:val="CalloutBoxTitle"/>
              <w:rPr>
                <w:color w:val="FFFFFF" w:themeColor="background1"/>
              </w:rPr>
            </w:pPr>
            <w:r w:rsidRPr="00365D57">
              <w:rPr>
                <w:color w:val="FFFFFF" w:themeColor="background1"/>
              </w:rPr>
              <w:t>Case Study: Cal OES Russian River Loss Avoidance Study</w:t>
            </w:r>
          </w:p>
        </w:tc>
      </w:tr>
      <w:tr w:rsidR="009145EB" w:rsidRPr="008A1C5E" w14:paraId="4C2D5A66" w14:textId="77777777" w:rsidTr="00527A68">
        <w:trPr>
          <w:trHeight w:val="576"/>
        </w:trPr>
        <w:tc>
          <w:tcPr>
            <w:tcW w:w="9350" w:type="dxa"/>
            <w:tcBorders>
              <w:top w:val="nil"/>
              <w:left w:val="nil"/>
              <w:bottom w:val="nil"/>
              <w:right w:val="nil"/>
            </w:tcBorders>
            <w:shd w:val="clear" w:color="auto" w:fill="DAE9F7" w:themeFill="text2" w:themeFillTint="1A"/>
            <w:vAlign w:val="center"/>
          </w:tcPr>
          <w:p w14:paraId="3E53E97A" w14:textId="77777777" w:rsidR="009145EB" w:rsidRPr="004B0049" w:rsidRDefault="009145EB" w:rsidP="00527A68">
            <w:pPr>
              <w:shd w:val="clear" w:color="auto" w:fill="DAE9F7" w:themeFill="text2" w:themeFillTint="1A"/>
              <w:spacing w:line="276" w:lineRule="auto"/>
            </w:pPr>
            <w:r>
              <w:t>California’s Governor’s Office of Emergency Services (Cal OES) Hazard Mitigation Assessment Unit conducted a Loss Avoidance Study (LAS) evaluating 275 residential structures elevated through FEMA’s Hazard Mitigation Grant Program (HMGP), Flood Mitigation Assistance (FMA) program, and Severe Repetitive Loss (SRL) program along the Russian River corridor in Sonoma County. Rather than projecting future benefits, the LAS measured actual avoided losses by analyzing structure performance across seven post-mitigation flood events occurring between January 2002 and February 2019, using HEC-RAS hydraulic modeling and FEMA Flood Depth Grids together with FEMA depth-damage functions to estimate the damages elevated structures would have sustained had mitigation not occurred. The analysis produced a benefit-cost ratio of 3.85, providing Cal OES and Sonoma County with empirical, event-tested evidence that the elevation program continues to perform as intended. This is distinct from a forward-looking benefit-cost analysis (BCA) prepared before implementation.</w:t>
            </w:r>
          </w:p>
          <w:p w14:paraId="3430B8C6" w14:textId="77777777" w:rsidR="009145EB" w:rsidRPr="00D52CA0" w:rsidRDefault="009145EB" w:rsidP="00527A68">
            <w:pPr>
              <w:shd w:val="clear" w:color="auto" w:fill="DAE9F7" w:themeFill="text2" w:themeFillTint="1A"/>
              <w:spacing w:line="276" w:lineRule="auto"/>
            </w:pPr>
            <w:r>
              <w:t>This work illustrates how a completed LAS can serve dual purposes within Phase 4: as a Step 4.2 monitoring and evaluation tool that verifies whether an implemented mitigation strategy continues to perform under real hazard conditions, and as a Step 4.1B business-case input that strengthens future grant applications and funding requests by replacing assumed savings with documented, event-specific outcomes.</w:t>
            </w:r>
          </w:p>
        </w:tc>
      </w:tr>
      <w:tr w:rsidR="009145EB" w:rsidRPr="00D52CA0" w14:paraId="10480079" w14:textId="77777777" w:rsidTr="00527A68">
        <w:trPr>
          <w:trHeight w:val="576"/>
        </w:trPr>
        <w:tc>
          <w:tcPr>
            <w:tcW w:w="9350" w:type="dxa"/>
            <w:tcBorders>
              <w:top w:val="nil"/>
              <w:left w:val="nil"/>
              <w:bottom w:val="nil"/>
              <w:right w:val="nil"/>
            </w:tcBorders>
            <w:shd w:val="clear" w:color="auto" w:fill="DAE9F7" w:themeFill="text2" w:themeFillTint="1A"/>
            <w:vAlign w:val="bottom"/>
          </w:tcPr>
          <w:p w14:paraId="02F1C610" w14:textId="77777777" w:rsidR="009145EB" w:rsidRPr="0099384F" w:rsidRDefault="009145EB" w:rsidP="00527A68">
            <w:pPr>
              <w:shd w:val="clear" w:color="auto" w:fill="000000" w:themeFill="text1"/>
              <w:rPr>
                <w:b/>
                <w:bCs/>
                <w:color w:val="FFFFFF" w:themeColor="background1"/>
              </w:rPr>
            </w:pPr>
            <w:r w:rsidRPr="0099384F">
              <w:rPr>
                <w:b/>
                <w:bCs/>
                <w:color w:val="FFFFFF" w:themeColor="background1"/>
              </w:rPr>
              <w:t xml:space="preserve">Figure </w:t>
            </w:r>
            <w:r w:rsidRPr="0099384F">
              <w:rPr>
                <w:b/>
                <w:bCs/>
                <w:color w:val="FFFFFF" w:themeColor="background1"/>
              </w:rPr>
              <w:fldChar w:fldCharType="begin"/>
            </w:r>
            <w:r w:rsidRPr="0099384F">
              <w:rPr>
                <w:b/>
                <w:bCs/>
                <w:color w:val="FFFFFF" w:themeColor="background1"/>
              </w:rPr>
              <w:instrText xml:space="preserve"> SEQ Figure \* ARABIC </w:instrText>
            </w:r>
            <w:r w:rsidRPr="0099384F">
              <w:rPr>
                <w:b/>
                <w:bCs/>
                <w:color w:val="FFFFFF" w:themeColor="background1"/>
              </w:rPr>
              <w:fldChar w:fldCharType="separate"/>
            </w:r>
            <w:r w:rsidRPr="0099384F">
              <w:rPr>
                <w:b/>
                <w:bCs/>
                <w:noProof/>
                <w:color w:val="FFFFFF" w:themeColor="background1"/>
              </w:rPr>
              <w:t>27</w:t>
            </w:r>
            <w:r w:rsidRPr="0099384F">
              <w:rPr>
                <w:b/>
                <w:bCs/>
                <w:color w:val="FFFFFF" w:themeColor="background1"/>
              </w:rPr>
              <w:fldChar w:fldCharType="end"/>
            </w:r>
            <w:r w:rsidRPr="0099384F">
              <w:rPr>
                <w:b/>
                <w:bCs/>
                <w:color w:val="FFFFFF" w:themeColor="background1"/>
              </w:rPr>
              <w:t xml:space="preserve">. Representative pre- and post-mitigation elevation profile, based on median Ground Elevation, First Floor Elevation, and Base Flood Elevation values across the </w:t>
            </w:r>
            <w:r w:rsidRPr="0099384F">
              <w:rPr>
                <w:b/>
                <w:color w:val="FFFFFF" w:themeColor="background1"/>
              </w:rPr>
              <w:t>verified</w:t>
            </w:r>
            <w:r w:rsidRPr="0099384F">
              <w:rPr>
                <w:b/>
                <w:bCs/>
                <w:color w:val="FFFFFF" w:themeColor="background1"/>
              </w:rPr>
              <w:t xml:space="preserve"> 275-structure inventory.</w:t>
            </w:r>
          </w:p>
        </w:tc>
      </w:tr>
      <w:tr w:rsidR="009145EB" w14:paraId="479575F7" w14:textId="77777777" w:rsidTr="00527A68">
        <w:tc>
          <w:tcPr>
            <w:tcW w:w="9350" w:type="dxa"/>
            <w:tcBorders>
              <w:top w:val="nil"/>
              <w:left w:val="nil"/>
              <w:bottom w:val="nil"/>
              <w:right w:val="nil"/>
            </w:tcBorders>
            <w:shd w:val="clear" w:color="auto" w:fill="DCEAF7"/>
          </w:tcPr>
          <w:p w14:paraId="3546DF54" w14:textId="77777777" w:rsidR="009145EB" w:rsidRPr="003F21DA" w:rsidRDefault="009145EB" w:rsidP="00527A68">
            <w:pPr>
              <w:shd w:val="clear" w:color="auto" w:fill="DAE9F7" w:themeFill="text2" w:themeFillTint="1A"/>
              <w:spacing w:before="80" w:after="40"/>
              <w:jc w:val="center"/>
            </w:pPr>
            <w:r>
              <w:rPr>
                <w:noProof/>
              </w:rPr>
              <w:drawing>
                <wp:inline distT="0" distB="0" distL="0" distR="0" wp14:anchorId="611489C7" wp14:editId="391FDD2F">
                  <wp:extent cx="5667375" cy="3419475"/>
                  <wp:effectExtent l="0" t="0" r="0" b="0"/>
                  <wp:docPr id="24071195" name="Picture 24071195" descr="Representative structure elevation profile for 275 Russian River homes. Median first-floor elevation rises from 52.7 feet before mitigation to 60.7 feet after elevation, an increase of about 8.3 feet. The base flood elevation is 58.0 feet and the representative major-event high-water level is about 59.3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1195" name="Picture 24071195" descr="Representative structure elevation profile for 275 Russian River homes. Median first-floor elevation rises from 52.7 feet before mitigation to 60.7 feet after elevation, an increase of about 8.3 feet. The base flood elevation is 58.0 feet and the representative major-event high-water level is about 59.3 feet."/>
                          <pic:cNvPicPr>
                            <a:picLocks noChangeAspect="1" noChangeArrowheads="1"/>
                          </pic:cNvPicPr>
                        </pic:nvPicPr>
                        <pic:blipFill>
                          <a:blip r:embed="rId313"/>
                          <a:srcRect/>
                          <a:stretch>
                            <a:fillRect/>
                          </a:stretch>
                        </pic:blipFill>
                        <pic:spPr bwMode="auto">
                          <a:xfrm>
                            <a:off x="0" y="0"/>
                            <a:ext cx="5667375" cy="3419475"/>
                          </a:xfrm>
                          <a:prstGeom prst="rect">
                            <a:avLst/>
                          </a:prstGeom>
                        </pic:spPr>
                      </pic:pic>
                    </a:graphicData>
                  </a:graphic>
                </wp:inline>
              </w:drawing>
            </w:r>
          </w:p>
          <w:p w14:paraId="7AF25AED" w14:textId="77777777" w:rsidR="009145EB" w:rsidRPr="009D18A1" w:rsidRDefault="009145EB" w:rsidP="00527A68">
            <w:pPr>
              <w:shd w:val="clear" w:color="auto" w:fill="DAE9F7" w:themeFill="text2" w:themeFillTint="1A"/>
              <w:spacing w:before="80" w:after="80"/>
            </w:pPr>
            <w:r>
              <w:rPr>
                <w:b/>
                <w:bCs/>
              </w:rPr>
              <w:t>Monitoring Plan Recommendation</w:t>
            </w:r>
          </w:p>
          <w:p w14:paraId="3E9725E4" w14:textId="77777777" w:rsidR="009145EB" w:rsidRPr="00365D57" w:rsidRDefault="009145EB" w:rsidP="00527A68">
            <w:pPr>
              <w:shd w:val="clear" w:color="auto" w:fill="DAE9F7" w:themeFill="text2" w:themeFillTint="1A"/>
              <w:spacing w:line="276" w:lineRule="auto"/>
            </w:pPr>
            <w:r>
              <w:t>Consider structuring loss avoidance studies as a living, repeatable monitoring framework rather than a one-time analysis. The Russian River study’s design illustrates how this can work: a verified structure inventory, including building footprints, foundation type, first-floor elevations, and elevation certificates, maintained as a standing geodatabase, layered with regionally calibrated depth-damage functions. After each significant flood event, the same flood depth grid extraction and loss estimation workflow (HEC-RAS for modeled events, FEMA Flood Depth Grids for major or out-of-range events) can be rerun against the existing inventory to add a new event to the cumulative loss avoidance record, without rebuilding the underlying analysis from scratch. This allows a mitigation program’s benefit-cost performance to compound and strengthen automatically as new flood events occur, providing continuously updated evidence for Step 4.2’s monitoring and evaluation requirements and for future grant and funding applications under Step 4.1B.</w:t>
            </w:r>
          </w:p>
        </w:tc>
      </w:tr>
      <w:tr w:rsidR="009145EB" w14:paraId="0D2860C1" w14:textId="77777777" w:rsidTr="00527A68">
        <w:tc>
          <w:tcPr>
            <w:tcW w:w="9350" w:type="dxa"/>
            <w:tcBorders>
              <w:top w:val="nil"/>
              <w:left w:val="nil"/>
              <w:bottom w:val="nil"/>
              <w:right w:val="nil"/>
            </w:tcBorders>
            <w:shd w:val="clear" w:color="auto" w:fill="DCEAF7"/>
          </w:tcPr>
          <w:p w14:paraId="4BDB7246" w14:textId="77777777" w:rsidR="009145EB" w:rsidRPr="0099384F" w:rsidRDefault="009145EB" w:rsidP="00527A68">
            <w:pPr>
              <w:pBdr>
                <w:bottom w:val="single" w:sz="4" w:space="1" w:color="auto"/>
              </w:pBdr>
              <w:shd w:val="clear" w:color="auto" w:fill="000000" w:themeFill="text1"/>
              <w:rPr>
                <w:b/>
                <w:color w:val="FFFFFF" w:themeColor="background1"/>
              </w:rPr>
            </w:pPr>
            <w:r w:rsidRPr="0099384F">
              <w:rPr>
                <w:b/>
                <w:color w:val="FFFFFF" w:themeColor="background1"/>
              </w:rPr>
              <w:t xml:space="preserve">Figure </w:t>
            </w:r>
            <w:r w:rsidRPr="0099384F">
              <w:rPr>
                <w:b/>
                <w:color w:val="FFFFFF" w:themeColor="background1"/>
              </w:rPr>
              <w:fldChar w:fldCharType="begin"/>
            </w:r>
            <w:r w:rsidRPr="0099384F">
              <w:rPr>
                <w:b/>
                <w:color w:val="FFFFFF" w:themeColor="background1"/>
              </w:rPr>
              <w:instrText xml:space="preserve"> SEQ Figure \* ARABIC </w:instrText>
            </w:r>
            <w:r w:rsidRPr="0099384F">
              <w:rPr>
                <w:b/>
                <w:color w:val="FFFFFF" w:themeColor="background1"/>
              </w:rPr>
              <w:fldChar w:fldCharType="separate"/>
            </w:r>
            <w:r w:rsidRPr="0099384F">
              <w:rPr>
                <w:b/>
                <w:color w:val="FFFFFF" w:themeColor="background1"/>
              </w:rPr>
              <w:t>28</w:t>
            </w:r>
            <w:r w:rsidRPr="0099384F">
              <w:rPr>
                <w:b/>
                <w:color w:val="FFFFFF" w:themeColor="background1"/>
              </w:rPr>
              <w:fldChar w:fldCharType="end"/>
            </w:r>
            <w:r w:rsidRPr="0099384F">
              <w:rPr>
                <w:b/>
                <w:color w:val="FFFFFF" w:themeColor="background1"/>
              </w:rPr>
              <w:t xml:space="preserve">. </w:t>
            </w:r>
            <w:r w:rsidRPr="0099384F">
              <w:rPr>
                <w:b/>
                <w:bCs/>
                <w:color w:val="FFFFFF" w:themeColor="background1"/>
              </w:rPr>
              <w:t>Losses</w:t>
            </w:r>
            <w:r w:rsidRPr="0099384F">
              <w:rPr>
                <w:b/>
                <w:color w:val="FFFFFF" w:themeColor="background1"/>
              </w:rPr>
              <w:t xml:space="preserve"> avoided by event and loss category, with cumulative program total. Each new flood event extends the monitoring record without re-deriving prior years.</w:t>
            </w:r>
          </w:p>
          <w:p w14:paraId="3CBBD6B3" w14:textId="77777777" w:rsidR="009145EB" w:rsidRDefault="009145EB" w:rsidP="00527A68">
            <w:pPr>
              <w:shd w:val="clear" w:color="auto" w:fill="DAE9F7" w:themeFill="text2" w:themeFillTint="1A"/>
              <w:spacing w:line="276" w:lineRule="auto"/>
            </w:pPr>
            <w:r>
              <w:rPr>
                <w:noProof/>
              </w:rPr>
              <w:drawing>
                <wp:inline distT="0" distB="0" distL="0" distR="0" wp14:anchorId="6B30768F" wp14:editId="114C3509">
                  <wp:extent cx="5667375" cy="3343275"/>
                  <wp:effectExtent l="0" t="0" r="0" b="0"/>
                  <wp:docPr id="1036138643" name="Picture 1036138643" descr="AI-generated Bar graph showing losses avoided in seven Russian River flood events from 2002 through 2019, divided into structure and contents, displacement, and life safety. Per-event avoided losses range from $1.8 million to $48.6 million; cumulative losses avoided total $164.1 million, with a benefit-cost ratio of 3.8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38643" name="Picture 1036138643" descr="AI-generated Bar graph showing losses avoided in seven Russian River flood events from 2002 through 2019, divided into structure and contents, displacement, and life safety. Per-event avoided losses range from $1.8 million to $48.6 million; cumulative losses avoided total $164.1 million, with a benefit-cost ratio of 3.85. "/>
                          <pic:cNvPicPr>
                            <a:picLocks noChangeAspect="1" noChangeArrowheads="1"/>
                          </pic:cNvPicPr>
                        </pic:nvPicPr>
                        <pic:blipFill>
                          <a:blip r:embed="rId314"/>
                          <a:srcRect/>
                          <a:stretch>
                            <a:fillRect/>
                          </a:stretch>
                        </pic:blipFill>
                        <pic:spPr bwMode="auto">
                          <a:xfrm>
                            <a:off x="0" y="0"/>
                            <a:ext cx="5667375" cy="3343275"/>
                          </a:xfrm>
                          <a:prstGeom prst="rect">
                            <a:avLst/>
                          </a:prstGeom>
                        </pic:spPr>
                      </pic:pic>
                    </a:graphicData>
                  </a:graphic>
                </wp:inline>
              </w:drawing>
            </w:r>
          </w:p>
        </w:tc>
      </w:tr>
    </w:tbl>
    <w:p w14:paraId="324038D6" w14:textId="77777777" w:rsidR="009145EB" w:rsidRDefault="009145EB" w:rsidP="004A4BB3">
      <w:pPr>
        <w:spacing w:before="160" w:line="240" w:lineRule="auto"/>
        <w:rPr>
          <w:b/>
          <w:bCs/>
        </w:rPr>
      </w:pPr>
    </w:p>
    <w:p w14:paraId="4F4A1D97" w14:textId="6868CBAD" w:rsidR="00CF71BD" w:rsidRPr="00E83424" w:rsidRDefault="00CF71BD" w:rsidP="007E4F3F">
      <w:pPr>
        <w:pStyle w:val="Heading4"/>
        <w:spacing w:after="160" w:line="240" w:lineRule="auto"/>
      </w:pPr>
      <w:r>
        <w:t>How to Monitor and Evaluate Effectively – Best Practices</w:t>
      </w:r>
    </w:p>
    <w:p w14:paraId="59C8B26B" w14:textId="30B11C8F" w:rsidR="00CF71BD" w:rsidRPr="00C733F5" w:rsidRDefault="00376C47" w:rsidP="00A90132">
      <w:pPr>
        <w:pStyle w:val="ListParagraph"/>
        <w:numPr>
          <w:ilvl w:val="0"/>
          <w:numId w:val="2"/>
        </w:numPr>
        <w:spacing w:before="160" w:line="240" w:lineRule="auto"/>
        <w:rPr>
          <w:u w:val="single"/>
        </w:rPr>
      </w:pPr>
      <w:r>
        <w:rPr>
          <w:b/>
          <w:bCs/>
        </w:rPr>
        <w:t>Streamline Information Collection:</w:t>
      </w:r>
      <w:r>
        <w:t xml:space="preserve"> Streamlining the collection of information is essential for effective climate adaptation monitoring. When possible, standardize measurable indicators across strategies to ensure consistency and avoid duplication of efforts. Centralize and organize all data points in a uniform system to ensure data is accessible to all users.</w:t>
      </w:r>
    </w:p>
    <w:p w14:paraId="3618F4D3" w14:textId="6656BB93" w:rsidR="00CF71BD" w:rsidRPr="00C733F5" w:rsidRDefault="00376C47" w:rsidP="00A90132">
      <w:pPr>
        <w:pStyle w:val="ListParagraph"/>
        <w:numPr>
          <w:ilvl w:val="0"/>
          <w:numId w:val="2"/>
        </w:numPr>
        <w:spacing w:before="160" w:line="240" w:lineRule="auto"/>
      </w:pPr>
      <w:r>
        <w:rPr>
          <w:b/>
          <w:bCs/>
        </w:rPr>
        <w:t>Strengthen Internal Cross-Department Collaboration:</w:t>
      </w:r>
      <w:r>
        <w:t xml:space="preserve"> Effective adaptation and resilience implementation requires strong partnerships and coordination across departments. Identify a department lead for each strategy to help monitor and track implementation progress. In many cases, this also requires designation of a dedicated funding source for monitoring activities. The agency responsible can be a jurisdictional department, regional entity such as a council of governments, or a community group.</w:t>
      </w:r>
    </w:p>
    <w:p w14:paraId="04F2A989" w14:textId="00918A40" w:rsidR="00CF71BD" w:rsidRPr="00C733F5" w:rsidRDefault="00376C47" w:rsidP="00A90132">
      <w:pPr>
        <w:pStyle w:val="ListParagraph"/>
        <w:numPr>
          <w:ilvl w:val="0"/>
          <w:numId w:val="2"/>
        </w:numPr>
        <w:spacing w:before="160" w:line="240" w:lineRule="auto"/>
        <w:rPr>
          <w:u w:val="single"/>
        </w:rPr>
      </w:pPr>
      <w:r>
        <w:rPr>
          <w:b/>
          <w:bCs/>
        </w:rPr>
        <w:t>Develop a Public Dashboard to Foster Transparency and Accountability:</w:t>
      </w:r>
      <w:r>
        <w:t xml:space="preserve"> Consider developing a publicly accessible virtual dashboard to monitor climate adaptation strategies and measure implementation progress. A well-designed dashboard promotes transparency, strengthens accountability, and builds public trust by clearly demonstrating how plans translate into action. Dashboards should be maintained and updated on a routine basis, either quarterly or annually.</w:t>
      </w:r>
    </w:p>
    <w:tbl>
      <w:tblPr>
        <w:tblStyle w:val="TableGrid"/>
        <w:tblW w:w="0" w:type="auto"/>
        <w:tblLook w:val="04A0" w:firstRow="1" w:lastRow="0" w:firstColumn="1" w:lastColumn="0" w:noHBand="0" w:noVBand="1"/>
      </w:tblPr>
      <w:tblGrid>
        <w:gridCol w:w="9350"/>
      </w:tblGrid>
      <w:tr w:rsidR="00CA279D" w:rsidRPr="008A1C5E" w14:paraId="7ED83000" w14:textId="77777777" w:rsidTr="00BB5ACB">
        <w:trPr>
          <w:trHeight w:val="576"/>
        </w:trPr>
        <w:tc>
          <w:tcPr>
            <w:tcW w:w="9350" w:type="dxa"/>
            <w:tcBorders>
              <w:top w:val="nil"/>
              <w:left w:val="nil"/>
              <w:bottom w:val="nil"/>
              <w:right w:val="nil"/>
            </w:tcBorders>
            <w:shd w:val="clear" w:color="auto" w:fill="1F5485"/>
            <w:vAlign w:val="center"/>
          </w:tcPr>
          <w:p w14:paraId="0FA66E0A" w14:textId="3354AF17" w:rsidR="00CA279D" w:rsidRPr="006F08E3" w:rsidRDefault="00CA279D" w:rsidP="00BB5ACB">
            <w:pPr>
              <w:pStyle w:val="CalloutBoxTitle"/>
              <w:rPr>
                <w:color w:val="FFFFFF" w:themeColor="background1"/>
              </w:rPr>
            </w:pPr>
            <w:r>
              <w:rPr>
                <w:color w:val="FFFFFF" w:themeColor="background1"/>
              </w:rPr>
              <w:t>Case Study: West Hollywood’s Climate Action Dashboard</w:t>
            </w:r>
          </w:p>
        </w:tc>
      </w:tr>
      <w:tr w:rsidR="00CA279D" w14:paraId="5D188DF3" w14:textId="77777777">
        <w:tc>
          <w:tcPr>
            <w:tcW w:w="9350" w:type="dxa"/>
            <w:tcBorders>
              <w:top w:val="nil"/>
              <w:left w:val="nil"/>
              <w:bottom w:val="nil"/>
              <w:right w:val="nil"/>
            </w:tcBorders>
            <w:shd w:val="clear" w:color="auto" w:fill="DCEAF7"/>
          </w:tcPr>
          <w:p w14:paraId="46B65CF2" w14:textId="19A334E4" w:rsidR="00CA279D" w:rsidRDefault="00CA279D" w:rsidP="00224CC0">
            <w:pPr>
              <w:pStyle w:val="ListParagraph"/>
              <w:spacing w:before="120" w:after="120"/>
              <w:ind w:left="0"/>
              <w:contextualSpacing w:val="0"/>
              <w:rPr>
                <w:u w:val="single"/>
              </w:rPr>
            </w:pPr>
            <w:r>
              <w:t>The City of West Hollywood (</w:t>
            </w:r>
            <w:proofErr w:type="spellStart"/>
            <w:r>
              <w:t>WeHo</w:t>
            </w:r>
            <w:proofErr w:type="spellEnd"/>
            <w:r>
              <w:t xml:space="preserve">) developed a </w:t>
            </w:r>
            <w:hyperlink r:id="rId315" w:history="1">
              <w:proofErr w:type="spellStart"/>
              <w:r>
                <w:rPr>
                  <w:rStyle w:val="Hyperlink"/>
                  <w:rFonts w:eastAsia="MS Mincho" w:cs="Arial"/>
                </w:rPr>
                <w:t>WeHo</w:t>
              </w:r>
              <w:proofErr w:type="spellEnd"/>
              <w:r>
                <w:rPr>
                  <w:rStyle w:val="Hyperlink"/>
                  <w:rFonts w:eastAsia="MS Mincho" w:cs="Arial"/>
                </w:rPr>
                <w:t xml:space="preserve"> Climate Action Dashboard</w:t>
              </w:r>
            </w:hyperlink>
            <w:r>
              <w:t xml:space="preserve"> to track progress and implementation of the City’s 2021 Climate Action and Adaptation Plan. The dashboard is organized around 5 climate action focus areas that include more detailed actionable strategies. The dashboard is frequently updated and includes progress indicators tracking if each strategy is on track, behind schedule, at-risk, or completed.</w:t>
            </w:r>
          </w:p>
        </w:tc>
      </w:tr>
    </w:tbl>
    <w:p w14:paraId="6077DBF0" w14:textId="77777777" w:rsidR="00CA279D" w:rsidRPr="003419EF" w:rsidRDefault="00CA279D" w:rsidP="00376C47">
      <w:pPr>
        <w:spacing w:before="160" w:line="240" w:lineRule="auto"/>
        <w:rPr>
          <w:u w:val="single"/>
        </w:rPr>
      </w:pPr>
    </w:p>
    <w:p w14:paraId="0E25A4F0" w14:textId="18CDB146" w:rsidR="00CF71BD" w:rsidRPr="00BB38C6" w:rsidRDefault="00DB791D" w:rsidP="00376C47">
      <w:pPr>
        <w:pStyle w:val="Heading3"/>
        <w:spacing w:after="160" w:line="240" w:lineRule="auto"/>
      </w:pPr>
      <w:bookmarkStart w:id="208" w:name="_Toc235802727"/>
      <w:r>
        <w:t>Step 4.2B: Monitoring and Evaluating Outreach</w:t>
      </w:r>
      <w:bookmarkEnd w:id="208"/>
      <w:r>
        <w:t xml:space="preserve"> </w:t>
      </w:r>
    </w:p>
    <w:p w14:paraId="55353AB1" w14:textId="1743B893" w:rsidR="00CF71BD" w:rsidRPr="00BB38C6" w:rsidRDefault="00CF71BD" w:rsidP="00376C47">
      <w:pPr>
        <w:spacing w:before="160" w:line="240" w:lineRule="auto"/>
      </w:pPr>
      <w:r>
        <w:t>Community engagement should remain a central component of monitoring and evaluating any adaptation plan or project throughout implementation. Transparency in implementation progress and decision-making processes is essential so that communities can track milestones, understand changes, and provide input on adjustments to identified strategies over time. As discussed above, dashboards are a virtual tool to track ongoing progress of strategies and plans.</w:t>
      </w:r>
    </w:p>
    <w:p w14:paraId="6AD49F9A" w14:textId="0A75B652" w:rsidR="00887821" w:rsidRPr="00BB38C6" w:rsidRDefault="00CF71BD" w:rsidP="00887821">
      <w:pPr>
        <w:spacing w:before="160" w:line="240" w:lineRule="auto"/>
      </w:pPr>
      <w:r>
        <w:t>Too often, implementation plans are treated as internal documents, created primarily for administrative purposes and not designed for public use. By developing a public-facing implementation plan, local jurisdictions can help promote transparency and accountability while ensuring community input meaningfully shapes decision-making and guides progress.</w:t>
      </w:r>
    </w:p>
    <w:p w14:paraId="4A285625" w14:textId="35D0F8CF" w:rsidR="00CF71BD" w:rsidRPr="00BB38C6" w:rsidRDefault="00CF71BD" w:rsidP="00376C47">
      <w:pPr>
        <w:pStyle w:val="Heading4"/>
        <w:spacing w:after="160" w:line="240" w:lineRule="auto"/>
      </w:pPr>
      <w:r>
        <w:t>Best Practices for Monitoring and Evaluating Progress</w:t>
      </w:r>
    </w:p>
    <w:p w14:paraId="57F646EE" w14:textId="469B0632" w:rsidR="00CF71BD" w:rsidRPr="00BB38C6" w:rsidRDefault="00CF71BD" w:rsidP="00A90132">
      <w:pPr>
        <w:pStyle w:val="ListParagraph"/>
        <w:numPr>
          <w:ilvl w:val="0"/>
          <w:numId w:val="2"/>
        </w:numPr>
        <w:spacing w:before="160" w:line="240" w:lineRule="auto"/>
      </w:pPr>
      <w:r>
        <w:rPr>
          <w:b/>
          <w:bCs/>
        </w:rPr>
        <w:t>Document Lessons Learned:</w:t>
      </w:r>
      <w:r>
        <w:t xml:space="preserve"> Community engagement during the implementation phase should intentionally build upon lessons learned and key insights during public engagement in Phases 1-3. Reviewing and applying prior feedback helps maintain continuity, strengthen trust, and improve overall effectiveness. Document lessons learned to ensure that engagement efforts are strategic and not repetitive.</w:t>
      </w:r>
    </w:p>
    <w:p w14:paraId="4BF67EA9" w14:textId="0181AC95" w:rsidR="00CF71BD" w:rsidRPr="00BB38C6" w:rsidRDefault="00CF71BD" w:rsidP="00A90132">
      <w:pPr>
        <w:pStyle w:val="ListParagraph"/>
        <w:numPr>
          <w:ilvl w:val="0"/>
          <w:numId w:val="2"/>
        </w:numPr>
        <w:spacing w:before="160" w:line="240" w:lineRule="auto"/>
      </w:pPr>
      <w:r>
        <w:rPr>
          <w:b/>
          <w:bCs/>
        </w:rPr>
        <w:t>Establish a Community Advisory Committee (CAC):</w:t>
      </w:r>
      <w:r>
        <w:t xml:space="preserve"> Consider convening a CAC to help track progress, evaluate outcomes, and provide continuous feedback. Community members can help monitor and review implementation milestones, priorities, and performance metrics, communicate with the broader community, and identify and elevate emerging community issues that might require adjustments to strategies over time. A CAC can help serve as a bridge between the adaptation project implementers and the broader community. The committee should include a diverse group of partners, such as residents, community-based organizations, academic institutions and subject-matter experts, Tribal members and Indigenous knowledge holders, non-profits, youth, and local businesses.</w:t>
      </w:r>
    </w:p>
    <w:p w14:paraId="3562B41E" w14:textId="3EBD13E2" w:rsidR="004C2C34" w:rsidRDefault="00CF71BD" w:rsidP="00A402F5">
      <w:pPr>
        <w:pStyle w:val="ListParagraph"/>
        <w:numPr>
          <w:ilvl w:val="0"/>
          <w:numId w:val="2"/>
        </w:numPr>
        <w:spacing w:before="160" w:line="240" w:lineRule="auto"/>
      </w:pPr>
      <w:r>
        <w:rPr>
          <w:b/>
          <w:bCs/>
        </w:rPr>
        <w:t>Partner with a Third-Party Evaluator:</w:t>
      </w:r>
      <w:r>
        <w:t xml:space="preserve"> Consider leveraging partnerships with a third-party evaluator, such as an academic institution to help track implementation progress and outcomes. Partnering with a third-party evaluator can help support lower capacity communities establish performance indicators, develop public dashboards, track milestones and outcomes, as well as coordinate with a community advisory committee to ensure community voices are included throughout all decision-making processes.</w:t>
      </w:r>
    </w:p>
    <w:p w14:paraId="05CC4B10" w14:textId="77777777" w:rsidR="004A3DD8" w:rsidRDefault="004A3DD8" w:rsidP="004A3DD8">
      <w:pPr>
        <w:pStyle w:val="ListParagraph"/>
        <w:numPr>
          <w:ilvl w:val="0"/>
          <w:numId w:val="2"/>
        </w:numPr>
        <w:spacing w:before="160" w:line="240" w:lineRule="auto"/>
      </w:pPr>
      <w:r>
        <w:rPr>
          <w:b/>
          <w:bCs/>
        </w:rPr>
        <w:t>Reporting Back to the Community:</w:t>
      </w:r>
      <w:r>
        <w:t xml:space="preserve"> Community members should receive regular updates throughout implementation. Sharing successes and challenges helps build trust and demonstrates accountability. When reporting back to the community, use communication methods that are accessible and appropriate for the intended audience.</w:t>
      </w:r>
    </w:p>
    <w:p w14:paraId="78891CF0" w14:textId="77777777" w:rsidR="00CC188F" w:rsidRDefault="00CC188F" w:rsidP="00B431DA">
      <w:pPr>
        <w:spacing w:before="160" w:line="240" w:lineRule="auto"/>
      </w:pPr>
    </w:p>
    <w:p w14:paraId="049F887E" w14:textId="08AA0B8E" w:rsidR="00CF71BD" w:rsidRPr="00BB38C6" w:rsidRDefault="00CF71BD" w:rsidP="00A27604">
      <w:pPr>
        <w:pStyle w:val="Heading2"/>
        <w:spacing w:before="160" w:after="160" w:line="240" w:lineRule="auto"/>
      </w:pPr>
      <w:bookmarkStart w:id="209" w:name="_Toc235802728"/>
      <w:r>
        <w:t>Step 4.3: Adjust</w:t>
      </w:r>
      <w:bookmarkEnd w:id="209"/>
    </w:p>
    <w:p w14:paraId="7743EF3C" w14:textId="704DE87C" w:rsidR="00CF71BD" w:rsidRPr="00BB38C6" w:rsidRDefault="00CF71BD" w:rsidP="00A27604">
      <w:pPr>
        <w:spacing w:before="160" w:line="240" w:lineRule="auto"/>
      </w:pPr>
      <w:r>
        <w:t>Goal: Determine what adjustments are needed and how the adjustments will be implemented to improve the effectiveness of adaptation strategies.</w:t>
      </w:r>
    </w:p>
    <w:p w14:paraId="043DCA1C" w14:textId="43FD3047" w:rsidR="00CF71BD" w:rsidRDefault="00CF71BD" w:rsidP="00A27604">
      <w:pPr>
        <w:spacing w:before="160" w:line="240" w:lineRule="auto"/>
      </w:pPr>
      <w:r>
        <w:t>Adjustments should respond to the results of monitoring and evaluation findings and changing local conditions. Adjustments should be made if an evaluation of monitoring data reveals an adaptation strategy and/or plan is losing effectiveness. Updates can also occur periodically, due to pre-established plan update cycles or legislative requirements (e.g., General Plan’s Safety Element and LHMP/THMP updates). Adjustments are distinct from and do not need to be tied to plan updates; it is more practical to focus the adjustments to be as narrow as possible.</w:t>
      </w:r>
    </w:p>
    <w:p w14:paraId="077DC6A2" w14:textId="77777777" w:rsidR="00A27604" w:rsidRPr="00BB38C6" w:rsidRDefault="00A27604" w:rsidP="00A27604">
      <w:pPr>
        <w:spacing w:before="160" w:line="240" w:lineRule="auto"/>
      </w:pPr>
    </w:p>
    <w:p w14:paraId="517F4AA5" w14:textId="46180356" w:rsidR="00CF71BD" w:rsidRPr="00BB38C6" w:rsidRDefault="00DB791D" w:rsidP="00A27604">
      <w:pPr>
        <w:pStyle w:val="Heading3"/>
        <w:spacing w:after="160" w:line="240" w:lineRule="auto"/>
      </w:pPr>
      <w:bookmarkStart w:id="210" w:name="_Toc235802729"/>
      <w:r>
        <w:t>Step 4.3A: Adjustment Considerations</w:t>
      </w:r>
      <w:bookmarkEnd w:id="210"/>
    </w:p>
    <w:p w14:paraId="115F114C" w14:textId="78FEE42E" w:rsidR="00AB0F2A" w:rsidRDefault="00CF71BD" w:rsidP="00A27604">
      <w:pPr>
        <w:spacing w:before="160" w:line="240" w:lineRule="auto"/>
      </w:pPr>
      <w:r>
        <w:t>Adjustments can range from changing the speed of implementation, to altering its location, to revising the implementation mechanism. Findings from the monitoring and evaluation phase should inform the process of identifying how and what adjustments should be made. If monitoring indicates that a strategy is not effective, the strategy should be carefully assessed to determine the extent to which it can be bolstered to address climate change impacts. Opportunities to strengthen existing strategies presented in Step 3.3 are helpful to consider when adjusting strategies. For example, are there opportunities to strengthen equity considerations or improve coordination across departments? When making adjustments, it is also helpful to consider the extent to which the strategy intersects with alternative strategies that may more effectively address the impacts.</w:t>
      </w:r>
    </w:p>
    <w:p w14:paraId="68FAAE0F" w14:textId="77777777" w:rsidR="00A27604" w:rsidRPr="00BB38C6" w:rsidRDefault="00A27604" w:rsidP="00A27604">
      <w:pPr>
        <w:spacing w:before="160" w:line="240" w:lineRule="auto"/>
      </w:pPr>
    </w:p>
    <w:p w14:paraId="3883E7D6" w14:textId="37A4FFBD" w:rsidR="00CF71BD" w:rsidRPr="00BB38C6" w:rsidRDefault="00DB791D" w:rsidP="00A27604">
      <w:pPr>
        <w:pStyle w:val="Heading3"/>
        <w:spacing w:after="160" w:line="240" w:lineRule="auto"/>
      </w:pPr>
      <w:bookmarkStart w:id="211" w:name="_Toc235802730"/>
      <w:r>
        <w:t>Step 4.3B: Adaptation Pathways</w:t>
      </w:r>
      <w:bookmarkEnd w:id="211"/>
    </w:p>
    <w:p w14:paraId="18685B00" w14:textId="6F1E9CE9" w:rsidR="001600BC" w:rsidRDefault="00CF71BD" w:rsidP="00A27604">
      <w:pPr>
        <w:spacing w:before="160" w:line="240" w:lineRule="auto"/>
      </w:pPr>
      <w:r>
        <w:t xml:space="preserve">An Adaptation Pathways approach can pre-identify a portfolio of alternative adaptation strategies that can be put into effect once specific triggers and thresholds – usually observation of specific physical conditions – are met. When evaluation of monitoring data shows that a specific pre-identified trigger or threshold is met, a strategy can be strengthened or transitioned into an alternative strategy. </w:t>
      </w:r>
    </w:p>
    <w:p w14:paraId="3761D9F4" w14:textId="1DD45246" w:rsidR="00CF71BD" w:rsidRPr="00BB38C6" w:rsidRDefault="00CF71BD" w:rsidP="00A27604">
      <w:pPr>
        <w:spacing w:before="160" w:line="240" w:lineRule="auto"/>
      </w:pPr>
      <w:r>
        <w:t>In many cases the alternative strategies that are potentially more effective take longer or cost more to implement, making them better suited to be a longer-term strategy that can be implemented after priority strategies are put into effect. Choosing when to shift to the longer-term strategy is more easily managed when specific triggers for the shift are identified ahead of time.</w:t>
      </w:r>
    </w:p>
    <w:p w14:paraId="38F9308C" w14:textId="26DD5E7E" w:rsidR="000250FB" w:rsidRDefault="00CF71BD" w:rsidP="00EC0382">
      <w:pPr>
        <w:spacing w:before="160" w:line="240" w:lineRule="auto"/>
      </w:pPr>
      <w:r>
        <w:t>Triggers are measurable indicators that represent a point in time when action must be taken to address hazard-related vulnerabilities before impacts reach a point of emergency. An appropriate trigger provides enough notice and lead time to plan for and implement an adaptation strategy before vulnerabilities become severe. For example, a community might determine that once sea levels rise by 0.2 foot, they will begin expanding wetland vegetation to protect a coastal walkway, and once sea levels rise by 0.5 foot and the walkway will soon become regularly flooded, they will rebuild or reroute the coastal walkway. Lead time should also be considered alongside triggers, since infrastructure changes can take significant time to implement once a trigger is reached. The Adaptation Pathway approach strategically plans for future strategy adjustments, creating opportunities for more dynamic and responsive adaptation strategies that can be strengthened to more effectively address climate impacts</w:t>
      </w:r>
      <w:r w:rsidR="00EC0382">
        <w:t>.</w:t>
      </w:r>
    </w:p>
    <w:p w14:paraId="64401910" w14:textId="77777777" w:rsidR="009A65F6" w:rsidRDefault="009A65F6" w:rsidP="00EC0382">
      <w:pPr>
        <w:spacing w:before="160" w:line="240" w:lineRule="auto"/>
      </w:pPr>
    </w:p>
    <w:tbl>
      <w:tblPr>
        <w:tblStyle w:val="TableGrid"/>
        <w:tblW w:w="0" w:type="auto"/>
        <w:tblLook w:val="04A0" w:firstRow="1" w:lastRow="0" w:firstColumn="1" w:lastColumn="0" w:noHBand="0" w:noVBand="1"/>
      </w:tblPr>
      <w:tblGrid>
        <w:gridCol w:w="9360"/>
      </w:tblGrid>
      <w:tr w:rsidR="0070162C" w:rsidRPr="00DC5C8F" w14:paraId="54DF0EF6" w14:textId="77777777" w:rsidTr="00BB5ACB">
        <w:trPr>
          <w:trHeight w:val="576"/>
        </w:trPr>
        <w:tc>
          <w:tcPr>
            <w:tcW w:w="9360" w:type="dxa"/>
            <w:tcBorders>
              <w:top w:val="nil"/>
              <w:left w:val="nil"/>
              <w:bottom w:val="nil"/>
              <w:right w:val="nil"/>
            </w:tcBorders>
            <w:shd w:val="clear" w:color="auto" w:fill="1F5485"/>
            <w:vAlign w:val="center"/>
          </w:tcPr>
          <w:p w14:paraId="447EF08C" w14:textId="3B24AABA" w:rsidR="0070162C" w:rsidRPr="0036693D" w:rsidRDefault="0070162C" w:rsidP="00BB5ACB">
            <w:pPr>
              <w:pStyle w:val="CalloutBoxTitle"/>
              <w:rPr>
                <w:color w:val="FFFFFF" w:themeColor="background1"/>
              </w:rPr>
            </w:pPr>
            <w:r>
              <w:rPr>
                <w:color w:val="FFFFFF" w:themeColor="background1"/>
              </w:rPr>
              <w:t>Case Study: Santa Cruz’s Adaptation Pathways Approach</w:t>
            </w:r>
          </w:p>
        </w:tc>
      </w:tr>
      <w:tr w:rsidR="0070162C" w14:paraId="5335BB4D" w14:textId="77777777" w:rsidTr="000250FB">
        <w:trPr>
          <w:trHeight w:val="3168"/>
        </w:trPr>
        <w:tc>
          <w:tcPr>
            <w:tcW w:w="9360" w:type="dxa"/>
            <w:tcBorders>
              <w:top w:val="nil"/>
              <w:left w:val="nil"/>
              <w:bottom w:val="nil"/>
              <w:right w:val="nil"/>
            </w:tcBorders>
            <w:shd w:val="clear" w:color="auto" w:fill="DCEAF7"/>
            <w:vAlign w:val="center"/>
          </w:tcPr>
          <w:p w14:paraId="5292578E" w14:textId="59A3C721" w:rsidR="0070162C" w:rsidRPr="00F72124" w:rsidRDefault="0070162C" w:rsidP="000250FB">
            <w:pPr>
              <w:spacing w:before="120" w:after="120"/>
            </w:pPr>
            <w:r>
              <w:t xml:space="preserve">The City of Santa Cruz has proposed an </w:t>
            </w:r>
            <w:hyperlink r:id="rId316" w:history="1">
              <w:r>
                <w:rPr>
                  <w:rStyle w:val="Hyperlink"/>
                </w:rPr>
                <w:t>Adaptation Pathways approach</w:t>
              </w:r>
            </w:hyperlink>
            <w:r>
              <w:t xml:space="preserve"> for their coastal adaptation planning that includes triggers to signal when to transition to next step coastal adaptation solutions. Once monitoring and evaluation reveals that a certain physical condition is met that will make an existing strategy no longer effective, they will transition to a pre-identified alternative strategy. For instance, their draft adaptation pathway for Natural Bridges State Beach identifies beach width as a trigger that will initiate the planning and implementing process for a living shoreline strategy, and once triggers are met for several additional monitoring parameters, managed retreat of state parks infrastructure would be pursued.</w:t>
            </w:r>
          </w:p>
        </w:tc>
      </w:tr>
    </w:tbl>
    <w:p w14:paraId="1CCB3F53" w14:textId="77777777" w:rsidR="00BD59EA" w:rsidRDefault="00BD59EA" w:rsidP="00E63CEB">
      <w:pPr>
        <w:spacing w:line="276" w:lineRule="auto"/>
      </w:pPr>
    </w:p>
    <w:p w14:paraId="14956F83" w14:textId="353A6897" w:rsidR="00E63CEB" w:rsidRDefault="00E63CEB" w:rsidP="00E63CEB">
      <w:pPr>
        <w:spacing w:line="276" w:lineRule="auto"/>
      </w:pPr>
      <w:r>
        <w:t>Loss avoidance studies can also serve as a trigger-verification tool for an Adaptation Pathways approach. Because loss avoidance measures actual structure performance against real, observed flood events, rather than a forward-looking model, it can confirm whether an infrastructure-based strategy’s design threshold still holds or is beginning to erode.</w:t>
      </w:r>
    </w:p>
    <w:p w14:paraId="4C4854CB" w14:textId="28CC406E" w:rsidR="00674A01" w:rsidRDefault="002A198D" w:rsidP="00EC0382">
      <w:pPr>
        <w:spacing w:line="276" w:lineRule="auto"/>
      </w:pPr>
      <w:r>
        <w:t>In the Russian River study, the February 2019 flood, the largest event in the seven-event record, showed that a portion of the elevated inventory, 26 of 239 flooded structures, experienced inundation above their post-mitigation first-floor elevations for the first time in the record. A metric of this kind (for example, percent of inventory exceeding post-mitigation elevation at a given event magnitude or gauge stage) is exactly the type of measurable indicator that could be pre-identified as a pathway trigger, prompting a community to plan for a complementary or alternative strategy, such as additional elevation, buyouts, or upstream storage, before vulnerabilities become severe, consistent with the trigger-based logic described in Santa Cruz’s coastal adaptation pathways approach.</w:t>
      </w:r>
    </w:p>
    <w:p w14:paraId="5BFFFF5C" w14:textId="77777777" w:rsidR="00BD59EA" w:rsidRDefault="00BD59EA" w:rsidP="00EC0382">
      <w:pPr>
        <w:spacing w:line="276" w:lineRule="auto"/>
      </w:pPr>
    </w:p>
    <w:p w14:paraId="65B0D911" w14:textId="77777777" w:rsidR="00BD59EA" w:rsidRDefault="00BD59EA" w:rsidP="00EC0382">
      <w:pPr>
        <w:spacing w:line="276" w:lineRule="auto"/>
      </w:pPr>
    </w:p>
    <w:p w14:paraId="0D1CFD79" w14:textId="77777777" w:rsidR="00BD59EA" w:rsidRDefault="00BD59EA" w:rsidP="00EC0382">
      <w:pPr>
        <w:spacing w:line="276" w:lineRule="auto"/>
      </w:pPr>
    </w:p>
    <w:p w14:paraId="132E1AD5" w14:textId="77777777" w:rsidR="00BD59EA" w:rsidRDefault="00BD59EA" w:rsidP="00EC0382">
      <w:pPr>
        <w:spacing w:line="276" w:lineRule="auto"/>
      </w:pPr>
    </w:p>
    <w:p w14:paraId="6096B825" w14:textId="77777777" w:rsidR="009A65F6" w:rsidRDefault="009A65F6" w:rsidP="00EC0382">
      <w:pPr>
        <w:spacing w:line="276" w:lineRule="auto"/>
      </w:pPr>
    </w:p>
    <w:p w14:paraId="13DB17D3" w14:textId="77777777" w:rsidR="009A65F6" w:rsidRDefault="009A65F6" w:rsidP="00EC0382">
      <w:pPr>
        <w:spacing w:line="276" w:lineRule="auto"/>
      </w:pPr>
    </w:p>
    <w:tbl>
      <w:tblPr>
        <w:tblStyle w:val="TableGrid"/>
        <w:tblW w:w="0" w:type="auto"/>
        <w:tblLook w:val="04A0" w:firstRow="1" w:lastRow="0" w:firstColumn="1" w:lastColumn="0" w:noHBand="0" w:noVBand="1"/>
      </w:tblPr>
      <w:tblGrid>
        <w:gridCol w:w="9350"/>
      </w:tblGrid>
      <w:tr w:rsidR="00674A01" w14:paraId="7E3512EC" w14:textId="77777777">
        <w:trPr>
          <w:trHeight w:val="720"/>
        </w:trPr>
        <w:tc>
          <w:tcPr>
            <w:tcW w:w="9350" w:type="dxa"/>
            <w:shd w:val="clear" w:color="auto" w:fill="000000" w:themeFill="text1"/>
            <w:vAlign w:val="center"/>
          </w:tcPr>
          <w:p w14:paraId="4E32640D" w14:textId="1970B8FD" w:rsidR="00674A01" w:rsidRPr="00190332" w:rsidRDefault="00674A01" w:rsidP="00190332">
            <w:pPr>
              <w:pStyle w:val="Caption"/>
              <w:rPr>
                <w:rFonts w:ascii="Century Gothic" w:hAnsi="Century Gothic"/>
                <w:b/>
                <w:i w:val="0"/>
              </w:rPr>
            </w:pPr>
            <w:r w:rsidRPr="00190332">
              <w:rPr>
                <w:rFonts w:ascii="Century Gothic" w:hAnsi="Century Gothic"/>
                <w:b/>
                <w:i w:val="0"/>
                <w:color w:val="FFFFFF" w:themeColor="background1"/>
                <w:sz w:val="24"/>
                <w:szCs w:val="24"/>
              </w:rPr>
              <w:t xml:space="preserve">Figure </w:t>
            </w:r>
            <w:r w:rsidR="00190332" w:rsidRPr="00190332">
              <w:rPr>
                <w:rFonts w:ascii="Century Gothic" w:hAnsi="Century Gothic"/>
                <w:b/>
                <w:bCs/>
                <w:i w:val="0"/>
                <w:iCs w:val="0"/>
                <w:color w:val="FFFFFF" w:themeColor="background1"/>
                <w:sz w:val="24"/>
                <w:szCs w:val="24"/>
              </w:rPr>
              <w:fldChar w:fldCharType="begin"/>
            </w:r>
            <w:r w:rsidR="00190332" w:rsidRPr="00190332">
              <w:rPr>
                <w:rFonts w:ascii="Century Gothic" w:hAnsi="Century Gothic"/>
                <w:b/>
                <w:bCs/>
                <w:i w:val="0"/>
                <w:iCs w:val="0"/>
                <w:color w:val="FFFFFF" w:themeColor="background1"/>
                <w:sz w:val="24"/>
                <w:szCs w:val="24"/>
              </w:rPr>
              <w:instrText xml:space="preserve"> SEQ Figure \* ARABIC </w:instrText>
            </w:r>
            <w:r w:rsidR="00190332" w:rsidRPr="00190332">
              <w:rPr>
                <w:rFonts w:ascii="Century Gothic" w:hAnsi="Century Gothic"/>
                <w:b/>
                <w:bCs/>
                <w:i w:val="0"/>
                <w:iCs w:val="0"/>
                <w:color w:val="FFFFFF" w:themeColor="background1"/>
                <w:sz w:val="24"/>
                <w:szCs w:val="24"/>
              </w:rPr>
              <w:fldChar w:fldCharType="separate"/>
            </w:r>
            <w:r w:rsidR="00190332">
              <w:rPr>
                <w:rFonts w:ascii="Century Gothic" w:hAnsi="Century Gothic"/>
                <w:b/>
                <w:bCs/>
                <w:i w:val="0"/>
                <w:iCs w:val="0"/>
                <w:noProof/>
                <w:color w:val="FFFFFF" w:themeColor="background1"/>
                <w:sz w:val="24"/>
                <w:szCs w:val="24"/>
              </w:rPr>
              <w:t>29</w:t>
            </w:r>
            <w:r w:rsidR="00190332" w:rsidRPr="00190332">
              <w:rPr>
                <w:rFonts w:ascii="Century Gothic" w:hAnsi="Century Gothic"/>
                <w:b/>
                <w:bCs/>
                <w:i w:val="0"/>
                <w:iCs w:val="0"/>
                <w:color w:val="FFFFFF" w:themeColor="background1"/>
                <w:sz w:val="24"/>
                <w:szCs w:val="24"/>
              </w:rPr>
              <w:fldChar w:fldCharType="end"/>
            </w:r>
            <w:r w:rsidR="00190332" w:rsidRPr="00190332">
              <w:rPr>
                <w:rFonts w:ascii="Century Gothic" w:hAnsi="Century Gothic"/>
                <w:b/>
                <w:bCs/>
                <w:i w:val="0"/>
                <w:iCs w:val="0"/>
                <w:color w:val="FFFFFF" w:themeColor="background1"/>
                <w:sz w:val="24"/>
                <w:szCs w:val="24"/>
              </w:rPr>
              <w:t>.</w:t>
            </w:r>
            <w:r w:rsidRPr="00190332">
              <w:rPr>
                <w:rFonts w:ascii="Century Gothic" w:hAnsi="Century Gothic"/>
                <w:b/>
                <w:i w:val="0"/>
                <w:color w:val="FFFFFF" w:themeColor="background1"/>
                <w:sz w:val="24"/>
                <w:szCs w:val="24"/>
              </w:rPr>
              <w:t xml:space="preserve"> </w:t>
            </w:r>
            <w:r w:rsidRPr="00190332">
              <w:rPr>
                <w:rFonts w:ascii="Century Gothic" w:eastAsia="Century Gothic" w:hAnsi="Century Gothic" w:cs="Century Gothic"/>
                <w:b/>
                <w:i w:val="0"/>
                <w:color w:val="FFFFFF" w:themeColor="background1"/>
                <w:sz w:val="24"/>
                <w:szCs w:val="24"/>
              </w:rPr>
              <w:t xml:space="preserve">Elevated Structures and the 2019 Russian River Flood Extent – Sonoma County </w:t>
            </w:r>
          </w:p>
        </w:tc>
      </w:tr>
      <w:tr w:rsidR="00674A01" w14:paraId="5BF625D6" w14:textId="77777777">
        <w:tc>
          <w:tcPr>
            <w:tcW w:w="9350" w:type="dxa"/>
          </w:tcPr>
          <w:p w14:paraId="5523DD85" w14:textId="77777777" w:rsidR="00674A01" w:rsidRDefault="00674A01">
            <w:pPr>
              <w:spacing w:before="120" w:after="120"/>
              <w:rPr>
                <w:rFonts w:eastAsia="Century Gothic" w:cs="Century Gothic"/>
              </w:rPr>
            </w:pPr>
            <w:r>
              <w:rPr>
                <w:noProof/>
              </w:rPr>
              <w:drawing>
                <wp:inline distT="0" distB="0" distL="0" distR="0" wp14:anchorId="0D165983" wp14:editId="20021F6A">
                  <wp:extent cx="5804535" cy="4158827"/>
                  <wp:effectExtent l="0" t="0" r="5715" b="0"/>
                  <wp:docPr id="718251038" name="Picture 718251038" descr="Map of the Russian River in Sonoma County showing verified elevated homes near Guerneville, Rio Nido, and nearby communities against the modeled February 2019 flood extent. Points are color-coded by FEMA funding source: FMA, HMGP, and SR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51038" name="Picture 718251038" descr="Map of the Russian River in Sonoma County showing verified elevated homes near Guerneville, Rio Nido, and nearby communities against the modeled February 2019 flood extent. Points are color-coded by FEMA funding source: FMA, HMGP, and SRL. "/>
                          <pic:cNvPicPr>
                            <a:picLocks noChangeAspect="1" noChangeArrowheads="1"/>
                          </pic:cNvPicPr>
                        </pic:nvPicPr>
                        <pic:blipFill rotWithShape="1">
                          <a:blip r:embed="rId317"/>
                          <a:srcRect b="5078"/>
                          <a:stretch>
                            <a:fillRect/>
                          </a:stretch>
                        </pic:blipFill>
                        <pic:spPr bwMode="auto">
                          <a:xfrm>
                            <a:off x="0" y="0"/>
                            <a:ext cx="5805806" cy="41597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0C3409" w14:textId="6FA5D114" w:rsidR="005239BB" w:rsidRDefault="00501C20" w:rsidP="00AB2E8E">
      <w:pPr>
        <w:spacing w:before="160" w:line="240" w:lineRule="auto"/>
      </w:pPr>
      <w:r>
        <w:t xml:space="preserve">While Adaptation Pathways is one approach for addressing uncertainty in climate adaptation planning, other methods, such as decision-scaling approaches, can help identify vulnerabilities, performance thresholds, and when adjustments based on climate conditions may be needed. </w:t>
      </w:r>
    </w:p>
    <w:p w14:paraId="46EB62C4" w14:textId="5A9505AF" w:rsidR="007C23E4" w:rsidRDefault="00501C20" w:rsidP="00AB2E8E">
      <w:pPr>
        <w:spacing w:before="160" w:line="240" w:lineRule="auto"/>
      </w:pPr>
      <w:r>
        <w:t xml:space="preserve">Additional guidance on this approach is provided in the </w:t>
      </w:r>
      <w:hyperlink r:id="rId318" w:history="1">
        <w:r>
          <w:rPr>
            <w:rStyle w:val="Hyperlink"/>
          </w:rPr>
          <w:t>State Water Project Adaptation Strategy.</w:t>
        </w:r>
      </w:hyperlink>
    </w:p>
    <w:p w14:paraId="2B70DE6C" w14:textId="77777777" w:rsidR="00501C20" w:rsidRPr="00BB38C6" w:rsidRDefault="00501C20" w:rsidP="00AB2E8E">
      <w:pPr>
        <w:spacing w:before="160" w:line="240" w:lineRule="auto"/>
      </w:pPr>
    </w:p>
    <w:p w14:paraId="72BC785E" w14:textId="24F24297" w:rsidR="00CF71BD" w:rsidRPr="00BB38C6" w:rsidRDefault="00DB791D" w:rsidP="00A27604">
      <w:pPr>
        <w:pStyle w:val="Heading3"/>
        <w:spacing w:after="160" w:line="240" w:lineRule="auto"/>
      </w:pPr>
      <w:bookmarkStart w:id="212" w:name="_Toc235802731"/>
      <w:r>
        <w:t>Step 4.3C: Adjustment and Outreach</w:t>
      </w:r>
      <w:bookmarkEnd w:id="212"/>
    </w:p>
    <w:p w14:paraId="4362AC67" w14:textId="24CF4386" w:rsidR="00CF71BD" w:rsidRPr="00BB38C6" w:rsidRDefault="54CBC396" w:rsidP="36C845DF">
      <w:pPr>
        <w:spacing w:before="160" w:line="240" w:lineRule="auto"/>
      </w:pPr>
      <w:r>
        <w:t xml:space="preserve">Communicating with the community and inviting its collaboration throughout the implementation process, both before and during adjustment, are critical to sustaining ongoing adaptation. A community should not be surprised by changes in </w:t>
      </w:r>
      <w:r w:rsidR="345DA9B7">
        <w:t>strategies</w:t>
      </w:r>
      <w:r>
        <w:t>, which should be communicated consistently as a normal part of long-term climate adaptation. Without appropriate inclusion of the community throughout the process, changing a strategy could be viewed as abandoning it or as a failure of implementation rather than as a successful outcome of good monitoring and evaluation. Sustained engagement with the community and transparency in monitoring and evaluation can help avoid such misunderstandings, which can lead to community dissatisfaction with adaptation actions. Additionally, community inclusion can supplement the selection process for the new or bolstered strategy.</w:t>
      </w:r>
    </w:p>
    <w:p w14:paraId="3B7CC7CE" w14:textId="4040F77D" w:rsidR="00CF71BD" w:rsidRPr="00BB38C6" w:rsidRDefault="00CF71BD" w:rsidP="00A27604">
      <w:pPr>
        <w:spacing w:before="160" w:line="240" w:lineRule="auto"/>
      </w:pPr>
      <w:r>
        <w:t>Some best practices for engaging the public in the update process are:</w:t>
      </w:r>
    </w:p>
    <w:p w14:paraId="3D0A0240" w14:textId="646385F7" w:rsidR="00CF71BD" w:rsidRPr="00BB38C6" w:rsidRDefault="00CF71BD">
      <w:pPr>
        <w:pStyle w:val="ListParagraph"/>
        <w:numPr>
          <w:ilvl w:val="0"/>
          <w:numId w:val="19"/>
        </w:numPr>
        <w:spacing w:line="240" w:lineRule="auto"/>
      </w:pPr>
      <w:r>
        <w:t>Ensure that lessons learned and outcomes from review and monitoring of implementation are publicly available.</w:t>
      </w:r>
    </w:p>
    <w:p w14:paraId="440537FA" w14:textId="12000DDB" w:rsidR="00CF71BD" w:rsidRPr="00BB38C6" w:rsidRDefault="00CF71BD">
      <w:pPr>
        <w:pStyle w:val="ListParagraph"/>
        <w:numPr>
          <w:ilvl w:val="0"/>
          <w:numId w:val="19"/>
        </w:numPr>
        <w:spacing w:line="240" w:lineRule="auto"/>
      </w:pPr>
      <w:r>
        <w:t>Use data to inform plan updates and/or make course corrections.</w:t>
      </w:r>
    </w:p>
    <w:p w14:paraId="17414CC9" w14:textId="01B505EA" w:rsidR="00CF71BD" w:rsidRPr="00BB38C6" w:rsidRDefault="00CF71BD">
      <w:pPr>
        <w:pStyle w:val="ListParagraph"/>
        <w:numPr>
          <w:ilvl w:val="0"/>
          <w:numId w:val="19"/>
        </w:numPr>
        <w:spacing w:line="240" w:lineRule="auto"/>
      </w:pPr>
      <w:r>
        <w:t>Develop materials allowing for pop-up events to solicit feedback and ideas for strategy adjustment when needed.</w:t>
      </w:r>
    </w:p>
    <w:p w14:paraId="3F2B8220" w14:textId="598C8473" w:rsidR="0016172B" w:rsidRDefault="00CF71BD">
      <w:pPr>
        <w:pStyle w:val="ListParagraph"/>
        <w:numPr>
          <w:ilvl w:val="0"/>
          <w:numId w:val="19"/>
        </w:numPr>
        <w:spacing w:line="240" w:lineRule="auto"/>
      </w:pPr>
      <w:r>
        <w:t>Collaborate with the community to update strategies and program implementation based on lessons learned from monitoring.</w:t>
      </w:r>
    </w:p>
    <w:p w14:paraId="3BCE297F" w14:textId="77777777" w:rsidR="0016172B" w:rsidRDefault="0016172B">
      <w:r>
        <w:br w:type="page"/>
      </w:r>
    </w:p>
    <w:tbl>
      <w:tblPr>
        <w:tblStyle w:val="TableGrid"/>
        <w:tblW w:w="0" w:type="auto"/>
        <w:tblLook w:val="04A0" w:firstRow="1" w:lastRow="0" w:firstColumn="1" w:lastColumn="0" w:noHBand="0" w:noVBand="1"/>
      </w:tblPr>
      <w:tblGrid>
        <w:gridCol w:w="9350"/>
      </w:tblGrid>
      <w:tr w:rsidR="008138F3" w:rsidRPr="008A1C5E" w14:paraId="4D7006CF" w14:textId="77777777" w:rsidTr="00304E37">
        <w:trPr>
          <w:trHeight w:val="576"/>
        </w:trPr>
        <w:tc>
          <w:tcPr>
            <w:tcW w:w="9350" w:type="dxa"/>
            <w:tcBorders>
              <w:top w:val="nil"/>
              <w:left w:val="nil"/>
              <w:bottom w:val="nil"/>
              <w:right w:val="nil"/>
            </w:tcBorders>
            <w:shd w:val="clear" w:color="auto" w:fill="1F5485"/>
            <w:vAlign w:val="center"/>
          </w:tcPr>
          <w:p w14:paraId="050FE27A" w14:textId="4F08B778" w:rsidR="008138F3" w:rsidRPr="009A0525" w:rsidRDefault="008138F3" w:rsidP="00304E37">
            <w:pPr>
              <w:rPr>
                <w:b/>
                <w:bCs/>
                <w:color w:val="FFFFFF" w:themeColor="background1"/>
              </w:rPr>
            </w:pPr>
            <w:r>
              <w:rPr>
                <w:b/>
                <w:bCs/>
                <w:color w:val="FFFFFF" w:themeColor="background1"/>
              </w:rPr>
              <w:t>Case Study: Beach Cities Health District (BCHD)’s LHMP</w:t>
            </w:r>
          </w:p>
        </w:tc>
      </w:tr>
      <w:tr w:rsidR="008138F3" w14:paraId="389CD298" w14:textId="77777777" w:rsidTr="00304E37">
        <w:tc>
          <w:tcPr>
            <w:tcW w:w="9350" w:type="dxa"/>
            <w:tcBorders>
              <w:top w:val="nil"/>
              <w:left w:val="nil"/>
              <w:bottom w:val="nil"/>
              <w:right w:val="nil"/>
            </w:tcBorders>
            <w:shd w:val="clear" w:color="auto" w:fill="DCEAF7"/>
          </w:tcPr>
          <w:p w14:paraId="5DC21EA5" w14:textId="26E06501" w:rsidR="008138F3" w:rsidRDefault="008138F3" w:rsidP="00304E37">
            <w:pPr>
              <w:spacing w:before="120" w:after="160"/>
            </w:pPr>
            <w:r>
              <w:t xml:space="preserve">BCHD committed to increasing accessibility and public participation by building on the outreach capacity used during the development of its first </w:t>
            </w:r>
            <w:hyperlink r:id="rId319" w:history="1">
              <w:r>
                <w:rPr>
                  <w:rStyle w:val="Hyperlink"/>
                  <w:i/>
                  <w:iCs/>
                  <w:szCs w:val="22"/>
                </w:rPr>
                <w:t>Beach Cities Health District LHMP</w:t>
              </w:r>
            </w:hyperlink>
            <w:r>
              <w:t xml:space="preserve"> in 2025. The District’s process below outlines a few simple but effective methods to keep outreach momentum going:</w:t>
            </w:r>
          </w:p>
          <w:p w14:paraId="7B1E8BE9" w14:textId="77777777" w:rsidR="008138F3" w:rsidRPr="00284C72" w:rsidRDefault="008138F3" w:rsidP="00304E37">
            <w:pPr>
              <w:pStyle w:val="ListParagraph"/>
              <w:numPr>
                <w:ilvl w:val="0"/>
                <w:numId w:val="2"/>
              </w:numPr>
              <w:spacing w:before="160" w:after="160"/>
            </w:pPr>
            <w:r>
              <w:rPr>
                <w:b/>
                <w:bCs/>
              </w:rPr>
              <w:t>Enhance Public Education and Community Engagement</w:t>
            </w:r>
            <w:r>
              <w:rPr>
                <w:b/>
                <w:bCs/>
              </w:rPr>
              <w:br/>
            </w:r>
            <w:r>
              <w:t>Building on existing outreach capacity, BCHD can:</w:t>
            </w:r>
          </w:p>
          <w:p w14:paraId="5DEA6008" w14:textId="77777777" w:rsidR="008138F3" w:rsidRPr="00ED52D9" w:rsidRDefault="008138F3">
            <w:pPr>
              <w:pStyle w:val="ListParagraph"/>
              <w:numPr>
                <w:ilvl w:val="1"/>
                <w:numId w:val="34"/>
              </w:numPr>
            </w:pPr>
            <w:r>
              <w:t>Publish the adopted LHMP on its website and link it through its Health Resource Directory</w:t>
            </w:r>
          </w:p>
          <w:p w14:paraId="0372EC73" w14:textId="0E5E4427" w:rsidR="008138F3" w:rsidRPr="00ED52D9" w:rsidRDefault="008138F3">
            <w:pPr>
              <w:pStyle w:val="ListParagraph"/>
              <w:numPr>
                <w:ilvl w:val="1"/>
                <w:numId w:val="34"/>
              </w:numPr>
            </w:pPr>
            <w:r>
              <w:t xml:space="preserve">Present plan goals and updates at public events, partner forums, and partner meetings </w:t>
            </w:r>
          </w:p>
          <w:p w14:paraId="6AE5AD93" w14:textId="77777777" w:rsidR="008138F3" w:rsidRDefault="008138F3">
            <w:pPr>
              <w:pStyle w:val="ListParagraph"/>
              <w:numPr>
                <w:ilvl w:val="1"/>
                <w:numId w:val="34"/>
              </w:numPr>
            </w:pPr>
            <w:r>
              <w:t>Share mitigation tips and updates via newsletters, social media, and wellness campaigns</w:t>
            </w:r>
          </w:p>
          <w:p w14:paraId="0D606B90" w14:textId="77777777" w:rsidR="00A42F57" w:rsidRPr="00284C72" w:rsidRDefault="00A42F57">
            <w:pPr>
              <w:pStyle w:val="ListParagraph"/>
              <w:numPr>
                <w:ilvl w:val="0"/>
                <w:numId w:val="34"/>
              </w:numPr>
              <w:spacing w:before="120"/>
            </w:pPr>
            <w:r>
              <w:rPr>
                <w:b/>
                <w:bCs/>
              </w:rPr>
              <w:t>Expand Partnerships with Vulnerable Population Advocates</w:t>
            </w:r>
            <w:r>
              <w:rPr>
                <w:b/>
                <w:bCs/>
              </w:rPr>
              <w:br/>
            </w:r>
            <w:r>
              <w:t>BCHD already serves many high-risk populations. Future efforts can enhance mitigation equity by deepening engagement with:</w:t>
            </w:r>
          </w:p>
          <w:p w14:paraId="470B2969" w14:textId="77777777" w:rsidR="00A42F57" w:rsidRPr="00284C72" w:rsidRDefault="00A42F57">
            <w:pPr>
              <w:pStyle w:val="ListParagraph"/>
              <w:numPr>
                <w:ilvl w:val="1"/>
                <w:numId w:val="34"/>
              </w:numPr>
            </w:pPr>
            <w:r>
              <w:t>Senior centers (e.g., Joslyn Center)</w:t>
            </w:r>
          </w:p>
          <w:p w14:paraId="12408088" w14:textId="77777777" w:rsidR="00A42F57" w:rsidRPr="00284C72" w:rsidRDefault="00A42F57">
            <w:pPr>
              <w:pStyle w:val="ListParagraph"/>
              <w:numPr>
                <w:ilvl w:val="1"/>
                <w:numId w:val="34"/>
              </w:numPr>
            </w:pPr>
            <w:r>
              <w:t>Behavioral health providers</w:t>
            </w:r>
          </w:p>
          <w:p w14:paraId="4F8F9DA6" w14:textId="77777777" w:rsidR="00A42F57" w:rsidRPr="00284C72" w:rsidRDefault="00A42F57">
            <w:pPr>
              <w:pStyle w:val="ListParagraph"/>
              <w:numPr>
                <w:ilvl w:val="1"/>
                <w:numId w:val="34"/>
              </w:numPr>
            </w:pPr>
            <w:r>
              <w:t>South Bay paratransit and mobility services</w:t>
            </w:r>
          </w:p>
          <w:p w14:paraId="539FC4A4" w14:textId="77777777" w:rsidR="00A42F57" w:rsidRPr="00284C72" w:rsidRDefault="00A42F57">
            <w:pPr>
              <w:pStyle w:val="ListParagraph"/>
              <w:numPr>
                <w:ilvl w:val="1"/>
                <w:numId w:val="34"/>
              </w:numPr>
            </w:pPr>
            <w:r>
              <w:t>School-based wellness coordinators</w:t>
            </w:r>
          </w:p>
          <w:p w14:paraId="3347B187" w14:textId="77777777" w:rsidR="00A42F57" w:rsidRPr="00284C72" w:rsidRDefault="00A42F57">
            <w:pPr>
              <w:pStyle w:val="ListParagraph"/>
              <w:numPr>
                <w:ilvl w:val="1"/>
                <w:numId w:val="34"/>
              </w:numPr>
            </w:pPr>
            <w:r>
              <w:t>Cultural and language-specific community organizations</w:t>
            </w:r>
          </w:p>
          <w:p w14:paraId="60725BBC" w14:textId="77777777" w:rsidR="00A42F57" w:rsidRPr="00284C72" w:rsidRDefault="00A42F57" w:rsidP="00A42F57">
            <w:pPr>
              <w:ind w:left="701"/>
            </w:pPr>
            <w:r>
              <w:t>These partners can help co-design mitigation strategies, distribute risk communication materials, and ensure inclusive planning.</w:t>
            </w:r>
          </w:p>
          <w:p w14:paraId="1115D386" w14:textId="1E363761" w:rsidR="00A42F57" w:rsidRPr="00ED52D9" w:rsidRDefault="00A42F57">
            <w:pPr>
              <w:pStyle w:val="ListParagraph"/>
              <w:numPr>
                <w:ilvl w:val="0"/>
                <w:numId w:val="34"/>
              </w:numPr>
            </w:pPr>
            <w:r>
              <w:rPr>
                <w:b/>
                <w:bCs/>
              </w:rPr>
              <w:t>Use Diverse Communication Tools</w:t>
            </w:r>
            <w:r>
              <w:rPr>
                <w:b/>
                <w:bCs/>
              </w:rPr>
              <w:br/>
            </w:r>
            <w:r>
              <w:t>To increase accessibility and participation, BCHD will continue using hybrid formats (virtual/in-person) for outreach and meetings. Written materials, video content, and infographics may be translated into Spanish and other prevalent languages. Communications will be distributed through BCHD’s website, newsletters, social media, local news outlets, and direct outreach with trusted community partners.</w:t>
            </w:r>
          </w:p>
          <w:p w14:paraId="0840CA48" w14:textId="77777777" w:rsidR="008138F3" w:rsidRPr="00E81885" w:rsidRDefault="008138F3" w:rsidP="00A42F57">
            <w:pPr>
              <w:spacing w:before="160" w:after="120"/>
            </w:pPr>
            <w:r>
              <w:t>These strategies help normalize mitigation as part of overall health protection.</w:t>
            </w:r>
          </w:p>
        </w:tc>
      </w:tr>
    </w:tbl>
    <w:p w14:paraId="0EED21F0" w14:textId="77777777" w:rsidR="00350A54" w:rsidRDefault="00350A54">
      <w:r>
        <w:br w:type="page"/>
      </w:r>
    </w:p>
    <w:p w14:paraId="032BEDEE" w14:textId="01CF173B" w:rsidR="00CF71BD" w:rsidRPr="00BB38C6" w:rsidRDefault="00CF71BD" w:rsidP="00A27604">
      <w:pPr>
        <w:pStyle w:val="Heading2"/>
        <w:spacing w:before="160" w:after="160" w:line="240" w:lineRule="auto"/>
      </w:pPr>
      <w:bookmarkStart w:id="213" w:name="_Toc235802732"/>
      <w:r>
        <w:t>Phase 4 Wrap-Up</w:t>
      </w:r>
      <w:bookmarkEnd w:id="213"/>
    </w:p>
    <w:p w14:paraId="475370F1" w14:textId="1397D5E2" w:rsidR="00CF71BD" w:rsidRPr="00BB38C6" w:rsidRDefault="00CF71BD" w:rsidP="00A27604">
      <w:pPr>
        <w:spacing w:before="160" w:line="240" w:lineRule="auto"/>
      </w:pPr>
      <w:r>
        <w:t>Implementation is a critical part of any adaptation plan. Once a plan is developed, communities must put strategies into action, monitor progress, evaluate outcomes, and adjust based on feedback and changing conditions. Because climate impacts and community needs can change over time, adaptation planning should be viewed as an ongoing, iterative process.</w:t>
      </w:r>
    </w:p>
    <w:p w14:paraId="6C3B1F0F" w14:textId="3C000684" w:rsidR="00CF71BD" w:rsidRPr="00BB38C6" w:rsidRDefault="00CF71BD" w:rsidP="00A27604">
      <w:pPr>
        <w:spacing w:before="160" w:line="240" w:lineRule="auto"/>
      </w:pPr>
      <w:r>
        <w:t>Successful implementation also requires identifying funding sources, establishing realistic timelines, and assigning key roles and responsibilities to determine who will lead specific actions and how progress will be tracked.</w:t>
      </w:r>
    </w:p>
    <w:p w14:paraId="67ACE776" w14:textId="7F75B85A" w:rsidR="00457EEB" w:rsidRDefault="54CBC396" w:rsidP="00A27604">
      <w:pPr>
        <w:spacing w:before="160" w:line="240" w:lineRule="auto"/>
        <w:sectPr w:rsidR="00457EEB" w:rsidSect="00CE0D66">
          <w:pgSz w:w="12240" w:h="15840"/>
          <w:pgMar w:top="1440" w:right="1440" w:bottom="1440" w:left="1440" w:header="720" w:footer="720" w:gutter="0"/>
          <w:cols w:space="720"/>
          <w:docGrid w:linePitch="360"/>
        </w:sectPr>
      </w:pPr>
      <w:r>
        <w:t>Monitoring and evaluation are key to successful implementation of adaptation strategies.  By maintaining a robust and flexible adaptation planning process, communities can position themselves to build capacity to withstand climate</w:t>
      </w:r>
      <w:r w:rsidR="12277CAD">
        <w:t xml:space="preserve"> </w:t>
      </w:r>
      <w:r w:rsidR="007559E5">
        <w:t>change impacts</w:t>
      </w:r>
      <w:r>
        <w:t xml:space="preserve"> and continue to thrive in a changing environment.</w:t>
      </w:r>
    </w:p>
    <w:p w14:paraId="24B6BD48" w14:textId="2143146D" w:rsidR="00DD43A7" w:rsidRPr="00E03C8D" w:rsidRDefault="00DD43A7" w:rsidP="002F370C">
      <w:pPr>
        <w:pStyle w:val="Heading1"/>
      </w:pPr>
      <w:bookmarkStart w:id="214" w:name="_Ref230256049"/>
      <w:bookmarkStart w:id="215" w:name="_Toc235802733"/>
      <w:r>
        <w:t>APPENDIX A: OUTREACH &amp; ENGAGEMENT METHODS</w:t>
      </w:r>
      <w:bookmarkEnd w:id="214"/>
      <w:bookmarkEnd w:id="215"/>
    </w:p>
    <w:p w14:paraId="11884B33" w14:textId="71248AD9" w:rsidR="00DD43A7" w:rsidRDefault="00DD43A7" w:rsidP="00541ABE">
      <w:pPr>
        <w:spacing w:before="160" w:line="240" w:lineRule="auto"/>
        <w:rPr>
          <w:szCs w:val="24"/>
        </w:rPr>
      </w:pPr>
    </w:p>
    <w:tbl>
      <w:tblPr>
        <w:tblStyle w:val="TableGrid"/>
        <w:tblW w:w="9450" w:type="dxa"/>
        <w:tblLook w:val="04A0" w:firstRow="1" w:lastRow="0" w:firstColumn="1" w:lastColumn="0" w:noHBand="0" w:noVBand="1"/>
      </w:tblPr>
      <w:tblGrid>
        <w:gridCol w:w="9450"/>
      </w:tblGrid>
      <w:tr w:rsidR="00157F24" w:rsidRPr="00157F24" w14:paraId="7547357B" w14:textId="77777777" w:rsidTr="00014B28">
        <w:trPr>
          <w:trHeight w:val="576"/>
        </w:trPr>
        <w:tc>
          <w:tcPr>
            <w:tcW w:w="9450" w:type="dxa"/>
            <w:tcBorders>
              <w:top w:val="nil"/>
              <w:left w:val="nil"/>
              <w:bottom w:val="nil"/>
              <w:right w:val="nil"/>
            </w:tcBorders>
            <w:shd w:val="clear" w:color="auto" w:fill="404040" w:themeFill="text1" w:themeFillTint="BF"/>
            <w:vAlign w:val="center"/>
          </w:tcPr>
          <w:p w14:paraId="2A6B667B" w14:textId="42EB772C" w:rsidR="00157F24" w:rsidRPr="00157F24" w:rsidRDefault="00157F24" w:rsidP="00157F24">
            <w:pPr>
              <w:rPr>
                <w:b/>
                <w:bCs/>
                <w:color w:val="FFFFFF" w:themeColor="background1"/>
              </w:rPr>
            </w:pPr>
            <w:r>
              <w:rPr>
                <w:b/>
                <w:bCs/>
                <w:color w:val="FFFFFF" w:themeColor="background1"/>
              </w:rPr>
              <w:t>How to Use This Appendix</w:t>
            </w:r>
          </w:p>
        </w:tc>
      </w:tr>
      <w:tr w:rsidR="00157F24" w14:paraId="4DD87899" w14:textId="77777777" w:rsidTr="00014B28">
        <w:tc>
          <w:tcPr>
            <w:tcW w:w="9450" w:type="dxa"/>
            <w:tcBorders>
              <w:top w:val="nil"/>
              <w:left w:val="nil"/>
              <w:bottom w:val="nil"/>
              <w:right w:val="nil"/>
            </w:tcBorders>
            <w:shd w:val="clear" w:color="auto" w:fill="F2F2F2" w:themeFill="background1" w:themeFillShade="F2"/>
          </w:tcPr>
          <w:p w14:paraId="47DB9463" w14:textId="7DB58F39" w:rsidR="00157F24" w:rsidRDefault="00157F24" w:rsidP="006F2C44">
            <w:pPr>
              <w:spacing w:before="120" w:after="120"/>
            </w:pPr>
            <w:r>
              <w:t>This Appendix provides additional guidance for outreach and engagement throughout all phases of the APG. Unless a specific step is referenced, the guidance is intended to support and be applied across every step of the process.</w:t>
            </w:r>
          </w:p>
        </w:tc>
      </w:tr>
    </w:tbl>
    <w:p w14:paraId="7BD23B52" w14:textId="77777777" w:rsidR="00DD43A7" w:rsidRDefault="00DD43A7" w:rsidP="00541ABE">
      <w:pPr>
        <w:spacing w:before="160" w:line="240" w:lineRule="auto"/>
      </w:pPr>
    </w:p>
    <w:p w14:paraId="163E28F7" w14:textId="0A6C7A5A" w:rsidR="00DD43A7" w:rsidRDefault="00DD43A7" w:rsidP="00541ABE">
      <w:pPr>
        <w:pStyle w:val="Heading2"/>
        <w:spacing w:before="160" w:after="160" w:line="240" w:lineRule="auto"/>
      </w:pPr>
      <w:bookmarkStart w:id="216" w:name="_Toc235802734"/>
      <w:r>
        <w:t>Racial Equity Framework</w:t>
      </w:r>
      <w:bookmarkEnd w:id="216"/>
    </w:p>
    <w:p w14:paraId="0F4A89F0" w14:textId="673AB8D2" w:rsidR="00DD43A7" w:rsidRPr="0038701F" w:rsidRDefault="00DD43A7" w:rsidP="00541ABE">
      <w:pPr>
        <w:spacing w:before="160" w:line="240" w:lineRule="auto"/>
      </w:pPr>
      <w:r>
        <w:t xml:space="preserve">The California Racial Equity Commission developed a 2025 </w:t>
      </w:r>
      <w:hyperlink r:id="rId320">
        <w:r>
          <w:rPr>
            <w:rStyle w:val="Hyperlink"/>
          </w:rPr>
          <w:t>Racial Equity Framework</w:t>
        </w:r>
      </w:hyperlink>
      <w:r>
        <w:t xml:space="preserve"> that </w:t>
      </w:r>
      <w:r>
        <w:rPr>
          <w:rFonts w:eastAsia="Century Gothic" w:cs="Century Gothic"/>
          <w:szCs w:val="24"/>
        </w:rPr>
        <w:t>provides a comprehensive set of tools, resources, and best practices to support equitable community outreach and engagement. It helps communities design inclusive processes, center the voices of those most impacted by inequities, and build trust through transparent and culturally responsive engagement. By offering practical guidance on partnership-building, decision-making, and accountability, the framework enables local governments and organizations to develop more effective, community-informed solutions that advance equity.</w:t>
      </w:r>
    </w:p>
    <w:p w14:paraId="399A7BE1" w14:textId="77777777" w:rsidR="00DD43A7" w:rsidRPr="0038701F" w:rsidRDefault="00DD43A7" w:rsidP="00541ABE">
      <w:pPr>
        <w:spacing w:before="160" w:line="240" w:lineRule="auto"/>
      </w:pPr>
    </w:p>
    <w:p w14:paraId="768F2959" w14:textId="607090A5" w:rsidR="00DD43A7" w:rsidRDefault="00DD43A7" w:rsidP="00541ABE">
      <w:pPr>
        <w:pStyle w:val="Heading2"/>
        <w:spacing w:before="160" w:after="160" w:line="240" w:lineRule="auto"/>
      </w:pPr>
      <w:bookmarkStart w:id="217" w:name="_Ref230256547"/>
      <w:bookmarkStart w:id="218" w:name="_Toc235802735"/>
      <w:r>
        <w:t>The Spectrum of Community Engagement to Ownership</w:t>
      </w:r>
      <w:bookmarkEnd w:id="217"/>
      <w:bookmarkEnd w:id="218"/>
    </w:p>
    <w:p w14:paraId="4401A702" w14:textId="411B59B1" w:rsidR="00DD43A7" w:rsidRDefault="00DD43A7" w:rsidP="00541ABE">
      <w:pPr>
        <w:spacing w:before="160" w:line="240" w:lineRule="auto"/>
      </w:pPr>
      <w:hyperlink r:id="rId321" w:history="1">
        <w:r>
          <w:rPr>
            <w:rStyle w:val="Hyperlink"/>
          </w:rPr>
          <w:t>The Spectrum of Community Engagement to Ownership</w:t>
        </w:r>
      </w:hyperlink>
      <w:r>
        <w:t xml:space="preserve"> is developed by Rosa Gonzalez of Facilitating Power. The spectrum can be used by local governments, community-based organizations, and non-profits to facilitate community participation in solutions development and decision making. It is designed to:</w:t>
      </w:r>
    </w:p>
    <w:p w14:paraId="0E70D2EB" w14:textId="62A1CE00" w:rsidR="00DD43A7" w:rsidRDefault="00DD43A7">
      <w:pPr>
        <w:pStyle w:val="ListParagraph"/>
        <w:numPr>
          <w:ilvl w:val="0"/>
          <w:numId w:val="47"/>
        </w:numPr>
        <w:spacing w:after="0" w:line="240" w:lineRule="auto"/>
      </w:pPr>
      <w:r>
        <w:rPr>
          <w:b/>
          <w:bCs/>
        </w:rPr>
        <w:t>Acknowledge Marginalization</w:t>
      </w:r>
      <w:r>
        <w:t xml:space="preserve"> as the status quo practice of current systems that have been historically designed to exclude certain populations</w:t>
      </w:r>
    </w:p>
    <w:p w14:paraId="19583706" w14:textId="6560E409" w:rsidR="00DD43A7" w:rsidRDefault="00DD43A7">
      <w:pPr>
        <w:pStyle w:val="ListParagraph"/>
        <w:numPr>
          <w:ilvl w:val="0"/>
          <w:numId w:val="47"/>
        </w:numPr>
        <w:spacing w:after="0" w:line="240" w:lineRule="auto"/>
      </w:pPr>
      <w:r>
        <w:rPr>
          <w:b/>
          <w:bCs/>
        </w:rPr>
        <w:t>Assert a Clear Vision</w:t>
      </w:r>
      <w:r>
        <w:t xml:space="preserve"> for rebuilding local democracies, as key to solving today’s toughest crises, through inclusion, racial justice, and community ownership</w:t>
      </w:r>
    </w:p>
    <w:p w14:paraId="684396C0" w14:textId="511914F8" w:rsidR="00DD43A7" w:rsidRDefault="00DD43A7">
      <w:pPr>
        <w:pStyle w:val="ListParagraph"/>
        <w:numPr>
          <w:ilvl w:val="0"/>
          <w:numId w:val="47"/>
        </w:numPr>
        <w:spacing w:after="0" w:line="240" w:lineRule="auto"/>
      </w:pPr>
      <w:r>
        <w:rPr>
          <w:b/>
          <w:bCs/>
        </w:rPr>
        <w:t xml:space="preserve">Articulate a Development Process </w:t>
      </w:r>
      <w:r>
        <w:t>for rebuilding local democracies that require significant investment in the capacity to participate as well as the capacity to break down systemic barriers to community participation</w:t>
      </w:r>
    </w:p>
    <w:p w14:paraId="03FB3F16" w14:textId="3D579E4E" w:rsidR="00DD43A7" w:rsidRDefault="00DD43A7">
      <w:pPr>
        <w:pStyle w:val="ListParagraph"/>
        <w:numPr>
          <w:ilvl w:val="0"/>
          <w:numId w:val="47"/>
        </w:numPr>
        <w:spacing w:after="0" w:line="240" w:lineRule="auto"/>
      </w:pPr>
      <w:r>
        <w:rPr>
          <w:b/>
          <w:bCs/>
        </w:rPr>
        <w:t xml:space="preserve">Assess Community Participation Efforts and Progress </w:t>
      </w:r>
      <w:r>
        <w:t>toward participation goals</w:t>
      </w:r>
    </w:p>
    <w:p w14:paraId="54C4F0D9" w14:textId="7A33FEDA" w:rsidR="00DD43A7" w:rsidRPr="00FE3724" w:rsidRDefault="2DF0CEC6" w:rsidP="00B74B93">
      <w:pPr>
        <w:spacing w:before="160" w:line="240" w:lineRule="auto"/>
      </w:pPr>
      <w:r>
        <w:t>Start on page 6 (PDF pg</w:t>
      </w:r>
      <w:r w:rsidR="18F5DAEB">
        <w:t>.</w:t>
      </w:r>
      <w:r>
        <w:t xml:space="preserve"> 7) for guidance on how to apply the spectrum of community engagement across different communities, as well as how the tool can be used to inform a plan and decision-making.</w:t>
      </w:r>
    </w:p>
    <w:p w14:paraId="7643B420" w14:textId="77777777" w:rsidR="005216BD" w:rsidRPr="00FE3724" w:rsidRDefault="005216BD" w:rsidP="005216BD">
      <w:pPr>
        <w:spacing w:before="160" w:line="240" w:lineRule="auto"/>
      </w:pPr>
    </w:p>
    <w:p w14:paraId="22588AED" w14:textId="64AA2830" w:rsidR="00DD43A7" w:rsidRDefault="00DD43A7" w:rsidP="00B74B93">
      <w:pPr>
        <w:pStyle w:val="Heading2"/>
        <w:spacing w:before="160" w:after="160" w:line="240" w:lineRule="auto"/>
      </w:pPr>
      <w:bookmarkStart w:id="219" w:name="_Ref230256373"/>
      <w:bookmarkStart w:id="220" w:name="_Ref230257122"/>
      <w:bookmarkStart w:id="221" w:name="_Ref230257242"/>
      <w:bookmarkStart w:id="222" w:name="_Toc235802736"/>
      <w:r>
        <w:t>Best Practices for Conducting Outreach and Engagement Activities</w:t>
      </w:r>
      <w:bookmarkEnd w:id="219"/>
      <w:bookmarkEnd w:id="220"/>
      <w:bookmarkEnd w:id="221"/>
      <w:bookmarkEnd w:id="222"/>
    </w:p>
    <w:p w14:paraId="13FCD712" w14:textId="55129C2A" w:rsidR="007B3206" w:rsidRPr="00D15F88" w:rsidRDefault="00DD43A7" w:rsidP="00B74B93">
      <w:pPr>
        <w:spacing w:before="160" w:line="240" w:lineRule="auto"/>
      </w:pPr>
      <w:r>
        <w:t>Outreach and engagement activities can vary in format and style depending on a community’s needs, culture, and capacity. Below is a list of best practices to consider when implementing outreach and engagement strategies across all phases of the APG. Activities may include, but are not limited to the following:</w:t>
      </w:r>
    </w:p>
    <w:p w14:paraId="5C314A04" w14:textId="77777777" w:rsidR="00EC0382" w:rsidRDefault="00EC0382" w:rsidP="00014B28">
      <w:pPr>
        <w:spacing w:after="0"/>
        <w:rPr>
          <w:b/>
          <w:bCs/>
        </w:rPr>
      </w:pPr>
    </w:p>
    <w:p w14:paraId="79066B71" w14:textId="6B09BE14" w:rsidR="00DD43A7" w:rsidRPr="004A78F2" w:rsidRDefault="00DB791D" w:rsidP="00014B28">
      <w:pPr>
        <w:spacing w:after="0"/>
        <w:rPr>
          <w:b/>
          <w:bCs/>
        </w:rPr>
      </w:pPr>
      <w:r>
        <w:rPr>
          <w:b/>
          <w:bCs/>
        </w:rPr>
        <w:t>Meet People at Existing Events</w:t>
      </w:r>
    </w:p>
    <w:p w14:paraId="0654B4B5" w14:textId="19FFEAA0" w:rsidR="00E63F6E" w:rsidRDefault="00DD43A7" w:rsidP="00014B28">
      <w:pPr>
        <w:spacing w:line="240" w:lineRule="auto"/>
      </w:pPr>
      <w:r>
        <w:t>These are events hosted by other organizations in the community that can be partnered with, presented at, or set up a booth or table at. This is a great opportunity to meet community members in their own spaces. Here are a few examples of these kinds of events:</w:t>
      </w:r>
    </w:p>
    <w:p w14:paraId="7AA53188" w14:textId="4F2F0DBF" w:rsidR="00DD43A7" w:rsidRPr="00D15F88" w:rsidRDefault="00DD43A7">
      <w:pPr>
        <w:numPr>
          <w:ilvl w:val="0"/>
          <w:numId w:val="24"/>
        </w:numPr>
        <w:spacing w:after="0" w:line="240" w:lineRule="auto"/>
      </w:pPr>
      <w:r>
        <w:t xml:space="preserve">A booth at a regular community gathering like a local farmer’s market, high school football game, music festival, block party, or school fair. Some options are to hand out flyers, ask people to take surveys for small prizes, and put up posters with information or questions about climate vulnerabilities in the area that people can react to by placing </w:t>
      </w:r>
      <w:hyperlink r:id="rId322" w:tgtFrame="_blank" w:history="1">
        <w:r>
          <w:rPr>
            <w:rStyle w:val="Hyperlink"/>
          </w:rPr>
          <w:t>sticky notes</w:t>
        </w:r>
      </w:hyperlink>
      <w:r>
        <w:t xml:space="preserve"> or colored </w:t>
      </w:r>
      <w:hyperlink r:id="rId323" w:tgtFrame="_blank" w:history="1">
        <w:r>
          <w:rPr>
            <w:rStyle w:val="Hyperlink"/>
          </w:rPr>
          <w:t>dots for voting</w:t>
        </w:r>
      </w:hyperlink>
      <w:r>
        <w:t>.</w:t>
      </w:r>
    </w:p>
    <w:p w14:paraId="2E6A2DF0" w14:textId="21ACE9C7" w:rsidR="00EC0382" w:rsidRPr="00EC0382" w:rsidRDefault="00DD43A7">
      <w:pPr>
        <w:numPr>
          <w:ilvl w:val="0"/>
          <w:numId w:val="24"/>
        </w:numPr>
        <w:spacing w:after="0" w:line="240" w:lineRule="auto"/>
      </w:pPr>
      <w:r>
        <w:t>Presentation to a neighborhood association, church group meeting, PTA meeting, service club meetings (Rotary Club, Kiwanis Club, social groups like Scouting, little league sports, other community groups), hobby group meetings (garden club, historical society, hiking club). Ask for a few minutes at the beginning or end of the meeting to explain the project and ask for specific feedback. Keep things as clear and concise, and try to connect climate issues back to the mission of the group being presented to, as much as possible.</w:t>
      </w:r>
    </w:p>
    <w:p w14:paraId="3DA58313" w14:textId="1AAB60AB" w:rsidR="00EC0382" w:rsidRDefault="00EC0382" w:rsidP="00014B28">
      <w:pPr>
        <w:spacing w:after="0"/>
        <w:rPr>
          <w:b/>
          <w:bCs/>
        </w:rPr>
      </w:pPr>
    </w:p>
    <w:p w14:paraId="6BCEFF7E" w14:textId="77777777" w:rsidR="00EC0382" w:rsidRDefault="00EC0382" w:rsidP="00014B28">
      <w:pPr>
        <w:spacing w:after="0"/>
        <w:rPr>
          <w:b/>
          <w:bCs/>
        </w:rPr>
      </w:pPr>
    </w:p>
    <w:p w14:paraId="663347D0" w14:textId="77777777" w:rsidR="00EC0382" w:rsidRDefault="00EC0382" w:rsidP="00014B28">
      <w:pPr>
        <w:spacing w:after="0"/>
        <w:rPr>
          <w:b/>
          <w:bCs/>
        </w:rPr>
      </w:pPr>
    </w:p>
    <w:p w14:paraId="1D8C5816" w14:textId="5E715A63" w:rsidR="00DD43A7" w:rsidRPr="004A78F2" w:rsidRDefault="00DB791D" w:rsidP="00014B28">
      <w:pPr>
        <w:spacing w:after="0"/>
        <w:rPr>
          <w:b/>
          <w:bCs/>
        </w:rPr>
      </w:pPr>
      <w:r>
        <w:rPr>
          <w:b/>
          <w:bCs/>
        </w:rPr>
        <w:t>Meet People at Everyday Spots</w:t>
      </w:r>
    </w:p>
    <w:p w14:paraId="2C1C069B" w14:textId="52483106" w:rsidR="00DD43A7" w:rsidRPr="00D15F88" w:rsidRDefault="00DD43A7" w:rsidP="00014B28">
      <w:pPr>
        <w:spacing w:line="240" w:lineRule="auto"/>
      </w:pPr>
      <w:r>
        <w:t>These are places people go on a regular basis to run errands. Meeting people in these places ensures inclusion of the perspective of folks who may not have time to go to extra events. Offer opportunities for quick activities or surveys and offer food or gift cards for people’s time. Invite known partners and advertise on social media to attract more attendees as well. Some examples include:</w:t>
      </w:r>
    </w:p>
    <w:p w14:paraId="4A362E24" w14:textId="7AF4A20F" w:rsidR="00DD43A7" w:rsidRPr="00D15F88" w:rsidRDefault="00DD43A7">
      <w:pPr>
        <w:pStyle w:val="ListParagraph"/>
        <w:numPr>
          <w:ilvl w:val="0"/>
          <w:numId w:val="45"/>
        </w:numPr>
        <w:spacing w:after="0" w:line="240" w:lineRule="auto"/>
      </w:pPr>
      <w:r>
        <w:t>Pop-up at a local laundromat to talk to people while they wait for their laundry</w:t>
      </w:r>
    </w:p>
    <w:p w14:paraId="1B950002" w14:textId="15FA0A25" w:rsidR="00DD43A7" w:rsidRPr="00D15F88" w:rsidRDefault="00DD43A7">
      <w:pPr>
        <w:pStyle w:val="ListParagraph"/>
        <w:numPr>
          <w:ilvl w:val="0"/>
          <w:numId w:val="45"/>
        </w:numPr>
        <w:spacing w:after="0" w:line="240" w:lineRule="auto"/>
      </w:pPr>
      <w:r>
        <w:t>Table at a local grocery store</w:t>
      </w:r>
    </w:p>
    <w:p w14:paraId="3E2E19E7" w14:textId="3463E81C" w:rsidR="00DD43A7" w:rsidRPr="00D15F88" w:rsidRDefault="00DD43A7">
      <w:pPr>
        <w:pStyle w:val="ListParagraph"/>
        <w:numPr>
          <w:ilvl w:val="0"/>
          <w:numId w:val="45"/>
        </w:numPr>
        <w:spacing w:after="0" w:line="240" w:lineRule="auto"/>
      </w:pPr>
      <w:r>
        <w:t>Set up a booth at a main transit station (bus, train stops)</w:t>
      </w:r>
    </w:p>
    <w:p w14:paraId="09A49035" w14:textId="77CC5CA0" w:rsidR="00DD43A7" w:rsidRPr="00D15F88" w:rsidRDefault="00DD43A7">
      <w:pPr>
        <w:pStyle w:val="ListParagraph"/>
        <w:numPr>
          <w:ilvl w:val="0"/>
          <w:numId w:val="45"/>
        </w:numPr>
        <w:spacing w:after="0" w:line="240" w:lineRule="auto"/>
      </w:pPr>
      <w:r>
        <w:t>Tent at a park or playground</w:t>
      </w:r>
    </w:p>
    <w:p w14:paraId="093CFA34" w14:textId="760A59E3" w:rsidR="00DD43A7" w:rsidRPr="00D15F88" w:rsidRDefault="00DD43A7">
      <w:pPr>
        <w:pStyle w:val="ListParagraph"/>
        <w:numPr>
          <w:ilvl w:val="0"/>
          <w:numId w:val="45"/>
        </w:numPr>
        <w:spacing w:after="0" w:line="240" w:lineRule="auto"/>
      </w:pPr>
      <w:r>
        <w:t>Offer free coffees for those who take a survey inside a local cafe or coffee shop</w:t>
      </w:r>
    </w:p>
    <w:p w14:paraId="0357522B" w14:textId="06274BBC" w:rsidR="00DD43A7" w:rsidRPr="00D15F88" w:rsidRDefault="00DD43A7">
      <w:pPr>
        <w:pStyle w:val="ListParagraph"/>
        <w:numPr>
          <w:ilvl w:val="0"/>
          <w:numId w:val="45"/>
        </w:numPr>
        <w:spacing w:after="0" w:line="240" w:lineRule="auto"/>
      </w:pPr>
      <w:r>
        <w:t>Set up a booth at a local post office, DMV, or other government service building</w:t>
      </w:r>
    </w:p>
    <w:p w14:paraId="0E73FA0F" w14:textId="766826C0" w:rsidR="00DD43A7" w:rsidRPr="00EC0382" w:rsidRDefault="00DD43A7">
      <w:pPr>
        <w:pStyle w:val="ListParagraph"/>
        <w:numPr>
          <w:ilvl w:val="0"/>
          <w:numId w:val="45"/>
        </w:numPr>
        <w:spacing w:after="0" w:line="240" w:lineRule="auto"/>
      </w:pPr>
      <w:r>
        <w:t>Outside a school during drop off and pick up times</w:t>
      </w:r>
    </w:p>
    <w:p w14:paraId="6061C0FA" w14:textId="77777777" w:rsidR="00EC0382" w:rsidRDefault="00EC0382" w:rsidP="00014B28">
      <w:pPr>
        <w:spacing w:after="0"/>
        <w:rPr>
          <w:b/>
          <w:bCs/>
        </w:rPr>
      </w:pPr>
    </w:p>
    <w:p w14:paraId="124CC24E" w14:textId="152B6D35" w:rsidR="00DD43A7" w:rsidRPr="004A78F2" w:rsidRDefault="00DB791D" w:rsidP="00014B28">
      <w:pPr>
        <w:spacing w:after="0"/>
        <w:rPr>
          <w:b/>
          <w:bCs/>
        </w:rPr>
      </w:pPr>
      <w:r>
        <w:rPr>
          <w:b/>
          <w:bCs/>
        </w:rPr>
        <w:t>Offer Virtual Engagement Opportunities</w:t>
      </w:r>
    </w:p>
    <w:p w14:paraId="5BB0A9C8" w14:textId="37E91294" w:rsidR="00DD43A7" w:rsidRPr="00D15F88" w:rsidRDefault="00DD43A7" w:rsidP="00014B28">
      <w:pPr>
        <w:spacing w:line="240" w:lineRule="auto"/>
      </w:pPr>
      <w:r>
        <w:t>Ensure that engagement and outreach events are available both in-person and in virtual format to reach broader audiences. Leveraging virtual engagement sessions can help reach individuals who are unable to physically attend or participate in an in-person format. Consider these options:</w:t>
      </w:r>
    </w:p>
    <w:p w14:paraId="236E4522" w14:textId="247512EC" w:rsidR="00DD43A7" w:rsidRPr="00D15F88" w:rsidRDefault="00DD43A7">
      <w:pPr>
        <w:pStyle w:val="ListParagraph"/>
        <w:numPr>
          <w:ilvl w:val="0"/>
          <w:numId w:val="45"/>
        </w:numPr>
        <w:spacing w:after="0" w:line="240" w:lineRule="auto"/>
      </w:pPr>
      <w:r>
        <w:t>Host a virtual meeting: Use a platform like Zoom to present plans and include time for people to ask questions and use polling tools to make it interactive.</w:t>
      </w:r>
    </w:p>
    <w:p w14:paraId="585EFD45" w14:textId="1FA71A58" w:rsidR="00DD43A7" w:rsidRPr="00D15F88" w:rsidRDefault="00DD43A7">
      <w:pPr>
        <w:pStyle w:val="ListParagraph"/>
        <w:numPr>
          <w:ilvl w:val="0"/>
          <w:numId w:val="45"/>
        </w:numPr>
        <w:spacing w:after="0" w:line="240" w:lineRule="auto"/>
      </w:pPr>
      <w:r>
        <w:t>Share online surveys through social media: Keep these short and mobile-friendly and consider offering some kind of incentive for filling it out.</w:t>
      </w:r>
    </w:p>
    <w:p w14:paraId="4F272AB0" w14:textId="17614130" w:rsidR="00DD43A7" w:rsidRPr="00D15F88" w:rsidRDefault="00DD43A7">
      <w:pPr>
        <w:pStyle w:val="ListParagraph"/>
        <w:numPr>
          <w:ilvl w:val="0"/>
          <w:numId w:val="45"/>
        </w:numPr>
        <w:spacing w:after="0" w:line="240" w:lineRule="auto"/>
      </w:pPr>
      <w:r>
        <w:t>Mail surveys to constituents’ houses or drop them outside their doors: This is great for reaching older populations and those without reliable internet. Include a pre-paid return envelope.</w:t>
      </w:r>
    </w:p>
    <w:p w14:paraId="335CD38A" w14:textId="36E8A410" w:rsidR="00DD43A7" w:rsidRDefault="00DD43A7">
      <w:pPr>
        <w:pStyle w:val="ListParagraph"/>
        <w:numPr>
          <w:ilvl w:val="0"/>
          <w:numId w:val="45"/>
        </w:numPr>
        <w:spacing w:after="0" w:line="240" w:lineRule="auto"/>
      </w:pPr>
      <w:r>
        <w:t>Place large posters in high-traffic areas like storefront windows or community boards: Use a QR code that links directly to a 30-second video explaining the project and a quick survey.</w:t>
      </w:r>
    </w:p>
    <w:p w14:paraId="68EF6B91" w14:textId="77777777" w:rsidR="00EC0382" w:rsidRPr="00D15F88" w:rsidRDefault="00EC0382" w:rsidP="00EC0382">
      <w:pPr>
        <w:pStyle w:val="ListParagraph"/>
        <w:spacing w:after="0" w:line="240" w:lineRule="auto"/>
      </w:pPr>
    </w:p>
    <w:p w14:paraId="0B2C2A8E" w14:textId="32444981" w:rsidR="00DD43A7" w:rsidRPr="004A78F2" w:rsidRDefault="00DB791D" w:rsidP="007B3206">
      <w:pPr>
        <w:spacing w:after="0"/>
        <w:rPr>
          <w:b/>
          <w:bCs/>
        </w:rPr>
      </w:pPr>
      <w:r>
        <w:rPr>
          <w:b/>
          <w:bCs/>
        </w:rPr>
        <w:t>Organize an Event</w:t>
      </w:r>
    </w:p>
    <w:p w14:paraId="38693FC3" w14:textId="375FDC92" w:rsidR="00DD43A7" w:rsidRPr="00D15F88" w:rsidRDefault="00D66466" w:rsidP="007B3206">
      <w:pPr>
        <w:spacing w:line="240" w:lineRule="auto"/>
      </w:pPr>
      <w:r>
        <w:t>Creating and managing an event is the best way to get in-depth discussions and feedback going, since it can ensure there is more time to introduce the work and space to set up activities. A common strategy for receiving feedback on a climate vulnerability assessment is through a workshop. The workshop generally includes the following:</w:t>
      </w:r>
    </w:p>
    <w:p w14:paraId="38BFDBD4" w14:textId="1E9C0225" w:rsidR="00DD43A7" w:rsidRPr="00D15F88" w:rsidRDefault="3920389D">
      <w:pPr>
        <w:pStyle w:val="ListParagraph"/>
        <w:numPr>
          <w:ilvl w:val="0"/>
          <w:numId w:val="46"/>
        </w:numPr>
        <w:spacing w:after="0" w:line="240" w:lineRule="auto"/>
      </w:pPr>
      <w:r>
        <w:t>An overview of the climate vulnerabilities identified, including past disaster events, major hazards, populations most vulnerable, secondary hazards, and assets at risk</w:t>
      </w:r>
      <w:r w:rsidR="2275BAB8">
        <w:t>.</w:t>
      </w:r>
    </w:p>
    <w:p w14:paraId="33613280" w14:textId="05A59531" w:rsidR="00DD43A7" w:rsidRPr="00D15F88" w:rsidRDefault="3920389D">
      <w:pPr>
        <w:pStyle w:val="ListParagraph"/>
        <w:numPr>
          <w:ilvl w:val="0"/>
          <w:numId w:val="46"/>
        </w:numPr>
        <w:spacing w:after="0" w:line="240" w:lineRule="auto"/>
      </w:pPr>
      <w:r>
        <w:t>A discussion or activity where participants can provide their own knowledge and experience of climate vulnerabilities- like marking areas on a map, discussing in small groups, or writing on posters</w:t>
      </w:r>
      <w:r w:rsidR="53281FEC">
        <w:t>.</w:t>
      </w:r>
    </w:p>
    <w:p w14:paraId="32DB3437" w14:textId="21061626" w:rsidR="00DD43A7" w:rsidRPr="00D15F88" w:rsidRDefault="3920389D">
      <w:pPr>
        <w:pStyle w:val="ListParagraph"/>
        <w:numPr>
          <w:ilvl w:val="0"/>
          <w:numId w:val="46"/>
        </w:numPr>
        <w:spacing w:after="0" w:line="240" w:lineRule="auto"/>
      </w:pPr>
      <w:r>
        <w:t>An overview of existing adaptation strategies planned in the community (by local government, regional government, or state agencies), how effective they are, and what opportunities were identified to increase adaptive capacity</w:t>
      </w:r>
      <w:r w:rsidR="0E1150EC">
        <w:t>.</w:t>
      </w:r>
    </w:p>
    <w:p w14:paraId="1E6EE20C" w14:textId="2BAF84A6" w:rsidR="00DD43A7" w:rsidRPr="00D15F88" w:rsidRDefault="3920389D">
      <w:pPr>
        <w:pStyle w:val="ListParagraph"/>
        <w:numPr>
          <w:ilvl w:val="0"/>
          <w:numId w:val="46"/>
        </w:numPr>
        <w:spacing w:after="0" w:line="240" w:lineRule="auto"/>
      </w:pPr>
      <w:r>
        <w:t>A discussion or activity where participants can provide input on how to advocate to improve existing adaptation strategies and ideas for new programs or projects to build resilience</w:t>
      </w:r>
      <w:r w:rsidR="142539D5">
        <w:t>.</w:t>
      </w:r>
    </w:p>
    <w:p w14:paraId="77F2045E" w14:textId="6250477C" w:rsidR="00DD43A7" w:rsidRPr="00D15F88" w:rsidRDefault="00DD43A7">
      <w:pPr>
        <w:pStyle w:val="ListParagraph"/>
        <w:numPr>
          <w:ilvl w:val="0"/>
          <w:numId w:val="46"/>
        </w:numPr>
        <w:spacing w:after="0" w:line="240" w:lineRule="auto"/>
      </w:pPr>
      <w:r>
        <w:t>Lastly, an overview of what actions the organization is thinking of taking to address these challenges (expansions of existing programs, leveraging assistance programs, new projects) and how it is planning on getting there (partnerships, grants, etc.), with an opportunity for participants to provide feedback and input.</w:t>
      </w:r>
    </w:p>
    <w:p w14:paraId="1A9E70F4" w14:textId="61D5A69C" w:rsidR="00DD43A7" w:rsidRPr="00D15F88" w:rsidRDefault="00D66466" w:rsidP="00562623">
      <w:pPr>
        <w:spacing w:before="160" w:line="240" w:lineRule="auto"/>
      </w:pPr>
      <w:r>
        <w:t>When organizing an event, know that events work best when there is some kind of ‘draw’. Try coupling the discussion of climate issues in the community with something fun or useful for the attendees:</w:t>
      </w:r>
    </w:p>
    <w:p w14:paraId="4B5FFC35" w14:textId="305A106E" w:rsidR="00DD43A7" w:rsidRPr="00D15F88" w:rsidRDefault="00DD43A7">
      <w:pPr>
        <w:numPr>
          <w:ilvl w:val="0"/>
          <w:numId w:val="24"/>
        </w:numPr>
        <w:spacing w:after="0" w:line="240" w:lineRule="auto"/>
      </w:pPr>
      <w:r>
        <w:t xml:space="preserve">A </w:t>
      </w:r>
      <w:hyperlink r:id="rId324" w:history="1">
        <w:r>
          <w:rPr>
            <w:rStyle w:val="Hyperlink"/>
          </w:rPr>
          <w:t>pop-up event</w:t>
        </w:r>
      </w:hyperlink>
      <w:r>
        <w:t xml:space="preserve"> in a public space with food and drinks, activities, and seating. Instead of just a booth, try to utilize a small zone in a high foot traffic area to attract passersby. Consider getting a food truck or partnering with a nearby local restaurant and use large planters, colorful chairs, and outdoor rugs to define the space. Check out this </w:t>
      </w:r>
      <w:hyperlink r:id="rId325" w:history="1">
        <w:r>
          <w:rPr>
            <w:rStyle w:val="Hyperlink"/>
          </w:rPr>
          <w:t>pop-up toolkit</w:t>
        </w:r>
      </w:hyperlink>
      <w:r>
        <w:t xml:space="preserve"> for more ideas.</w:t>
      </w:r>
    </w:p>
    <w:p w14:paraId="3C5B669B" w14:textId="32710CBC" w:rsidR="00DD43A7" w:rsidRPr="00D15F88" w:rsidRDefault="00DD43A7">
      <w:pPr>
        <w:numPr>
          <w:ilvl w:val="0"/>
          <w:numId w:val="24"/>
        </w:numPr>
        <w:spacing w:after="0" w:line="240" w:lineRule="auto"/>
      </w:pPr>
      <w:r>
        <w:t xml:space="preserve">Walking tour of the community with stops at local institutions and discussion of climate impacts to the area (this </w:t>
      </w:r>
      <w:hyperlink r:id="rId326" w:history="1">
        <w:r>
          <w:rPr>
            <w:rStyle w:val="Hyperlink"/>
          </w:rPr>
          <w:t>bakery half-marathon walk in LA</w:t>
        </w:r>
      </w:hyperlink>
      <w:r>
        <w:t xml:space="preserve"> had over 1,600 people apply for 50 spots).</w:t>
      </w:r>
    </w:p>
    <w:p w14:paraId="197C0A9F" w14:textId="2812FACF" w:rsidR="00DD43A7" w:rsidRDefault="00DD43A7">
      <w:pPr>
        <w:numPr>
          <w:ilvl w:val="0"/>
          <w:numId w:val="24"/>
        </w:numPr>
        <w:spacing w:after="0" w:line="240" w:lineRule="auto"/>
      </w:pPr>
      <w:r>
        <w:t>Partner with a local medical center or clinic to organize a wellness event with free health screenings (blood pressure, vision, dental, etc.) and talk about the connections between health and climate in the community.</w:t>
      </w:r>
    </w:p>
    <w:p w14:paraId="68B03BEA" w14:textId="122B8508" w:rsidR="009A2397" w:rsidRDefault="009A2397">
      <w:pPr>
        <w:numPr>
          <w:ilvl w:val="0"/>
          <w:numId w:val="24"/>
        </w:numPr>
        <w:spacing w:after="0" w:line="240" w:lineRule="auto"/>
      </w:pPr>
      <w:r>
        <w:t xml:space="preserve">Leverage Ready California initiatives to bring people together. (Neighborhood Block Party is designed to help neighbors prepare for disasters. To learn more visit: </w:t>
      </w:r>
      <w:hyperlink r:id="rId327" w:history="1">
        <w:r>
          <w:rPr>
            <w:rStyle w:val="Hyperlink"/>
          </w:rPr>
          <w:t xml:space="preserve">Neighborhood Block Party – </w:t>
        </w:r>
        <w:proofErr w:type="spellStart"/>
        <w:r>
          <w:rPr>
            <w:rStyle w:val="Hyperlink"/>
          </w:rPr>
          <w:t>Listos</w:t>
        </w:r>
        <w:proofErr w:type="spellEnd"/>
        <w:r>
          <w:rPr>
            <w:rStyle w:val="Hyperlink"/>
          </w:rPr>
          <w:t xml:space="preserve"> California</w:t>
        </w:r>
      </w:hyperlink>
      <w:r>
        <w:t>)</w:t>
      </w:r>
    </w:p>
    <w:p w14:paraId="67C86A48" w14:textId="77777777" w:rsidR="001F475E" w:rsidRDefault="001F475E" w:rsidP="00C36E1D">
      <w:pPr>
        <w:spacing w:after="0" w:line="240" w:lineRule="auto"/>
        <w:ind w:left="720"/>
      </w:pPr>
    </w:p>
    <w:p w14:paraId="26E15002" w14:textId="4D31559E" w:rsidR="00DD43A7" w:rsidRPr="00D15F88" w:rsidRDefault="00DD43A7" w:rsidP="00562623">
      <w:pPr>
        <w:spacing w:before="160" w:line="240" w:lineRule="auto"/>
      </w:pPr>
      <w:r>
        <w:t>Once the strategy is decided, word needs to get out. A few examples of strategies include:</w:t>
      </w:r>
    </w:p>
    <w:p w14:paraId="2CC7294E" w14:textId="78A88A57" w:rsidR="00DD43A7" w:rsidRPr="00D15F88" w:rsidRDefault="00DD43A7">
      <w:pPr>
        <w:numPr>
          <w:ilvl w:val="0"/>
          <w:numId w:val="24"/>
        </w:numPr>
        <w:spacing w:after="0" w:line="240" w:lineRule="auto"/>
      </w:pPr>
      <w:r>
        <w:t>Outdoor message boards: High schools, city halls, libraries, community centers, and churches may have electronic or changeable marquees or message boards that can be used to announce events. Local public works departments and police or sheriff’s offices often have electronic traffic message boards that can be placed in high-traffic locations to advertise events.</w:t>
      </w:r>
    </w:p>
    <w:p w14:paraId="6F88613C" w14:textId="46F47A1C" w:rsidR="00DD43A7" w:rsidRPr="00D15F88" w:rsidRDefault="00DD43A7">
      <w:pPr>
        <w:numPr>
          <w:ilvl w:val="0"/>
          <w:numId w:val="24"/>
        </w:numPr>
        <w:spacing w:after="0" w:line="240" w:lineRule="auto"/>
      </w:pPr>
      <w:r>
        <w:t>Street and park banners: Many communities can string banners across roadways on main streets, near parks, or in other public spaces to publicize events.</w:t>
      </w:r>
    </w:p>
    <w:p w14:paraId="5E073B13" w14:textId="48904480" w:rsidR="00DD43A7" w:rsidRPr="00D15F88" w:rsidRDefault="00DD43A7">
      <w:pPr>
        <w:numPr>
          <w:ilvl w:val="0"/>
          <w:numId w:val="24"/>
        </w:numPr>
        <w:spacing w:after="0" w:line="240" w:lineRule="auto"/>
      </w:pPr>
      <w:r>
        <w:t>Multilingual flyers and posters: Flyers and postcards can be printed with two languages (one on each side). These materials can be:</w:t>
      </w:r>
    </w:p>
    <w:p w14:paraId="5672208B" w14:textId="26904552" w:rsidR="00DD43A7" w:rsidRPr="00D15F88" w:rsidRDefault="00DD43A7">
      <w:pPr>
        <w:numPr>
          <w:ilvl w:val="1"/>
          <w:numId w:val="24"/>
        </w:numPr>
        <w:spacing w:after="0" w:line="240" w:lineRule="auto"/>
      </w:pPr>
      <w:r>
        <w:t>Sent home with school kids</w:t>
      </w:r>
    </w:p>
    <w:p w14:paraId="735749C3" w14:textId="5CE4D06C" w:rsidR="00DD43A7" w:rsidRPr="00D15F88" w:rsidRDefault="00DD43A7">
      <w:pPr>
        <w:numPr>
          <w:ilvl w:val="1"/>
          <w:numId w:val="24"/>
        </w:numPr>
        <w:spacing w:after="0" w:line="240" w:lineRule="auto"/>
      </w:pPr>
      <w:r>
        <w:t>Handed out door-to-door</w:t>
      </w:r>
    </w:p>
    <w:p w14:paraId="4C061031" w14:textId="2054F484" w:rsidR="00F22AEA" w:rsidRPr="00D15F88" w:rsidRDefault="00DD43A7">
      <w:pPr>
        <w:numPr>
          <w:ilvl w:val="1"/>
          <w:numId w:val="24"/>
        </w:numPr>
        <w:spacing w:after="0" w:line="240" w:lineRule="auto"/>
      </w:pPr>
      <w:r>
        <w:t xml:space="preserve">Shared on social media (make sure your social media posts are accessible, click here to </w:t>
      </w:r>
      <w:hyperlink r:id="rId328" w:history="1">
        <w:r>
          <w:rPr>
            <w:rStyle w:val="Hyperlink"/>
          </w:rPr>
          <w:t>learn</w:t>
        </w:r>
      </w:hyperlink>
      <w:r>
        <w:t xml:space="preserve"> best practices to create a post accessible on social media.)</w:t>
      </w:r>
    </w:p>
    <w:p w14:paraId="76B5B2CD" w14:textId="1FA80730" w:rsidR="00DD43A7" w:rsidRPr="00D15F88" w:rsidRDefault="00DD43A7" w:rsidP="00C36E1D">
      <w:pPr>
        <w:spacing w:after="0" w:line="240" w:lineRule="auto"/>
        <w:ind w:left="1440"/>
      </w:pPr>
    </w:p>
    <w:p w14:paraId="33995125" w14:textId="104751FD" w:rsidR="00DD43A7" w:rsidRPr="00D15F88" w:rsidRDefault="00DD43A7">
      <w:pPr>
        <w:numPr>
          <w:ilvl w:val="0"/>
          <w:numId w:val="24"/>
        </w:numPr>
        <w:spacing w:after="0" w:line="240" w:lineRule="auto"/>
      </w:pPr>
      <w:r>
        <w:t>Shared at businesses and community centers</w:t>
      </w:r>
    </w:p>
    <w:p w14:paraId="1BCAB6DC" w14:textId="15EA8C6E" w:rsidR="00DD43A7" w:rsidRDefault="00370CAF">
      <w:pPr>
        <w:numPr>
          <w:ilvl w:val="0"/>
          <w:numId w:val="24"/>
        </w:numPr>
        <w:spacing w:line="240" w:lineRule="auto"/>
      </w:pPr>
      <w:r>
        <w:t>Consider partnering with an academic institution or educational nonprofit organization to perform engagement through participatory research. Work with the researchers to have them popularize technical information about local climate impacts to make it more accessible to the broader community. For example, researchers could co-create fact sheets related to natural hazards or conduct parts of the vulnerability assessments, such as interviewing several local small businesses to assess post-disaster capacity. If funding is available, partnering with CBOs to do a supplemental analysis about vulnerability in lower-income communities and communities of color could be ideal.</w:t>
      </w:r>
    </w:p>
    <w:p w14:paraId="54C7D10C" w14:textId="77777777" w:rsidR="00634787" w:rsidRDefault="00634787" w:rsidP="00634787">
      <w:pPr>
        <w:spacing w:line="240" w:lineRule="auto"/>
        <w:ind w:left="720"/>
      </w:pPr>
    </w:p>
    <w:p w14:paraId="37E1E01C" w14:textId="77777777" w:rsidR="00634787" w:rsidRDefault="00634787" w:rsidP="00634787">
      <w:pPr>
        <w:spacing w:before="160" w:line="240" w:lineRule="auto"/>
      </w:pPr>
      <w:r>
        <w:t xml:space="preserve">Community engagement does not end when an event ends. Participants will want to understand how their input influenced the planning process. It is important to consider sharing summaries of engagement findings and explaining how their feedback was incorporated into decisions. Being consistent with this approach, communities are more likely to participate in future efforts. </w:t>
      </w:r>
    </w:p>
    <w:p w14:paraId="085F6B6D" w14:textId="77777777" w:rsidR="00DD43A7" w:rsidRDefault="00DD43A7" w:rsidP="00DB17A4">
      <w:pPr>
        <w:spacing w:before="160" w:line="240" w:lineRule="auto"/>
      </w:pPr>
    </w:p>
    <w:p w14:paraId="76478D63" w14:textId="3668C7F3" w:rsidR="00DD43A7" w:rsidRPr="00AE56B4" w:rsidDel="008C1888" w:rsidRDefault="007A42DA" w:rsidP="00DB17A4">
      <w:pPr>
        <w:pStyle w:val="Heading2"/>
        <w:spacing w:before="160" w:after="160" w:line="240" w:lineRule="auto"/>
        <w:rPr>
          <w:rStyle w:val="Heading2Char"/>
          <w:b/>
        </w:rPr>
      </w:pPr>
      <w:bookmarkStart w:id="223" w:name="_Ref230257016"/>
      <w:bookmarkStart w:id="224" w:name="_Toc235802737"/>
      <w:r>
        <w:rPr>
          <w:rStyle w:val="Heading2Char"/>
          <w:b/>
        </w:rPr>
        <w:t>Partner Interviews</w:t>
      </w:r>
      <w:bookmarkEnd w:id="223"/>
      <w:bookmarkEnd w:id="224"/>
    </w:p>
    <w:p w14:paraId="01CEA607" w14:textId="7F3C0434" w:rsidR="001D0FCE" w:rsidRPr="003A71C7" w:rsidRDefault="001D0FCE" w:rsidP="001D0FCE">
      <w:pPr>
        <w:spacing w:before="160" w:line="240" w:lineRule="auto"/>
        <w:rPr>
          <w:b/>
          <w:bCs/>
          <w:i/>
          <w:iCs/>
        </w:rPr>
      </w:pPr>
      <w:r>
        <w:rPr>
          <w:b/>
          <w:bCs/>
          <w:i/>
          <w:iCs/>
        </w:rPr>
        <w:t>APG Connection: Step 2.2D</w:t>
      </w:r>
    </w:p>
    <w:p w14:paraId="3BCE11C9" w14:textId="116AFD54" w:rsidR="00DD43A7" w:rsidRPr="00BB2496" w:rsidDel="008C1888" w:rsidRDefault="00DD43A7" w:rsidP="00DB17A4">
      <w:pPr>
        <w:spacing w:before="160" w:line="240" w:lineRule="auto"/>
      </w:pPr>
      <w:r>
        <w:t>This step focuses on partner interviews to validate assumptions, surface unaccounted impacts, and explore how climate risks may evolve over time.</w:t>
      </w:r>
    </w:p>
    <w:p w14:paraId="5289079D" w14:textId="6086A0C5" w:rsidR="00DD43A7" w:rsidRPr="00734451" w:rsidDel="008C1888" w:rsidRDefault="007A42DA" w:rsidP="00DB17A4">
      <w:pPr>
        <w:spacing w:before="160" w:line="240" w:lineRule="auto"/>
      </w:pPr>
      <w:r>
        <w:t>Partner interviews can be conducted individually or in small groups in one or multiple rounds, depending on staff capacity. Questions should be shared in writing in advance whenever possible, allowing participants time to reflect and prepare. Teams should also adapt and add questions as needed to reflect local conditions, specific hazards, or assets. Sample interview questions include:</w:t>
      </w:r>
    </w:p>
    <w:p w14:paraId="6DF5E3B4" w14:textId="207CF0D8" w:rsidR="00DD43A7" w:rsidRPr="00BB2496" w:rsidDel="008C1888" w:rsidRDefault="00DD43A7">
      <w:pPr>
        <w:pStyle w:val="ListParagraph"/>
        <w:numPr>
          <w:ilvl w:val="0"/>
          <w:numId w:val="25"/>
        </w:numPr>
        <w:spacing w:after="0" w:line="240" w:lineRule="auto"/>
        <w:ind w:left="720"/>
      </w:pPr>
      <w:r>
        <w:rPr>
          <w:b/>
          <w:bCs/>
        </w:rPr>
        <w:t>Infrastructure Climate Impacts</w:t>
      </w:r>
      <w:r>
        <w:br/>
        <w:t>These questions are designed to gather partner expertise on historical impacts and how those impacts may change under future climate conditions. They are for technical partners (local government or agency staff, utility staff).</w:t>
      </w:r>
    </w:p>
    <w:p w14:paraId="0D2D7026" w14:textId="70301C56" w:rsidR="00DD43A7" w:rsidRPr="00BB2496" w:rsidDel="008C1888" w:rsidRDefault="00DD43A7">
      <w:pPr>
        <w:pStyle w:val="ListParagraph"/>
        <w:numPr>
          <w:ilvl w:val="1"/>
          <w:numId w:val="16"/>
        </w:numPr>
        <w:spacing w:line="240" w:lineRule="auto"/>
        <w:ind w:left="1440"/>
      </w:pPr>
      <w:r>
        <w:t>What services have been impacted by the climate hazard? Are these services disrupted? How might impacts to services change given projected changes in climate?</w:t>
      </w:r>
    </w:p>
    <w:p w14:paraId="233409BE" w14:textId="67898E3F" w:rsidR="00DD43A7" w:rsidRPr="00BB2496" w:rsidDel="008C1888" w:rsidRDefault="00DD43A7">
      <w:pPr>
        <w:pStyle w:val="ListParagraph"/>
        <w:numPr>
          <w:ilvl w:val="1"/>
          <w:numId w:val="16"/>
        </w:numPr>
        <w:spacing w:line="240" w:lineRule="auto"/>
        <w:ind w:left="1440"/>
      </w:pPr>
      <w:r>
        <w:t>What facilities have been damaged, destroyed, or otherwise impacted by the climate hazard? How might climate impacts to facilities change given projected changes in climate?</w:t>
      </w:r>
    </w:p>
    <w:p w14:paraId="1E6690BF" w14:textId="712007A0" w:rsidR="00DD43A7" w:rsidRPr="00BB2496" w:rsidDel="008C1888" w:rsidRDefault="00DD43A7">
      <w:pPr>
        <w:pStyle w:val="ListParagraph"/>
        <w:numPr>
          <w:ilvl w:val="1"/>
          <w:numId w:val="16"/>
        </w:numPr>
        <w:spacing w:line="240" w:lineRule="auto"/>
        <w:ind w:left="1440"/>
      </w:pPr>
      <w:r>
        <w:t>Have populations been impacted physically or mentally by the climate hazards? How might climate impacts to populations change given projected changes in climate?</w:t>
      </w:r>
    </w:p>
    <w:p w14:paraId="5FCBB73E" w14:textId="062DA591" w:rsidR="00DD43A7" w:rsidRPr="00BB2496" w:rsidDel="008C1888" w:rsidRDefault="00DD43A7">
      <w:pPr>
        <w:pStyle w:val="ListParagraph"/>
        <w:numPr>
          <w:ilvl w:val="1"/>
          <w:numId w:val="16"/>
        </w:numPr>
        <w:spacing w:line="240" w:lineRule="auto"/>
        <w:ind w:left="1440"/>
      </w:pPr>
      <w:r>
        <w:t>Have there been additional downstream disruptions that result from the loss of critical services (e.g., electrical disruptions impacting hospital service)? How might impacts arising from interdependencies change given projected changes in climate?</w:t>
      </w:r>
    </w:p>
    <w:p w14:paraId="2541A6C8" w14:textId="156A05AA" w:rsidR="00DD43A7" w:rsidRPr="00BB2496" w:rsidDel="008C1888" w:rsidRDefault="00DD43A7">
      <w:pPr>
        <w:pStyle w:val="ListParagraph"/>
        <w:numPr>
          <w:ilvl w:val="1"/>
          <w:numId w:val="16"/>
        </w:numPr>
        <w:spacing w:line="240" w:lineRule="auto"/>
        <w:ind w:left="1440"/>
      </w:pPr>
      <w:r>
        <w:t>How have impacts varied across the community? Which populations have been most affected? Which populations might be most impacted in the future?</w:t>
      </w:r>
    </w:p>
    <w:p w14:paraId="62A817A7" w14:textId="79224D72" w:rsidR="00DD43A7" w:rsidRPr="00BB2496" w:rsidDel="008C1888" w:rsidRDefault="00DD43A7">
      <w:pPr>
        <w:pStyle w:val="ListParagraph"/>
        <w:numPr>
          <w:ilvl w:val="1"/>
          <w:numId w:val="16"/>
        </w:numPr>
        <w:spacing w:line="240" w:lineRule="auto"/>
        <w:ind w:left="1440"/>
      </w:pPr>
      <w:r>
        <w:t>Did the climate hazard create economic losses? How might economic losses change given projected changes in climate?</w:t>
      </w:r>
    </w:p>
    <w:p w14:paraId="65A04911" w14:textId="65BA4A37" w:rsidR="00DD43A7" w:rsidRPr="00BB2496" w:rsidDel="008C1888" w:rsidRDefault="00DD43A7">
      <w:pPr>
        <w:pStyle w:val="ListParagraph"/>
        <w:numPr>
          <w:ilvl w:val="1"/>
          <w:numId w:val="16"/>
        </w:numPr>
        <w:spacing w:line="240" w:lineRule="auto"/>
        <w:ind w:left="1440"/>
      </w:pPr>
      <w:r>
        <w:t>Have community ecological or cultural resources been impacted? How might impacts to these resources change given projected changes in climate?</w:t>
      </w:r>
    </w:p>
    <w:p w14:paraId="5120047D" w14:textId="3897FB40" w:rsidR="00DD43A7" w:rsidRPr="00BB2496" w:rsidDel="008C1888" w:rsidRDefault="00DD43A7">
      <w:pPr>
        <w:pStyle w:val="ListParagraph"/>
        <w:numPr>
          <w:ilvl w:val="0"/>
          <w:numId w:val="25"/>
        </w:numPr>
        <w:spacing w:after="0" w:line="240" w:lineRule="auto"/>
        <w:ind w:left="720"/>
      </w:pPr>
      <w:r>
        <w:rPr>
          <w:b/>
          <w:bCs/>
        </w:rPr>
        <w:t>Infrastructure Management Efforts</w:t>
      </w:r>
      <w:r>
        <w:br/>
        <w:t>These questions are designed to gather partner input on existing and planned efforts to manage climate impacts now and in the future, particularly high priority climate impacts. They are for technical partners (local government or agency staff, utility staff).</w:t>
      </w:r>
    </w:p>
    <w:p w14:paraId="54591E27" w14:textId="1DCF2DC8" w:rsidR="00DD43A7" w:rsidRPr="00BB2496" w:rsidDel="008C1888" w:rsidRDefault="00DD43A7">
      <w:pPr>
        <w:pStyle w:val="ListParagraph"/>
        <w:numPr>
          <w:ilvl w:val="1"/>
          <w:numId w:val="16"/>
        </w:numPr>
        <w:spacing w:line="240" w:lineRule="auto"/>
        <w:ind w:left="1440"/>
      </w:pPr>
      <w:r>
        <w:t>Are there existing programs and policies that help the community manage climate impacts?</w:t>
      </w:r>
    </w:p>
    <w:p w14:paraId="79E6A9D6" w14:textId="57D107EF" w:rsidR="00DD43A7" w:rsidRPr="00BB2496" w:rsidDel="008C1888" w:rsidRDefault="00DD43A7">
      <w:pPr>
        <w:pStyle w:val="ListParagraph"/>
        <w:numPr>
          <w:ilvl w:val="1"/>
          <w:numId w:val="16"/>
        </w:numPr>
        <w:spacing w:line="240" w:lineRule="auto"/>
        <w:ind w:left="1440"/>
      </w:pPr>
      <w:r>
        <w:t>How effective are they in managing present-day climate impacts?</w:t>
      </w:r>
    </w:p>
    <w:p w14:paraId="210E779F" w14:textId="4FC6B165" w:rsidR="00DD43A7" w:rsidRPr="00BB2496" w:rsidDel="008C1888" w:rsidRDefault="00DD43A7">
      <w:pPr>
        <w:pStyle w:val="ListParagraph"/>
        <w:numPr>
          <w:ilvl w:val="1"/>
          <w:numId w:val="16"/>
        </w:numPr>
        <w:spacing w:line="240" w:lineRule="auto"/>
        <w:ind w:left="1440"/>
      </w:pPr>
      <w:r>
        <w:t>Based on projected changes in climate, will they be effective in managing future climate impacts?</w:t>
      </w:r>
    </w:p>
    <w:p w14:paraId="430FD26C" w14:textId="1D78A8FD" w:rsidR="00DD43A7" w:rsidRPr="00BB2496" w:rsidDel="008C1888" w:rsidRDefault="00DD43A7">
      <w:pPr>
        <w:pStyle w:val="ListParagraph"/>
        <w:numPr>
          <w:ilvl w:val="1"/>
          <w:numId w:val="16"/>
        </w:numPr>
        <w:spacing w:line="240" w:lineRule="auto"/>
        <w:ind w:left="1440"/>
      </w:pPr>
      <w:r>
        <w:t>Are there planned programs and policies that will help the community manage climate impacts?</w:t>
      </w:r>
    </w:p>
    <w:p w14:paraId="510853E6" w14:textId="37DC265C" w:rsidR="00DD43A7" w:rsidRPr="00BB2496" w:rsidDel="008C1888" w:rsidRDefault="00DD43A7">
      <w:pPr>
        <w:pStyle w:val="ListParagraph"/>
        <w:numPr>
          <w:ilvl w:val="1"/>
          <w:numId w:val="16"/>
        </w:numPr>
        <w:spacing w:line="240" w:lineRule="auto"/>
        <w:ind w:left="1440"/>
      </w:pPr>
      <w:r>
        <w:t>How effective will they be in managing present-day climate impacts? Future climate impacts?</w:t>
      </w:r>
    </w:p>
    <w:p w14:paraId="47877027" w14:textId="3050D060" w:rsidR="00DD43A7" w:rsidRPr="00BB2496" w:rsidDel="008C1888" w:rsidRDefault="00DD43A7">
      <w:pPr>
        <w:pStyle w:val="ListParagraph"/>
        <w:numPr>
          <w:ilvl w:val="1"/>
          <w:numId w:val="16"/>
        </w:numPr>
        <w:spacing w:line="240" w:lineRule="auto"/>
        <w:ind w:left="1440"/>
      </w:pPr>
      <w:r>
        <w:t>What are the barriers to managing climate impacts in the community?</w:t>
      </w:r>
    </w:p>
    <w:p w14:paraId="31E65A97" w14:textId="13B87802" w:rsidR="00DD43A7" w:rsidRPr="00BB2496" w:rsidDel="008C1888" w:rsidRDefault="00DD43A7">
      <w:pPr>
        <w:pStyle w:val="ListParagraph"/>
        <w:numPr>
          <w:ilvl w:val="0"/>
          <w:numId w:val="25"/>
        </w:numPr>
        <w:spacing w:after="0" w:line="240" w:lineRule="auto"/>
        <w:ind w:left="720"/>
      </w:pPr>
      <w:r>
        <w:rPr>
          <w:b/>
          <w:bCs/>
        </w:rPr>
        <w:t>Community Climate Impacts</w:t>
      </w:r>
      <w:r>
        <w:br/>
        <w:t>These questions are designed to get direct community perspective on past and present climate impacts. They are for community partners.</w:t>
      </w:r>
    </w:p>
    <w:p w14:paraId="6D2E2533" w14:textId="01DD3E9A" w:rsidR="00DD43A7" w:rsidRPr="00BB2496" w:rsidDel="008C1888" w:rsidRDefault="00DD43A7">
      <w:pPr>
        <w:pStyle w:val="ListParagraph"/>
        <w:numPr>
          <w:ilvl w:val="1"/>
          <w:numId w:val="16"/>
        </w:numPr>
        <w:spacing w:line="240" w:lineRule="auto"/>
        <w:ind w:left="1440"/>
      </w:pPr>
      <w:r>
        <w:t>What type of weather events (heatwaves, floods, storms) have affected the community in the past few years? Are there specific stories or examples that come to mind?</w:t>
      </w:r>
    </w:p>
    <w:p w14:paraId="1E560745" w14:textId="5A125F14" w:rsidR="00DD43A7" w:rsidRPr="00BB2496" w:rsidDel="008C1888" w:rsidRDefault="00DD43A7">
      <w:pPr>
        <w:pStyle w:val="ListParagraph"/>
        <w:numPr>
          <w:ilvl w:val="1"/>
          <w:numId w:val="16"/>
        </w:numPr>
        <w:spacing w:line="240" w:lineRule="auto"/>
        <w:ind w:left="1440"/>
      </w:pPr>
      <w:r>
        <w:t>How have essential services (power, water, transport) been disrupted during these events?</w:t>
      </w:r>
    </w:p>
    <w:p w14:paraId="6561B1B7" w14:textId="56DCD180" w:rsidR="00DD43A7" w:rsidRPr="00BB2496" w:rsidDel="008C1888" w:rsidRDefault="00DD43A7">
      <w:pPr>
        <w:pStyle w:val="ListParagraph"/>
        <w:numPr>
          <w:ilvl w:val="1"/>
          <w:numId w:val="16"/>
        </w:numPr>
        <w:spacing w:line="240" w:lineRule="auto"/>
        <w:ind w:left="1440"/>
      </w:pPr>
      <w:r>
        <w:t>Which places (community centers, churches/temples, grocery stores, food banks, libraries, etc.) are important to the community? How have they been impacted?</w:t>
      </w:r>
    </w:p>
    <w:p w14:paraId="6FEB968A" w14:textId="27178006" w:rsidR="00DD43A7" w:rsidRPr="00BB2496" w:rsidDel="008C1888" w:rsidRDefault="00DD43A7">
      <w:pPr>
        <w:pStyle w:val="ListParagraph"/>
        <w:numPr>
          <w:ilvl w:val="1"/>
          <w:numId w:val="16"/>
        </w:numPr>
        <w:spacing w:line="240" w:lineRule="auto"/>
        <w:ind w:left="1440"/>
      </w:pPr>
      <w:r>
        <w:t>Have any groups (elderly, low-income, children, disabled) been disproportionately affected? How?</w:t>
      </w:r>
    </w:p>
    <w:p w14:paraId="3BFB1CE7" w14:textId="687AFF8B" w:rsidR="00DD43A7" w:rsidRPr="00BB2496" w:rsidDel="008C1888" w:rsidRDefault="00DD43A7">
      <w:pPr>
        <w:pStyle w:val="ListParagraph"/>
        <w:numPr>
          <w:ilvl w:val="1"/>
          <w:numId w:val="16"/>
        </w:numPr>
        <w:spacing w:line="240" w:lineRule="auto"/>
        <w:ind w:left="1440"/>
      </w:pPr>
      <w:r>
        <w:t>What climate impacts are most worrying regarding the future of the neighborhood?</w:t>
      </w:r>
    </w:p>
    <w:p w14:paraId="2B908BA2" w14:textId="51AA5D9F" w:rsidR="00DD43A7" w:rsidRPr="00BB2496" w:rsidDel="008C1888" w:rsidRDefault="00DD43A7">
      <w:pPr>
        <w:pStyle w:val="ListParagraph"/>
        <w:numPr>
          <w:ilvl w:val="0"/>
          <w:numId w:val="25"/>
        </w:numPr>
        <w:spacing w:after="0" w:line="240" w:lineRule="auto"/>
        <w:ind w:left="720"/>
      </w:pPr>
      <w:r>
        <w:rPr>
          <w:b/>
          <w:bCs/>
        </w:rPr>
        <w:t>Community Management Efforts</w:t>
      </w:r>
      <w:r>
        <w:br/>
        <w:t>These questions are designed to gather community perspective on efforts to manage climate impacts. They are for community partners.</w:t>
      </w:r>
    </w:p>
    <w:p w14:paraId="634984CA" w14:textId="18EA29A3" w:rsidR="00DD43A7" w:rsidRPr="00BB2496" w:rsidDel="008C1888" w:rsidRDefault="00DD43A7">
      <w:pPr>
        <w:pStyle w:val="ListParagraph"/>
        <w:numPr>
          <w:ilvl w:val="1"/>
          <w:numId w:val="16"/>
        </w:numPr>
        <w:spacing w:line="240" w:lineRule="auto"/>
        <w:ind w:left="1440"/>
      </w:pPr>
      <w:r>
        <w:t>How are weather alerts or warnings sent out? Are these alerts easy to understand and act upon? What are the best ways to reach people in the community with urgent information (text, call, social media)?</w:t>
      </w:r>
    </w:p>
    <w:p w14:paraId="16782967" w14:textId="4A332F7D" w:rsidR="00DD43A7" w:rsidRPr="00BB2496" w:rsidDel="008C1888" w:rsidRDefault="00DD43A7">
      <w:pPr>
        <w:pStyle w:val="ListParagraph"/>
        <w:numPr>
          <w:ilvl w:val="1"/>
          <w:numId w:val="16"/>
        </w:numPr>
        <w:spacing w:line="240" w:lineRule="auto"/>
        <w:ind w:left="1440"/>
      </w:pPr>
      <w:r>
        <w:t>What solutions have worked (or not worked) in the past?</w:t>
      </w:r>
    </w:p>
    <w:p w14:paraId="1AD91D1A" w14:textId="7B3B14F3" w:rsidR="00DD43A7" w:rsidRDefault="00DD43A7">
      <w:pPr>
        <w:pStyle w:val="ListParagraph"/>
        <w:numPr>
          <w:ilvl w:val="1"/>
          <w:numId w:val="16"/>
        </w:numPr>
        <w:spacing w:line="240" w:lineRule="auto"/>
        <w:ind w:left="1440"/>
      </w:pPr>
      <w:r>
        <w:t>What is one thing that can be done to help the community prepare for future climate challenges?</w:t>
      </w:r>
    </w:p>
    <w:p w14:paraId="7E9A2AD3" w14:textId="77777777" w:rsidR="006D2B34" w:rsidRPr="00BB2496" w:rsidDel="008C1888" w:rsidRDefault="006D2B34" w:rsidP="006D2B34">
      <w:pPr>
        <w:spacing w:before="160" w:line="240" w:lineRule="auto"/>
      </w:pPr>
    </w:p>
    <w:p w14:paraId="5E77BC50" w14:textId="78C6CB5A" w:rsidR="00DD43A7" w:rsidRPr="004E75A7" w:rsidRDefault="00DD43A7" w:rsidP="004E75A7">
      <w:pPr>
        <w:pStyle w:val="Heading2"/>
        <w:rPr>
          <w:rStyle w:val="Heading1Char"/>
          <w:b/>
          <w:noProof w:val="0"/>
          <w:sz w:val="36"/>
          <w:szCs w:val="26"/>
        </w:rPr>
      </w:pPr>
      <w:bookmarkStart w:id="225" w:name="_Toc235802738"/>
      <w:r>
        <w:rPr>
          <w:rStyle w:val="Heading1Char"/>
          <w:b/>
          <w:noProof w:val="0"/>
          <w:sz w:val="36"/>
          <w:szCs w:val="26"/>
        </w:rPr>
        <w:t>Vulnerability and Resilience Building</w:t>
      </w:r>
      <w:bookmarkEnd w:id="225"/>
    </w:p>
    <w:p w14:paraId="091E61BC" w14:textId="77F79636" w:rsidR="005F59D1" w:rsidRPr="003A71C7" w:rsidRDefault="001D0FCE" w:rsidP="006D2B34">
      <w:pPr>
        <w:spacing w:before="160" w:line="240" w:lineRule="auto"/>
        <w:rPr>
          <w:b/>
          <w:bCs/>
          <w:i/>
          <w:iCs/>
        </w:rPr>
      </w:pPr>
      <w:r>
        <w:rPr>
          <w:b/>
          <w:bCs/>
          <w:i/>
          <w:iCs/>
        </w:rPr>
        <w:t>APG Connection: Step 2.3C</w:t>
      </w:r>
    </w:p>
    <w:p w14:paraId="3985844A" w14:textId="7D56E1B9" w:rsidR="00DD43A7" w:rsidRPr="004B5DD1" w:rsidRDefault="00DD43A7" w:rsidP="006D2B34">
      <w:pPr>
        <w:spacing w:before="160" w:line="240" w:lineRule="auto"/>
        <w:rPr>
          <w:rFonts w:eastAsia="Century Gothic"/>
          <w:b/>
          <w:bCs/>
          <w:color w:val="0F4761" w:themeColor="accent1" w:themeShade="BF"/>
        </w:rPr>
      </w:pPr>
      <w:r>
        <w:t>Here engagement and outreach efforts focus on gathering feedback and insights to integrate into the assessment of climate vulnerability and adaptive capacity assessment developed in Phase 2. The goal of these engagements is to identify local knowledge of climate impacts, neighborhood strengths and assets, as well as community-defined priorities, concerns, and ideas for adaptation.</w:t>
      </w:r>
    </w:p>
    <w:p w14:paraId="381F8640" w14:textId="7222ACAD" w:rsidR="00DD43A7" w:rsidRDefault="00A5255D" w:rsidP="006D2B34">
      <w:pPr>
        <w:spacing w:before="160" w:line="240" w:lineRule="auto"/>
      </w:pPr>
      <w:r>
        <w:t xml:space="preserve">Decide what kinds of activities the attendees will participate in during engagements to get their feedback. This Appendix provides a few options pulled from the Pacific Institute’s 2013 </w:t>
      </w:r>
      <w:hyperlink r:id="rId329" w:history="1">
        <w:r>
          <w:rPr>
            <w:rStyle w:val="Hyperlink"/>
          </w:rPr>
          <w:t>Climate Change Survivor Workbook with Games</w:t>
        </w:r>
      </w:hyperlink>
      <w:r>
        <w:t>:</w:t>
      </w:r>
    </w:p>
    <w:p w14:paraId="2C6E235D" w14:textId="2728AEC8" w:rsidR="00DD43A7" w:rsidRDefault="00DD43A7" w:rsidP="005D6F67">
      <w:pPr>
        <w:spacing w:before="160" w:after="0" w:line="240" w:lineRule="auto"/>
        <w:rPr>
          <w:b/>
          <w:bCs/>
        </w:rPr>
      </w:pPr>
      <w:r>
        <w:rPr>
          <w:b/>
          <w:bCs/>
        </w:rPr>
        <w:t>Climate Jeopardy</w:t>
      </w:r>
    </w:p>
    <w:p w14:paraId="184F5FA9" w14:textId="41F00909" w:rsidR="00DD43A7" w:rsidRDefault="3920389D">
      <w:pPr>
        <w:pStyle w:val="ListParagraph"/>
        <w:numPr>
          <w:ilvl w:val="0"/>
          <w:numId w:val="25"/>
        </w:numPr>
        <w:spacing w:line="240" w:lineRule="auto"/>
        <w:ind w:left="720"/>
      </w:pPr>
      <w:r>
        <w:t>Purpose: To introduce the concepts of climate vulnerability and resilience</w:t>
      </w:r>
      <w:r w:rsidR="6EADED15">
        <w:t>.</w:t>
      </w:r>
    </w:p>
    <w:p w14:paraId="381584B3" w14:textId="24DF4780" w:rsidR="00DD43A7" w:rsidRDefault="00DD43A7">
      <w:pPr>
        <w:pStyle w:val="ListParagraph"/>
        <w:numPr>
          <w:ilvl w:val="0"/>
          <w:numId w:val="25"/>
        </w:numPr>
        <w:spacing w:line="240" w:lineRule="auto"/>
        <w:ind w:left="720"/>
      </w:pPr>
      <w:r>
        <w:t>Group activity (6+)</w:t>
      </w:r>
    </w:p>
    <w:p w14:paraId="2C90AA9C" w14:textId="0A5E2422" w:rsidR="00DD43A7" w:rsidRDefault="00DD43A7">
      <w:pPr>
        <w:pStyle w:val="ListParagraph"/>
        <w:numPr>
          <w:ilvl w:val="0"/>
          <w:numId w:val="25"/>
        </w:numPr>
        <w:spacing w:line="240" w:lineRule="auto"/>
        <w:ind w:left="720"/>
      </w:pPr>
      <w:r>
        <w:t>15+ minutes</w:t>
      </w:r>
    </w:p>
    <w:p w14:paraId="44EDE582" w14:textId="7D5346AA" w:rsidR="00DD43A7" w:rsidRDefault="3920389D">
      <w:pPr>
        <w:pStyle w:val="ListParagraph"/>
        <w:numPr>
          <w:ilvl w:val="0"/>
          <w:numId w:val="25"/>
        </w:numPr>
        <w:spacing w:line="240" w:lineRule="auto"/>
        <w:ind w:left="720"/>
      </w:pPr>
      <w:r>
        <w:t>This game allows  a group of participants to become more familiar with concepts foundational to the assessment to set the stage for more in-depth discussion. To start the activity, review definitions of vulnerability and resilience, then bring out a bowl with strips of paper that have different characteristics that either contribute to vulnerability or resilience. Participants can discuss and add the characteristic to a large poster board.</w:t>
      </w:r>
    </w:p>
    <w:p w14:paraId="758A86F6" w14:textId="4A4DE131" w:rsidR="00DD43A7" w:rsidRDefault="3920389D">
      <w:pPr>
        <w:pStyle w:val="ListParagraph"/>
        <w:numPr>
          <w:ilvl w:val="0"/>
          <w:numId w:val="25"/>
        </w:numPr>
        <w:spacing w:line="240" w:lineRule="auto"/>
        <w:ind w:left="720"/>
      </w:pPr>
      <w:r>
        <w:t xml:space="preserve">More details on hosting climate jeopardy are available in the </w:t>
      </w:r>
      <w:hyperlink r:id="rId330">
        <w:r w:rsidRPr="36C845DF">
          <w:rPr>
            <w:rStyle w:val="Hyperlink"/>
          </w:rPr>
          <w:t>Climate Survivor Workbook</w:t>
        </w:r>
      </w:hyperlink>
      <w:r>
        <w:t xml:space="preserve"> (pg. 16)</w:t>
      </w:r>
      <w:r w:rsidR="2EA879D8">
        <w:t>.</w:t>
      </w:r>
    </w:p>
    <w:p w14:paraId="5E688A4B" w14:textId="77736B10" w:rsidR="00DD43A7" w:rsidRDefault="00DD43A7" w:rsidP="000F7CD6">
      <w:pPr>
        <w:spacing w:before="160" w:after="0" w:line="240" w:lineRule="auto"/>
        <w:rPr>
          <w:b/>
          <w:bCs/>
        </w:rPr>
      </w:pPr>
      <w:r>
        <w:rPr>
          <w:b/>
          <w:bCs/>
        </w:rPr>
        <w:t>Participatory Mapping</w:t>
      </w:r>
    </w:p>
    <w:p w14:paraId="6B8E540F" w14:textId="34D34F17" w:rsidR="00DD43A7" w:rsidRDefault="3920389D">
      <w:pPr>
        <w:pStyle w:val="ListParagraph"/>
        <w:numPr>
          <w:ilvl w:val="0"/>
          <w:numId w:val="25"/>
        </w:numPr>
        <w:spacing w:line="240" w:lineRule="auto"/>
        <w:ind w:left="720"/>
      </w:pPr>
      <w:r>
        <w:t>Purpose: To gain insight into the community’s specific experiences with climate change</w:t>
      </w:r>
      <w:r w:rsidR="24BEC47C">
        <w:t>.</w:t>
      </w:r>
    </w:p>
    <w:p w14:paraId="4E3BA41B" w14:textId="5D404B7B" w:rsidR="00DD43A7" w:rsidRDefault="00DD43A7">
      <w:pPr>
        <w:pStyle w:val="ListParagraph"/>
        <w:numPr>
          <w:ilvl w:val="0"/>
          <w:numId w:val="25"/>
        </w:numPr>
        <w:spacing w:line="240" w:lineRule="auto"/>
        <w:ind w:left="720"/>
      </w:pPr>
      <w:r>
        <w:t>Group activity 4+ (best for 4-8 per map)</w:t>
      </w:r>
    </w:p>
    <w:p w14:paraId="611385EF" w14:textId="43710B22" w:rsidR="00DD43A7" w:rsidRDefault="00DD43A7">
      <w:pPr>
        <w:pStyle w:val="ListParagraph"/>
        <w:numPr>
          <w:ilvl w:val="0"/>
          <w:numId w:val="25"/>
        </w:numPr>
        <w:spacing w:line="240" w:lineRule="auto"/>
        <w:ind w:left="720"/>
      </w:pPr>
      <w:r>
        <w:t>1+ hour</w:t>
      </w:r>
    </w:p>
    <w:p w14:paraId="450611C4" w14:textId="4D872077" w:rsidR="00DD43A7" w:rsidRDefault="00DD43A7">
      <w:pPr>
        <w:pStyle w:val="ListParagraph"/>
        <w:numPr>
          <w:ilvl w:val="0"/>
          <w:numId w:val="25"/>
        </w:numPr>
        <w:spacing w:line="240" w:lineRule="auto"/>
        <w:ind w:left="720"/>
      </w:pPr>
      <w:r>
        <w:t>Participatory mapping is one of the best activities for a small group setting to get a sense of the location and nature of climate impacts people are experiencing and the major assets in the area that are helpful for the community to cope with those impacts or may be potentially at risk. Participatory mapping involves community members collectively marking on a large map where they have experienced climate impacts from flooding, extreme heat, wildfire, sea level rise, drought, etc. as well as identifying specific vulnerable populations, critical services or places, and local resources that are important during emergencies. This activity allows people to share their lived experience and local knowledge to reveal insights about community vulnerability to climate change beyond what can be understood from the data.</w:t>
      </w:r>
    </w:p>
    <w:p w14:paraId="14E47448" w14:textId="724BC344" w:rsidR="00DD43A7" w:rsidRDefault="00DD43A7">
      <w:pPr>
        <w:pStyle w:val="ListParagraph"/>
        <w:numPr>
          <w:ilvl w:val="0"/>
          <w:numId w:val="25"/>
        </w:numPr>
        <w:spacing w:line="240" w:lineRule="auto"/>
        <w:ind w:left="720"/>
      </w:pPr>
      <w:r>
        <w:t>Participatory mapping can be done in-person using a large poster board with a printed map and stickers or sticky notes for attendees to identify issues. It can also be done online using a GIS platform.</w:t>
      </w:r>
    </w:p>
    <w:p w14:paraId="1B4DAD19" w14:textId="4FA5536C" w:rsidR="00DD43A7" w:rsidRDefault="3920389D">
      <w:pPr>
        <w:pStyle w:val="ListParagraph"/>
        <w:numPr>
          <w:ilvl w:val="0"/>
          <w:numId w:val="25"/>
        </w:numPr>
        <w:spacing w:line="240" w:lineRule="auto"/>
        <w:ind w:left="720"/>
      </w:pPr>
      <w:r>
        <w:t xml:space="preserve">More information on setting up participatory asset mapping is in the Advancement Project’s Healthy City </w:t>
      </w:r>
      <w:hyperlink r:id="rId331">
        <w:r w:rsidRPr="36C845DF">
          <w:rPr>
            <w:rStyle w:val="Hyperlink"/>
          </w:rPr>
          <w:t>Participatory Asset Mapping</w:t>
        </w:r>
      </w:hyperlink>
      <w:r>
        <w:t xml:space="preserve"> or in the </w:t>
      </w:r>
      <w:hyperlink r:id="rId332">
        <w:r w:rsidRPr="36C845DF">
          <w:rPr>
            <w:rStyle w:val="Hyperlink"/>
          </w:rPr>
          <w:t>Climate Survivor Workbook</w:t>
        </w:r>
      </w:hyperlink>
      <w:r>
        <w:t xml:space="preserve"> (pg. 23)</w:t>
      </w:r>
      <w:r w:rsidR="097A4187">
        <w:t>.</w:t>
      </w:r>
    </w:p>
    <w:p w14:paraId="40105857" w14:textId="75EB88DE" w:rsidR="00DD43A7" w:rsidRDefault="00DD43A7" w:rsidP="005D6F67">
      <w:pPr>
        <w:spacing w:before="160" w:after="0" w:line="240" w:lineRule="auto"/>
        <w:rPr>
          <w:b/>
          <w:bCs/>
        </w:rPr>
      </w:pPr>
      <w:r>
        <w:rPr>
          <w:b/>
          <w:bCs/>
        </w:rPr>
        <w:t>Community Impacts Timeline</w:t>
      </w:r>
    </w:p>
    <w:p w14:paraId="4E19E2C9" w14:textId="6F9A881A" w:rsidR="00DD43A7" w:rsidRDefault="3920389D">
      <w:pPr>
        <w:pStyle w:val="ListParagraph"/>
        <w:numPr>
          <w:ilvl w:val="0"/>
          <w:numId w:val="25"/>
        </w:numPr>
        <w:spacing w:line="240" w:lineRule="auto"/>
        <w:ind w:left="720"/>
      </w:pPr>
      <w:r>
        <w:t>Purpose: To get people thinking about climate impacts as something that are real and have had a recent impact on their community</w:t>
      </w:r>
      <w:r w:rsidR="7A66DF91">
        <w:t>.</w:t>
      </w:r>
    </w:p>
    <w:p w14:paraId="521E2969" w14:textId="3647F0A4" w:rsidR="00DD43A7" w:rsidRDefault="00DD43A7">
      <w:pPr>
        <w:pStyle w:val="ListParagraph"/>
        <w:numPr>
          <w:ilvl w:val="0"/>
          <w:numId w:val="25"/>
        </w:numPr>
        <w:spacing w:line="240" w:lineRule="auto"/>
        <w:ind w:left="720"/>
      </w:pPr>
      <w:r>
        <w:t>Group activity (6+)</w:t>
      </w:r>
    </w:p>
    <w:p w14:paraId="6A278CAA" w14:textId="3393D1AB" w:rsidR="00DD43A7" w:rsidRDefault="00DD43A7">
      <w:pPr>
        <w:pStyle w:val="ListParagraph"/>
        <w:numPr>
          <w:ilvl w:val="0"/>
          <w:numId w:val="25"/>
        </w:numPr>
        <w:spacing w:line="240" w:lineRule="auto"/>
        <w:ind w:left="720"/>
      </w:pPr>
      <w:r>
        <w:t>30+ minutes</w:t>
      </w:r>
    </w:p>
    <w:p w14:paraId="0A4C48B4" w14:textId="1EC4A69C" w:rsidR="00DD43A7" w:rsidRDefault="00DD43A7">
      <w:pPr>
        <w:pStyle w:val="ListParagraph"/>
        <w:numPr>
          <w:ilvl w:val="0"/>
          <w:numId w:val="25"/>
        </w:numPr>
        <w:spacing w:line="240" w:lineRule="auto"/>
        <w:ind w:left="720"/>
      </w:pPr>
      <w:r>
        <w:t>Use the information gathered in the historical events section of the assessment to create a timeline of past climate impacts in the community. This can also be supplemented with any insights from partner interviews.</w:t>
      </w:r>
    </w:p>
    <w:p w14:paraId="2B8DC6EE" w14:textId="74FAF05C" w:rsidR="00DD43A7" w:rsidRDefault="00DD43A7">
      <w:pPr>
        <w:pStyle w:val="ListParagraph"/>
        <w:numPr>
          <w:ilvl w:val="0"/>
          <w:numId w:val="25"/>
        </w:numPr>
        <w:spacing w:line="240" w:lineRule="auto"/>
        <w:ind w:left="720"/>
      </w:pPr>
      <w:r>
        <w:t>The timeline should be large with lots of images, try using a big posterboard or print out images and text to arrange on a wall. Review the events that are on the timeline with participants and ask if anyone has any memories of these events and how they responded to the disaster. Jot down people’s responses. Add in other events that people remember occurring in the community or nearby.</w:t>
      </w:r>
    </w:p>
    <w:p w14:paraId="7915725F" w14:textId="7BC962E3" w:rsidR="00DD43A7" w:rsidRDefault="00DD43A7">
      <w:pPr>
        <w:pStyle w:val="ListParagraph"/>
        <w:numPr>
          <w:ilvl w:val="0"/>
          <w:numId w:val="25"/>
        </w:numPr>
        <w:spacing w:line="240" w:lineRule="auto"/>
        <w:ind w:left="720"/>
      </w:pPr>
      <w:r>
        <w:t>At the end, participants can also be invited to think of possible future events and use this as a springboard to discuss what was found in the climate projections data for the area. This can then segue into a discussion of how to improve resiliency in the community to deal with these impacts before they arrive.</w:t>
      </w:r>
    </w:p>
    <w:p w14:paraId="46D1A584" w14:textId="46B6C9B5" w:rsidR="00DD43A7" w:rsidRDefault="3920389D">
      <w:pPr>
        <w:pStyle w:val="ListParagraph"/>
        <w:numPr>
          <w:ilvl w:val="0"/>
          <w:numId w:val="25"/>
        </w:numPr>
        <w:spacing w:line="240" w:lineRule="auto"/>
        <w:ind w:left="720"/>
      </w:pPr>
      <w:r>
        <w:t xml:space="preserve">More details on creating a community impact timeline are available in the </w:t>
      </w:r>
      <w:hyperlink r:id="rId333">
        <w:r w:rsidRPr="36C845DF">
          <w:rPr>
            <w:rStyle w:val="Hyperlink"/>
          </w:rPr>
          <w:t>Climate Survivor Workbook</w:t>
        </w:r>
      </w:hyperlink>
      <w:r>
        <w:t xml:space="preserve"> (pg. 12)</w:t>
      </w:r>
      <w:r w:rsidR="6068B177">
        <w:t>.</w:t>
      </w:r>
    </w:p>
    <w:p w14:paraId="73C78E4B" w14:textId="519B298A" w:rsidR="00DD43A7" w:rsidRDefault="00DD43A7" w:rsidP="005D6F67">
      <w:pPr>
        <w:spacing w:before="160" w:after="0" w:line="240" w:lineRule="auto"/>
        <w:rPr>
          <w:b/>
          <w:bCs/>
        </w:rPr>
      </w:pPr>
      <w:r>
        <w:rPr>
          <w:b/>
          <w:bCs/>
        </w:rPr>
        <w:t>Climate Bean Bag Toss</w:t>
      </w:r>
    </w:p>
    <w:p w14:paraId="42AF914F" w14:textId="7DA38256" w:rsidR="009547E2" w:rsidRDefault="757CADA8">
      <w:pPr>
        <w:pStyle w:val="ListParagraph"/>
        <w:numPr>
          <w:ilvl w:val="0"/>
          <w:numId w:val="25"/>
        </w:numPr>
        <w:spacing w:line="240" w:lineRule="auto"/>
        <w:ind w:left="720"/>
      </w:pPr>
      <w:r>
        <w:t>Purpose: This activity can help kickstart quick, one-on-one discussions with people about the climate impacts that they might face</w:t>
      </w:r>
      <w:r w:rsidR="55B00E8F">
        <w:t>.</w:t>
      </w:r>
    </w:p>
    <w:p w14:paraId="49AACF2D" w14:textId="72850C85" w:rsidR="00DD43A7" w:rsidRDefault="00DD43A7">
      <w:pPr>
        <w:pStyle w:val="ListParagraph"/>
        <w:numPr>
          <w:ilvl w:val="0"/>
          <w:numId w:val="25"/>
        </w:numPr>
        <w:spacing w:line="240" w:lineRule="auto"/>
        <w:ind w:left="720"/>
      </w:pPr>
      <w:r>
        <w:t>Individual activity</w:t>
      </w:r>
    </w:p>
    <w:p w14:paraId="38DADBF9" w14:textId="3D91D814" w:rsidR="00DD43A7" w:rsidRDefault="00DD43A7">
      <w:pPr>
        <w:pStyle w:val="ListParagraph"/>
        <w:numPr>
          <w:ilvl w:val="0"/>
          <w:numId w:val="25"/>
        </w:numPr>
        <w:spacing w:line="240" w:lineRule="auto"/>
        <w:ind w:left="720"/>
      </w:pPr>
      <w:r>
        <w:t>5+ minutes</w:t>
      </w:r>
    </w:p>
    <w:p w14:paraId="080D2D13" w14:textId="3EA9B773" w:rsidR="00DD43A7" w:rsidRDefault="3920389D">
      <w:pPr>
        <w:pStyle w:val="ListParagraph"/>
        <w:numPr>
          <w:ilvl w:val="0"/>
          <w:numId w:val="25"/>
        </w:numPr>
        <w:spacing w:line="240" w:lineRule="auto"/>
        <w:ind w:left="720"/>
      </w:pPr>
      <w:r>
        <w:t>It is easy to set up and great to set up on the sidelines of a bigger event or as a focal point of a booth</w:t>
      </w:r>
      <w:r w:rsidR="55292C47">
        <w:t>.</w:t>
      </w:r>
    </w:p>
    <w:p w14:paraId="7C86E0F4" w14:textId="4009387C" w:rsidR="00DD43A7" w:rsidRDefault="00DD43A7">
      <w:pPr>
        <w:pStyle w:val="ListParagraph"/>
        <w:numPr>
          <w:ilvl w:val="0"/>
          <w:numId w:val="25"/>
        </w:numPr>
        <w:spacing w:line="240" w:lineRule="auto"/>
        <w:ind w:left="720"/>
      </w:pPr>
      <w:r>
        <w:t>Start by creating a board out of cardboard, scrap wood, or poster paper on a hard surface, and mark it with at least five different colored squares to represent each of the different climate change impacts and climate related disasters. The player tosses their bean bag onto square and then a discussion starts with them about how they might be affected by that climate impact. For example, if their bean bag lands on flood, someone could ask them about where they live and look at whether that is in an area that is flood vulnerable on the VCP’s Vulnerability Map.</w:t>
      </w:r>
    </w:p>
    <w:p w14:paraId="5D70F38A" w14:textId="53FB5C3F" w:rsidR="00DD43A7" w:rsidRDefault="3920389D">
      <w:pPr>
        <w:pStyle w:val="ListParagraph"/>
        <w:numPr>
          <w:ilvl w:val="0"/>
          <w:numId w:val="25"/>
        </w:numPr>
        <w:spacing w:line="240" w:lineRule="auto"/>
        <w:ind w:left="720"/>
      </w:pPr>
      <w:r>
        <w:t xml:space="preserve">More details on creating a community impact timeline are available in the </w:t>
      </w:r>
      <w:hyperlink r:id="rId334">
        <w:r w:rsidRPr="36C845DF">
          <w:rPr>
            <w:rStyle w:val="Hyperlink"/>
          </w:rPr>
          <w:t>Climate Survivor Workbook</w:t>
        </w:r>
      </w:hyperlink>
      <w:r>
        <w:t xml:space="preserve"> (pg. 21)</w:t>
      </w:r>
      <w:r w:rsidR="4CD71388">
        <w:t>.</w:t>
      </w:r>
    </w:p>
    <w:p w14:paraId="513BDB8F" w14:textId="3EB08A5C" w:rsidR="00DD43A7" w:rsidRDefault="00DD43A7" w:rsidP="005D6F67">
      <w:pPr>
        <w:spacing w:after="0" w:line="240" w:lineRule="auto"/>
        <w:rPr>
          <w:b/>
          <w:bCs/>
        </w:rPr>
      </w:pPr>
      <w:r>
        <w:rPr>
          <w:b/>
          <w:bCs/>
        </w:rPr>
        <w:t>Step into the Circle</w:t>
      </w:r>
    </w:p>
    <w:p w14:paraId="72ADD894" w14:textId="4E559065" w:rsidR="009547E2" w:rsidRDefault="757CADA8">
      <w:pPr>
        <w:pStyle w:val="ListParagraph"/>
        <w:numPr>
          <w:ilvl w:val="0"/>
          <w:numId w:val="25"/>
        </w:numPr>
        <w:spacing w:line="240" w:lineRule="auto"/>
        <w:ind w:left="720"/>
      </w:pPr>
      <w:r>
        <w:t>Purpose: To get a quick scan of the participants’ climate vulnerabilities and get them thinking as a group of what needs to be addressed to build resilience</w:t>
      </w:r>
      <w:r w:rsidR="2E133A89">
        <w:t>.</w:t>
      </w:r>
    </w:p>
    <w:p w14:paraId="0062E268" w14:textId="25E5FB4D" w:rsidR="00DD43A7" w:rsidRDefault="00DD43A7">
      <w:pPr>
        <w:pStyle w:val="ListParagraph"/>
        <w:numPr>
          <w:ilvl w:val="0"/>
          <w:numId w:val="25"/>
        </w:numPr>
        <w:spacing w:line="240" w:lineRule="auto"/>
        <w:ind w:left="720"/>
      </w:pPr>
      <w:r>
        <w:t>Group Activity (8+)</w:t>
      </w:r>
    </w:p>
    <w:p w14:paraId="6C946102" w14:textId="6E95FB7A" w:rsidR="00DD43A7" w:rsidRDefault="00DD43A7">
      <w:pPr>
        <w:pStyle w:val="ListParagraph"/>
        <w:numPr>
          <w:ilvl w:val="0"/>
          <w:numId w:val="25"/>
        </w:numPr>
        <w:spacing w:line="240" w:lineRule="auto"/>
        <w:ind w:left="720"/>
      </w:pPr>
      <w:r>
        <w:t>45+ minutes</w:t>
      </w:r>
    </w:p>
    <w:p w14:paraId="0F9BDB5D" w14:textId="7567492C" w:rsidR="00DD43A7" w:rsidRDefault="00DD43A7">
      <w:pPr>
        <w:pStyle w:val="ListParagraph"/>
        <w:numPr>
          <w:ilvl w:val="0"/>
          <w:numId w:val="25"/>
        </w:numPr>
        <w:spacing w:line="240" w:lineRule="auto"/>
        <w:ind w:left="720"/>
      </w:pPr>
      <w:r>
        <w:t>In this activity, participants stand in a circle and take a step forward when the facilitator reads off a statement related to climate vulnerability that applies to them (ex. Step into the circle if they use an inhaler, Step into the circle if they work or play outside, Step into the circle if they have an emergency preparedness kit at home). How many people stepped forward for each statement is recorded and at the end, participants discuss which characteristics were most common for those in the room and what climate change impacts those might be applicable to. Participants then discuss what could be done to make themselves safer from the most problematic climate impacts given the vulnerabilities that people have.</w:t>
      </w:r>
    </w:p>
    <w:p w14:paraId="693B3CF9" w14:textId="6AACB669" w:rsidR="006D2B34" w:rsidRDefault="3920389D">
      <w:pPr>
        <w:pStyle w:val="ListParagraph"/>
        <w:numPr>
          <w:ilvl w:val="0"/>
          <w:numId w:val="25"/>
        </w:numPr>
        <w:spacing w:line="240" w:lineRule="auto"/>
        <w:ind w:left="720"/>
      </w:pPr>
      <w:r>
        <w:t xml:space="preserve">More details on creating a community impact timeline are available in the </w:t>
      </w:r>
      <w:hyperlink r:id="rId335">
        <w:r w:rsidRPr="36C845DF">
          <w:rPr>
            <w:rStyle w:val="Hyperlink"/>
          </w:rPr>
          <w:t>Climate Survivor Workbook</w:t>
        </w:r>
      </w:hyperlink>
      <w:r>
        <w:t xml:space="preserve"> (pg. 28)</w:t>
      </w:r>
      <w:r w:rsidR="415AB5D5">
        <w:t>.</w:t>
      </w:r>
    </w:p>
    <w:p w14:paraId="57F77739" w14:textId="77777777" w:rsidR="003E465A" w:rsidRDefault="003E465A" w:rsidP="00055817">
      <w:pPr>
        <w:spacing w:before="160" w:line="240" w:lineRule="auto"/>
      </w:pPr>
    </w:p>
    <w:p w14:paraId="0626EC7B" w14:textId="77777777" w:rsidR="003E465A" w:rsidRPr="00AE62E0" w:rsidRDefault="003E465A" w:rsidP="003E465A">
      <w:r>
        <w:t xml:space="preserve">For additional engagement tools, games, and virtual engagement resources, see </w:t>
      </w:r>
    </w:p>
    <w:p w14:paraId="1E4AE5F4" w14:textId="42C803E8" w:rsidR="003E465A" w:rsidRPr="00AE62E0" w:rsidRDefault="003E465A">
      <w:pPr>
        <w:pStyle w:val="ListParagraph"/>
        <w:numPr>
          <w:ilvl w:val="0"/>
          <w:numId w:val="67"/>
        </w:numPr>
        <w:spacing w:line="278" w:lineRule="auto"/>
      </w:pPr>
      <w:hyperlink r:id="rId336" w:history="1">
        <w:r>
          <w:rPr>
            <w:rStyle w:val="Hyperlink"/>
          </w:rPr>
          <w:t xml:space="preserve">Virtual Engagement Tools and Best Practices - </w:t>
        </w:r>
        <w:proofErr w:type="spellStart"/>
        <w:r>
          <w:rPr>
            <w:rStyle w:val="Hyperlink"/>
          </w:rPr>
          <w:t>CivicWell</w:t>
        </w:r>
        <w:proofErr w:type="spellEnd"/>
      </w:hyperlink>
    </w:p>
    <w:p w14:paraId="3A648F1E" w14:textId="61E84562" w:rsidR="003E465A" w:rsidRPr="00AE62E0" w:rsidRDefault="003E465A">
      <w:pPr>
        <w:pStyle w:val="ListParagraph"/>
        <w:numPr>
          <w:ilvl w:val="0"/>
          <w:numId w:val="67"/>
        </w:numPr>
        <w:spacing w:line="278" w:lineRule="auto"/>
      </w:pPr>
      <w:proofErr w:type="spellStart"/>
      <w:r>
        <w:t>Listos</w:t>
      </w:r>
      <w:proofErr w:type="spellEnd"/>
      <w:r>
        <w:t xml:space="preserve"> California also offers </w:t>
      </w:r>
      <w:hyperlink r:id="rId337" w:history="1">
        <w:r>
          <w:rPr>
            <w:rStyle w:val="Hyperlink"/>
          </w:rPr>
          <w:t>preparedness games</w:t>
        </w:r>
      </w:hyperlink>
      <w:r>
        <w:t xml:space="preserve">, including </w:t>
      </w:r>
      <w:r>
        <w:rPr>
          <w:b/>
          <w:bCs/>
        </w:rPr>
        <w:t>Road to Safety</w:t>
      </w:r>
      <w:r>
        <w:t xml:space="preserve"> and </w:t>
      </w:r>
      <w:r>
        <w:rPr>
          <w:b/>
          <w:bCs/>
        </w:rPr>
        <w:t>Route to Resilience</w:t>
      </w:r>
      <w:r>
        <w:t>, which can support community engagement and discussions around emergency preparedness and resilience.</w:t>
      </w:r>
    </w:p>
    <w:p w14:paraId="1FBBA21B" w14:textId="77777777" w:rsidR="00055817" w:rsidRDefault="00055817" w:rsidP="006D2B34">
      <w:pPr>
        <w:spacing w:before="160" w:line="240" w:lineRule="auto"/>
      </w:pPr>
    </w:p>
    <w:p w14:paraId="0A8F91E9" w14:textId="6063AFAB" w:rsidR="00DD43A7" w:rsidRDefault="00DB791D" w:rsidP="004E75A7">
      <w:pPr>
        <w:pStyle w:val="Heading2"/>
        <w:rPr>
          <w:spacing w:val="-2"/>
        </w:rPr>
      </w:pPr>
      <w:bookmarkStart w:id="226" w:name="_Toc227071998"/>
      <w:bookmarkStart w:id="227" w:name="_Toc235802739"/>
      <w:r>
        <w:t>Outreach</w:t>
      </w:r>
      <w:r>
        <w:rPr>
          <w:spacing w:val="-13"/>
        </w:rPr>
        <w:t xml:space="preserve"> </w:t>
      </w:r>
      <w:r>
        <w:t>to</w:t>
      </w:r>
      <w:r>
        <w:rPr>
          <w:spacing w:val="-10"/>
        </w:rPr>
        <w:t xml:space="preserve"> </w:t>
      </w:r>
      <w:r>
        <w:t>Develop</w:t>
      </w:r>
      <w:r>
        <w:rPr>
          <w:spacing w:val="-11"/>
        </w:rPr>
        <w:t xml:space="preserve"> </w:t>
      </w:r>
      <w:r>
        <w:t>Adaptation</w:t>
      </w:r>
      <w:r>
        <w:rPr>
          <w:spacing w:val="-10"/>
        </w:rPr>
        <w:t xml:space="preserve"> </w:t>
      </w:r>
      <w:r>
        <w:rPr>
          <w:spacing w:val="-2"/>
        </w:rPr>
        <w:t>Strategies</w:t>
      </w:r>
      <w:bookmarkEnd w:id="226"/>
      <w:bookmarkEnd w:id="227"/>
    </w:p>
    <w:p w14:paraId="40DD45A7" w14:textId="0879DA18" w:rsidR="00DD43A7" w:rsidRPr="00CF21BB" w:rsidRDefault="00D740C8" w:rsidP="006D2B34">
      <w:pPr>
        <w:spacing w:before="160" w:line="240" w:lineRule="auto"/>
        <w:rPr>
          <w:i/>
          <w:iCs/>
        </w:rPr>
      </w:pPr>
      <w:r>
        <w:rPr>
          <w:b/>
          <w:bCs/>
          <w:i/>
          <w:iCs/>
        </w:rPr>
        <w:t>APG Connection: Steps 3.3D</w:t>
      </w:r>
    </w:p>
    <w:p w14:paraId="15BAB213" w14:textId="60AF681E" w:rsidR="00DD43A7" w:rsidRPr="009D6CEB" w:rsidRDefault="00DD43A7" w:rsidP="006D2B34">
      <w:pPr>
        <w:spacing w:before="160" w:line="240" w:lineRule="auto"/>
        <w:rPr>
          <w:color w:val="032724"/>
        </w:rPr>
      </w:pPr>
      <w:r>
        <w:t>The Local Government Commission developed a</w:t>
      </w:r>
      <w:r>
        <w:rPr>
          <w:i/>
          <w:iCs/>
        </w:rPr>
        <w:t xml:space="preserve"> </w:t>
      </w:r>
      <w:hyperlink r:id="rId338" w:history="1">
        <w:r>
          <w:rPr>
            <w:rStyle w:val="Hyperlink"/>
          </w:rPr>
          <w:t>Participation Tools For Better Community Planning Guidebook</w:t>
        </w:r>
      </w:hyperlink>
      <w:r>
        <w:rPr>
          <w:i/>
          <w:iCs/>
        </w:rPr>
        <w:t xml:space="preserve"> </w:t>
      </w:r>
      <w:r>
        <w:t>in 2013. This guidebook</w:t>
      </w:r>
      <w:r>
        <w:rPr>
          <w:i/>
          <w:iCs/>
        </w:rPr>
        <w:t xml:space="preserve"> </w:t>
      </w:r>
      <w:r>
        <w:rPr>
          <w:color w:val="032724"/>
        </w:rPr>
        <w:t>provides an overview of public participation tools that can help communities plan for health-promoting land use and transportation, with a focus on lower-income, underserved communities, along with an examination of the value of resident involvement and the key principles for successful community planning. These tools are currently being used successfully in diverse communities throughout California and across the nation. The tools explored in the guidebook can be applied to a range of settings, such as community planning workshops and advisory committees. Tools discussed include:</w:t>
      </w:r>
    </w:p>
    <w:p w14:paraId="364E30AF" w14:textId="33F52B88" w:rsidR="00DD43A7" w:rsidRPr="009D6CEB" w:rsidRDefault="00DD43A7">
      <w:pPr>
        <w:pStyle w:val="ListParagraph"/>
        <w:numPr>
          <w:ilvl w:val="0"/>
          <w:numId w:val="44"/>
        </w:numPr>
        <w:spacing w:after="0" w:line="240" w:lineRule="auto"/>
        <w:rPr>
          <w:color w:val="032724"/>
        </w:rPr>
      </w:pPr>
      <w:r>
        <w:rPr>
          <w:color w:val="032724"/>
        </w:rPr>
        <w:t>Community Design Charrettes</w:t>
      </w:r>
    </w:p>
    <w:p w14:paraId="70AE82BC" w14:textId="43C4301B" w:rsidR="00DD43A7" w:rsidRPr="009D6CEB" w:rsidRDefault="00DD43A7">
      <w:pPr>
        <w:pStyle w:val="ListParagraph"/>
        <w:numPr>
          <w:ilvl w:val="0"/>
          <w:numId w:val="44"/>
        </w:numPr>
        <w:spacing w:after="0" w:line="240" w:lineRule="auto"/>
        <w:rPr>
          <w:color w:val="032724"/>
        </w:rPr>
      </w:pPr>
      <w:r>
        <w:rPr>
          <w:color w:val="032724"/>
        </w:rPr>
        <w:t>Participatory Budgeting</w:t>
      </w:r>
    </w:p>
    <w:p w14:paraId="71DA6C57" w14:textId="4DFFFBA4" w:rsidR="00DD43A7" w:rsidRPr="009D6CEB" w:rsidRDefault="00DD43A7">
      <w:pPr>
        <w:pStyle w:val="ListParagraph"/>
        <w:numPr>
          <w:ilvl w:val="0"/>
          <w:numId w:val="44"/>
        </w:numPr>
        <w:spacing w:after="0" w:line="240" w:lineRule="auto"/>
        <w:rPr>
          <w:color w:val="032724"/>
        </w:rPr>
      </w:pPr>
      <w:r>
        <w:rPr>
          <w:color w:val="032724"/>
        </w:rPr>
        <w:t>Scenario Planning</w:t>
      </w:r>
    </w:p>
    <w:p w14:paraId="637B4428" w14:textId="67457C60" w:rsidR="00DD43A7" w:rsidRPr="009D6CEB" w:rsidRDefault="00DD43A7">
      <w:pPr>
        <w:pStyle w:val="ListParagraph"/>
        <w:numPr>
          <w:ilvl w:val="0"/>
          <w:numId w:val="44"/>
        </w:numPr>
        <w:spacing w:after="0" w:line="240" w:lineRule="auto"/>
        <w:rPr>
          <w:color w:val="032724"/>
        </w:rPr>
      </w:pPr>
      <w:r>
        <w:rPr>
          <w:color w:val="032724"/>
        </w:rPr>
        <w:t>Low-Cost Demonstrations and Transformations</w:t>
      </w:r>
    </w:p>
    <w:p w14:paraId="0AF2AACB" w14:textId="69483586" w:rsidR="00DD43A7" w:rsidRPr="009D6CEB" w:rsidRDefault="00DD43A7">
      <w:pPr>
        <w:pStyle w:val="ListParagraph"/>
        <w:numPr>
          <w:ilvl w:val="0"/>
          <w:numId w:val="44"/>
        </w:numPr>
        <w:spacing w:after="0" w:line="240" w:lineRule="auto"/>
        <w:rPr>
          <w:color w:val="032724"/>
        </w:rPr>
      </w:pPr>
      <w:r>
        <w:rPr>
          <w:color w:val="032724"/>
        </w:rPr>
        <w:t>Virtual Participation</w:t>
      </w:r>
    </w:p>
    <w:p w14:paraId="1A8EF5AE" w14:textId="04DF8FA7" w:rsidR="00DD43A7" w:rsidRPr="009D6CEB" w:rsidRDefault="00DD43A7">
      <w:pPr>
        <w:pStyle w:val="ListParagraph"/>
        <w:numPr>
          <w:ilvl w:val="0"/>
          <w:numId w:val="44"/>
        </w:numPr>
        <w:spacing w:after="0" w:line="240" w:lineRule="auto"/>
        <w:rPr>
          <w:color w:val="032724"/>
        </w:rPr>
      </w:pPr>
      <w:r>
        <w:rPr>
          <w:color w:val="032724"/>
        </w:rPr>
        <w:t>Health Impacts Assessments</w:t>
      </w:r>
    </w:p>
    <w:p w14:paraId="7973D612" w14:textId="248E1E52" w:rsidR="00DD43A7" w:rsidRPr="009D6CEB" w:rsidRDefault="00DD43A7">
      <w:pPr>
        <w:pStyle w:val="ListParagraph"/>
        <w:numPr>
          <w:ilvl w:val="0"/>
          <w:numId w:val="44"/>
        </w:numPr>
        <w:spacing w:after="0" w:line="240" w:lineRule="auto"/>
        <w:rPr>
          <w:color w:val="032724"/>
        </w:rPr>
      </w:pPr>
      <w:r>
        <w:rPr>
          <w:color w:val="032724"/>
        </w:rPr>
        <w:t>Participatory Mapping</w:t>
      </w:r>
    </w:p>
    <w:p w14:paraId="6BE863C7" w14:textId="2BBC2AA2" w:rsidR="00DD43A7" w:rsidRPr="009D6CEB" w:rsidRDefault="00DD43A7">
      <w:pPr>
        <w:pStyle w:val="ListParagraph"/>
        <w:numPr>
          <w:ilvl w:val="0"/>
          <w:numId w:val="44"/>
        </w:numPr>
        <w:spacing w:after="0" w:line="240" w:lineRule="auto"/>
        <w:rPr>
          <w:color w:val="032724"/>
        </w:rPr>
      </w:pPr>
      <w:r>
        <w:rPr>
          <w:color w:val="032724"/>
        </w:rPr>
        <w:t>Walkability Assessments</w:t>
      </w:r>
    </w:p>
    <w:p w14:paraId="4D48B138" w14:textId="10A7830C" w:rsidR="00DD43A7" w:rsidRPr="009D6CEB" w:rsidRDefault="00DD43A7">
      <w:pPr>
        <w:pStyle w:val="ListParagraph"/>
        <w:numPr>
          <w:ilvl w:val="0"/>
          <w:numId w:val="44"/>
        </w:numPr>
        <w:spacing w:after="0" w:line="240" w:lineRule="auto"/>
        <w:rPr>
          <w:color w:val="032724"/>
        </w:rPr>
      </w:pPr>
      <w:r>
        <w:rPr>
          <w:color w:val="032724"/>
        </w:rPr>
        <w:t>Focus Groups</w:t>
      </w:r>
    </w:p>
    <w:p w14:paraId="78C388C8" w14:textId="64D88844" w:rsidR="00DD43A7" w:rsidRPr="009D6CEB" w:rsidRDefault="00DD43A7">
      <w:pPr>
        <w:pStyle w:val="ListParagraph"/>
        <w:numPr>
          <w:ilvl w:val="0"/>
          <w:numId w:val="44"/>
        </w:numPr>
        <w:spacing w:after="0" w:line="240" w:lineRule="auto"/>
        <w:rPr>
          <w:color w:val="032724"/>
        </w:rPr>
      </w:pPr>
      <w:r>
        <w:rPr>
          <w:color w:val="032724"/>
        </w:rPr>
        <w:t>Interactive Models and Tactile Tools</w:t>
      </w:r>
    </w:p>
    <w:p w14:paraId="00635FE4" w14:textId="64AE3EE5" w:rsidR="00DD43A7" w:rsidRPr="009D6CEB" w:rsidRDefault="00DD43A7">
      <w:pPr>
        <w:pStyle w:val="ListParagraph"/>
        <w:numPr>
          <w:ilvl w:val="0"/>
          <w:numId w:val="44"/>
        </w:numPr>
        <w:spacing w:after="0" w:line="240" w:lineRule="auto"/>
        <w:rPr>
          <w:color w:val="032724"/>
        </w:rPr>
      </w:pPr>
      <w:r>
        <w:rPr>
          <w:color w:val="032724"/>
        </w:rPr>
        <w:t>Photo Visioning</w:t>
      </w:r>
    </w:p>
    <w:p w14:paraId="7F624B6C" w14:textId="02BFA70C" w:rsidR="00DD43A7" w:rsidRPr="009D6CEB" w:rsidRDefault="00DD43A7">
      <w:pPr>
        <w:pStyle w:val="ListParagraph"/>
        <w:numPr>
          <w:ilvl w:val="0"/>
          <w:numId w:val="44"/>
        </w:numPr>
        <w:spacing w:after="0" w:line="240" w:lineRule="auto"/>
        <w:rPr>
          <w:color w:val="032724"/>
        </w:rPr>
      </w:pPr>
      <w:r>
        <w:rPr>
          <w:color w:val="032724"/>
        </w:rPr>
        <w:t>Visual Preference Survey</w:t>
      </w:r>
    </w:p>
    <w:p w14:paraId="78F464C5" w14:textId="5BC5ED14" w:rsidR="00DD43A7" w:rsidRPr="009D6CEB" w:rsidRDefault="00DD43A7">
      <w:pPr>
        <w:pStyle w:val="ListParagraph"/>
        <w:numPr>
          <w:ilvl w:val="0"/>
          <w:numId w:val="44"/>
        </w:numPr>
        <w:spacing w:after="0" w:line="240" w:lineRule="auto"/>
        <w:rPr>
          <w:color w:val="032724"/>
        </w:rPr>
      </w:pPr>
      <w:r>
        <w:rPr>
          <w:color w:val="032724"/>
        </w:rPr>
        <w:t>Techniques for Effective Meetings and Popular Events</w:t>
      </w:r>
    </w:p>
    <w:p w14:paraId="52CACF6E" w14:textId="500BF211" w:rsidR="00DD43A7" w:rsidRPr="009D6CEB" w:rsidRDefault="00DD43A7">
      <w:pPr>
        <w:pStyle w:val="ListParagraph"/>
        <w:numPr>
          <w:ilvl w:val="0"/>
          <w:numId w:val="44"/>
        </w:numPr>
        <w:spacing w:after="0" w:line="240" w:lineRule="auto"/>
        <w:rPr>
          <w:color w:val="032724"/>
        </w:rPr>
      </w:pPr>
      <w:r>
        <w:rPr>
          <w:color w:val="032724"/>
        </w:rPr>
        <w:t>High-Visibility Outreach</w:t>
      </w:r>
    </w:p>
    <w:p w14:paraId="7AE8C481" w14:textId="77777777" w:rsidR="00DD43A7" w:rsidRDefault="00DD43A7" w:rsidP="006D2B34">
      <w:pPr>
        <w:pStyle w:val="BodyText"/>
        <w:spacing w:before="160" w:line="240" w:lineRule="auto"/>
      </w:pPr>
    </w:p>
    <w:p w14:paraId="509C3FC1" w14:textId="77777777" w:rsidR="00DD43A7" w:rsidRPr="006747A6" w:rsidRDefault="00DD43A7" w:rsidP="006D2B34">
      <w:pPr>
        <w:spacing w:before="160" w:line="240" w:lineRule="auto"/>
      </w:pPr>
    </w:p>
    <w:p w14:paraId="04725485" w14:textId="77777777" w:rsidR="00DD43A7" w:rsidRDefault="00DD43A7" w:rsidP="006D2B34">
      <w:pPr>
        <w:spacing w:before="160" w:line="240" w:lineRule="auto"/>
        <w:sectPr w:rsidR="00DD43A7" w:rsidSect="00CE0D66">
          <w:pgSz w:w="12240" w:h="15840"/>
          <w:pgMar w:top="1440" w:right="1440" w:bottom="1440" w:left="1440" w:header="720" w:footer="720" w:gutter="0"/>
          <w:cols w:space="720"/>
          <w:docGrid w:linePitch="360"/>
        </w:sectPr>
      </w:pPr>
    </w:p>
    <w:p w14:paraId="0F7F25C4" w14:textId="7043089D" w:rsidR="00DA60A7" w:rsidRPr="001374B9" w:rsidRDefault="740CF78A" w:rsidP="002F370C">
      <w:pPr>
        <w:pStyle w:val="Heading1"/>
      </w:pPr>
      <w:bookmarkStart w:id="228" w:name="_Toc235802740"/>
      <w:r>
        <w:t>APPENDIX B: CLIMATE DATA TOOLS</w:t>
      </w:r>
      <w:bookmarkEnd w:id="228"/>
    </w:p>
    <w:p w14:paraId="1BD88C60" w14:textId="29A78AB8" w:rsidR="00DA60A7" w:rsidRDefault="00DA60A7" w:rsidP="006D2B34">
      <w:pPr>
        <w:spacing w:before="160" w:line="240" w:lineRule="auto"/>
      </w:pPr>
    </w:p>
    <w:tbl>
      <w:tblPr>
        <w:tblStyle w:val="TableGrid"/>
        <w:tblW w:w="9450" w:type="dxa"/>
        <w:tblLook w:val="04A0" w:firstRow="1" w:lastRow="0" w:firstColumn="1" w:lastColumn="0" w:noHBand="0" w:noVBand="1"/>
      </w:tblPr>
      <w:tblGrid>
        <w:gridCol w:w="9450"/>
      </w:tblGrid>
      <w:tr w:rsidR="006F2C44" w:rsidRPr="00157F24" w14:paraId="0FA6E3D7" w14:textId="77777777" w:rsidTr="005D6F67">
        <w:trPr>
          <w:trHeight w:val="576"/>
        </w:trPr>
        <w:tc>
          <w:tcPr>
            <w:tcW w:w="9450" w:type="dxa"/>
            <w:tcBorders>
              <w:top w:val="nil"/>
              <w:left w:val="nil"/>
              <w:bottom w:val="nil"/>
              <w:right w:val="nil"/>
            </w:tcBorders>
            <w:shd w:val="clear" w:color="auto" w:fill="404040" w:themeFill="text1" w:themeFillTint="BF"/>
            <w:vAlign w:val="center"/>
          </w:tcPr>
          <w:p w14:paraId="4F94845E" w14:textId="77777777" w:rsidR="006F2C44" w:rsidRPr="00157F24" w:rsidRDefault="006F2C44" w:rsidP="00A02A73">
            <w:pPr>
              <w:rPr>
                <w:b/>
                <w:bCs/>
                <w:color w:val="FFFFFF" w:themeColor="background1"/>
              </w:rPr>
            </w:pPr>
            <w:r>
              <w:rPr>
                <w:b/>
                <w:bCs/>
                <w:color w:val="FFFFFF" w:themeColor="background1"/>
              </w:rPr>
              <w:t>How to Use This Appendix</w:t>
            </w:r>
          </w:p>
        </w:tc>
      </w:tr>
      <w:tr w:rsidR="006F2C44" w14:paraId="046583BE" w14:textId="77777777" w:rsidTr="005D6F67">
        <w:tc>
          <w:tcPr>
            <w:tcW w:w="9450" w:type="dxa"/>
            <w:tcBorders>
              <w:top w:val="nil"/>
              <w:left w:val="nil"/>
              <w:bottom w:val="nil"/>
              <w:right w:val="nil"/>
            </w:tcBorders>
            <w:shd w:val="clear" w:color="auto" w:fill="F2F2F2" w:themeFill="background1" w:themeFillShade="F2"/>
          </w:tcPr>
          <w:p w14:paraId="107F72D8" w14:textId="071E93FA" w:rsidR="006F2C44" w:rsidRDefault="006F2C44" w:rsidP="006F2C44">
            <w:pPr>
              <w:spacing w:before="120" w:after="120"/>
            </w:pPr>
            <w:r>
              <w:t xml:space="preserve">This Appendix provides instructions for using the data and mapping tools to complete the steps in Phase 2: Assess Vulnerability. </w:t>
            </w:r>
          </w:p>
        </w:tc>
      </w:tr>
    </w:tbl>
    <w:p w14:paraId="221BF63D" w14:textId="644BB2D3" w:rsidR="006F2C44" w:rsidRDefault="00B91D7C" w:rsidP="006D2B34">
      <w:pPr>
        <w:spacing w:before="160" w:line="240" w:lineRule="auto"/>
      </w:pPr>
      <w:r>
        <w:rPr>
          <w:u w:val="single"/>
        </w:rPr>
        <w:t>For additional and more detailed resources, please look to the Governor’s Office of Land Use and Climate Innovation’s Climate Ready Training. </w:t>
      </w:r>
      <w:r>
        <w:t> </w:t>
      </w:r>
    </w:p>
    <w:p w14:paraId="25C25628" w14:textId="433CC14E" w:rsidR="00DA60A7" w:rsidRPr="00C85D16" w:rsidRDefault="00DA60A7" w:rsidP="006D2B34">
      <w:pPr>
        <w:pStyle w:val="Heading2"/>
        <w:spacing w:before="160" w:after="160" w:line="240" w:lineRule="auto"/>
      </w:pPr>
      <w:bookmarkStart w:id="229" w:name="_Ref230256864"/>
      <w:bookmarkStart w:id="230" w:name="_Toc235802741"/>
      <w:r>
        <w:t>Vulnerable Communities Platform (VCP)</w:t>
      </w:r>
      <w:bookmarkEnd w:id="229"/>
      <w:bookmarkEnd w:id="230"/>
    </w:p>
    <w:p w14:paraId="2B7007C3" w14:textId="5AE9D7A3" w:rsidR="00DA60A7" w:rsidRPr="005D2BDD" w:rsidRDefault="00D740C8" w:rsidP="006D2B34">
      <w:pPr>
        <w:spacing w:before="160" w:line="240" w:lineRule="auto"/>
        <w:rPr>
          <w:i/>
          <w:iCs/>
        </w:rPr>
      </w:pPr>
      <w:r>
        <w:rPr>
          <w:b/>
          <w:bCs/>
          <w:i/>
          <w:iCs/>
        </w:rPr>
        <w:t>APG Connection:</w:t>
      </w:r>
      <w:r>
        <w:rPr>
          <w:b/>
          <w:i/>
        </w:rPr>
        <w:t xml:space="preserve"> 2.1C, 2.1D, and 2.2A</w:t>
      </w:r>
    </w:p>
    <w:p w14:paraId="03E68568" w14:textId="27916C41" w:rsidR="00DA60A7" w:rsidRDefault="00DA60A7" w:rsidP="006D2B34">
      <w:pPr>
        <w:spacing w:before="160" w:line="240" w:lineRule="auto"/>
      </w:pPr>
      <w:r>
        <w:t>The Vulnerable Communities Platform is California’s first tool to identify where climate hazards will be most severe and which communities are the most vulnerable to those hazards. It is the recommended starting point for the vulnerability assessment in Phase 2. The platform combines climate hazard data with social vulnerability indicators to identify where climate vulnerable communities are located.</w:t>
      </w:r>
    </w:p>
    <w:p w14:paraId="3D9897C9" w14:textId="10F4D836" w:rsidR="00DA60A7" w:rsidRPr="008044A0" w:rsidRDefault="00AF20E4" w:rsidP="00BB5ACB">
      <w:pPr>
        <w:spacing w:after="0" w:line="240" w:lineRule="auto"/>
        <w:rPr>
          <w:b/>
          <w:bCs/>
        </w:rPr>
      </w:pPr>
      <w:r>
        <w:rPr>
          <w:b/>
          <w:bCs/>
          <w:noProof/>
        </w:rPr>
        <w:t xml:space="preserve">Table </w:t>
      </w:r>
      <w:r>
        <w:rPr>
          <w:b/>
          <w:bCs/>
          <w:noProof/>
        </w:rPr>
        <w:fldChar w:fldCharType="begin"/>
      </w:r>
      <w:r>
        <w:rPr>
          <w:b/>
          <w:bCs/>
          <w:noProof/>
        </w:rPr>
        <w:instrText xml:space="preserve"> SEQ Table \* ARABIC </w:instrText>
      </w:r>
      <w:r>
        <w:rPr>
          <w:b/>
          <w:bCs/>
          <w:noProof/>
        </w:rPr>
        <w:fldChar w:fldCharType="separate"/>
      </w:r>
      <w:r w:rsidR="00517691">
        <w:rPr>
          <w:b/>
          <w:bCs/>
          <w:noProof/>
        </w:rPr>
        <w:t>23</w:t>
      </w:r>
      <w:r>
        <w:rPr>
          <w:b/>
          <w:bCs/>
          <w:noProof/>
        </w:rPr>
        <w:fldChar w:fldCharType="end"/>
      </w:r>
      <w:r>
        <w:rPr>
          <w:b/>
          <w:bCs/>
        </w:rPr>
        <w:t>. Description of VCP features</w:t>
      </w:r>
    </w:p>
    <w:tbl>
      <w:tblPr>
        <w:tblStyle w:val="TableGrid"/>
        <w:tblW w:w="9000" w:type="dxa"/>
        <w:tblLook w:val="04A0" w:firstRow="1" w:lastRow="0" w:firstColumn="1" w:lastColumn="0" w:noHBand="0" w:noVBand="1"/>
      </w:tblPr>
      <w:tblGrid>
        <w:gridCol w:w="2600"/>
        <w:gridCol w:w="6400"/>
      </w:tblGrid>
      <w:tr w:rsidR="00DA60A7" w:rsidRPr="00E233B1" w14:paraId="123B7833" w14:textId="77777777" w:rsidTr="00915655">
        <w:tc>
          <w:tcPr>
            <w:tcW w:w="2600" w:type="dxa"/>
            <w:shd w:val="clear" w:color="auto" w:fill="000000" w:themeFill="text1"/>
          </w:tcPr>
          <w:p w14:paraId="2203CBEB" w14:textId="50BDE776" w:rsidR="00DA60A7" w:rsidRPr="00E233B1" w:rsidRDefault="00DA60A7" w:rsidP="00BB5ACB">
            <w:pPr>
              <w:jc w:val="center"/>
            </w:pPr>
            <w:r>
              <w:rPr>
                <w:b/>
                <w:bCs/>
              </w:rPr>
              <w:t>VCP Features</w:t>
            </w:r>
          </w:p>
        </w:tc>
        <w:tc>
          <w:tcPr>
            <w:tcW w:w="6400" w:type="dxa"/>
            <w:shd w:val="clear" w:color="auto" w:fill="000000" w:themeFill="text1"/>
          </w:tcPr>
          <w:p w14:paraId="06B2BE4E" w14:textId="6F956F06" w:rsidR="00DA60A7" w:rsidRPr="00E233B1" w:rsidRDefault="00DA60A7" w:rsidP="00BB5ACB">
            <w:pPr>
              <w:jc w:val="center"/>
              <w:rPr>
                <w:b/>
                <w:bCs/>
              </w:rPr>
            </w:pPr>
            <w:r>
              <w:rPr>
                <w:b/>
                <w:bCs/>
              </w:rPr>
              <w:t>What It Shows</w:t>
            </w:r>
          </w:p>
        </w:tc>
      </w:tr>
      <w:tr w:rsidR="00DA60A7" w:rsidRPr="00E233B1" w14:paraId="0BACF399" w14:textId="77777777">
        <w:tc>
          <w:tcPr>
            <w:tcW w:w="2600" w:type="dxa"/>
          </w:tcPr>
          <w:p w14:paraId="0E7F0968" w14:textId="77777777" w:rsidR="00DA60A7" w:rsidRPr="00E233B1" w:rsidRDefault="00DA60A7" w:rsidP="00BB5ACB">
            <w:r>
              <w:rPr>
                <w:b/>
                <w:bCs/>
                <w:color w:val="000000"/>
              </w:rPr>
              <w:t>Climate Vulnerability Map</w:t>
            </w:r>
          </w:p>
        </w:tc>
        <w:tc>
          <w:tcPr>
            <w:tcW w:w="6400" w:type="dxa"/>
          </w:tcPr>
          <w:p w14:paraId="3A989C32" w14:textId="3D3E20F8" w:rsidR="00DA60A7" w:rsidRPr="00E233B1" w:rsidRDefault="00A167DF" w:rsidP="00BB5ACB">
            <w:r>
              <w:rPr>
                <w:color w:val="000000" w:themeColor="text1"/>
              </w:rPr>
              <w:t>Vulnerability scores (Low / Medium / High) for extreme heat, flood, sea level rise, and drought — combining climate hazard exposure with social vulnerability</w:t>
            </w:r>
          </w:p>
        </w:tc>
      </w:tr>
      <w:tr w:rsidR="00DA60A7" w:rsidRPr="00E233B1" w14:paraId="42397B37" w14:textId="77777777" w:rsidTr="00915655">
        <w:tc>
          <w:tcPr>
            <w:tcW w:w="2600" w:type="dxa"/>
            <w:shd w:val="clear" w:color="auto" w:fill="D9D9D9" w:themeFill="background1" w:themeFillShade="D9"/>
          </w:tcPr>
          <w:p w14:paraId="0509E85D" w14:textId="5DE8297E" w:rsidR="00DA60A7" w:rsidRPr="00E233B1" w:rsidRDefault="00DA60A7" w:rsidP="00BB5ACB">
            <w:r>
              <w:rPr>
                <w:b/>
                <w:bCs/>
                <w:color w:val="000000" w:themeColor="text1"/>
              </w:rPr>
              <w:t>Social Vulnerability Indicators</w:t>
            </w:r>
          </w:p>
        </w:tc>
        <w:tc>
          <w:tcPr>
            <w:tcW w:w="6400" w:type="dxa"/>
            <w:shd w:val="clear" w:color="auto" w:fill="D9D9D9" w:themeFill="background1" w:themeFillShade="D9"/>
          </w:tcPr>
          <w:p w14:paraId="6823D89A" w14:textId="77777777" w:rsidR="00DA60A7" w:rsidRPr="00E233B1" w:rsidRDefault="00DA60A7" w:rsidP="00BB5ACB">
            <w:r>
              <w:rPr>
                <w:color w:val="000000"/>
              </w:rPr>
              <w:t>Individual data layers for each social vulnerability factor (income, disability, limited English, housing type, outdoor workers, etc.) by hazard type</w:t>
            </w:r>
          </w:p>
        </w:tc>
      </w:tr>
      <w:tr w:rsidR="00DA60A7" w:rsidRPr="00E233B1" w14:paraId="78BDDA84" w14:textId="77777777">
        <w:tc>
          <w:tcPr>
            <w:tcW w:w="2600" w:type="dxa"/>
          </w:tcPr>
          <w:p w14:paraId="3238BCB5" w14:textId="77777777" w:rsidR="00DA60A7" w:rsidRPr="00E233B1" w:rsidRDefault="00DA60A7" w:rsidP="00BB5ACB">
            <w:r>
              <w:rPr>
                <w:b/>
                <w:bCs/>
                <w:color w:val="000000"/>
              </w:rPr>
              <w:t>Infrastructure Map</w:t>
            </w:r>
          </w:p>
        </w:tc>
        <w:tc>
          <w:tcPr>
            <w:tcW w:w="6400" w:type="dxa"/>
          </w:tcPr>
          <w:p w14:paraId="45AC296B" w14:textId="77777777" w:rsidR="00DA60A7" w:rsidRPr="00E233B1" w:rsidRDefault="00DA60A7" w:rsidP="00BB5ACB">
            <w:r>
              <w:rPr>
                <w:color w:val="000000"/>
              </w:rPr>
              <w:t>Critical facilities (schools, hospitals, roads, utilities) overlaid with climate hazard layers</w:t>
            </w:r>
          </w:p>
        </w:tc>
      </w:tr>
      <w:tr w:rsidR="00DA60A7" w:rsidRPr="00E233B1" w14:paraId="54BFD4EB" w14:textId="77777777" w:rsidTr="00915655">
        <w:tc>
          <w:tcPr>
            <w:tcW w:w="2600" w:type="dxa"/>
            <w:shd w:val="clear" w:color="auto" w:fill="D9D9D9" w:themeFill="background1" w:themeFillShade="D9"/>
          </w:tcPr>
          <w:p w14:paraId="2674E255" w14:textId="44012658" w:rsidR="00DA60A7" w:rsidRPr="00E233B1" w:rsidRDefault="00DA60A7" w:rsidP="00BB5ACB">
            <w:r>
              <w:rPr>
                <w:b/>
                <w:bCs/>
                <w:color w:val="000000"/>
              </w:rPr>
              <w:t>Other Vulnerability Tools Page</w:t>
            </w:r>
          </w:p>
        </w:tc>
        <w:tc>
          <w:tcPr>
            <w:tcW w:w="6400" w:type="dxa"/>
            <w:shd w:val="clear" w:color="auto" w:fill="D9D9D9" w:themeFill="background1" w:themeFillShade="D9"/>
          </w:tcPr>
          <w:p w14:paraId="6D1B8B67" w14:textId="166F189E" w:rsidR="00DA60A7" w:rsidRPr="00E233B1" w:rsidRDefault="00DA60A7" w:rsidP="00BB5ACB">
            <w:r>
              <w:rPr>
                <w:color w:val="000000"/>
              </w:rPr>
              <w:t xml:space="preserve">Side-by-side comparison of VCP with </w:t>
            </w:r>
            <w:proofErr w:type="spellStart"/>
            <w:r>
              <w:rPr>
                <w:color w:val="000000"/>
              </w:rPr>
              <w:t>CalEnviroScreen</w:t>
            </w:r>
            <w:proofErr w:type="spellEnd"/>
            <w:r>
              <w:rPr>
                <w:color w:val="000000"/>
              </w:rPr>
              <w:t>, Healthy Places Index, and other tools — use this to decide which tool best fits</w:t>
            </w:r>
          </w:p>
        </w:tc>
      </w:tr>
      <w:tr w:rsidR="00DA60A7" w:rsidRPr="00E233B1" w14:paraId="2626A729" w14:textId="77777777">
        <w:tc>
          <w:tcPr>
            <w:tcW w:w="2600" w:type="dxa"/>
          </w:tcPr>
          <w:p w14:paraId="5E5827CA" w14:textId="0C257DF0" w:rsidR="00DA60A7" w:rsidRPr="00E233B1" w:rsidRDefault="00DA60A7" w:rsidP="00BB5ACB">
            <w:pPr>
              <w:rPr>
                <w:b/>
                <w:bCs/>
                <w:color w:val="000000" w:themeColor="text1"/>
              </w:rPr>
            </w:pPr>
            <w:r>
              <w:rPr>
                <w:b/>
                <w:bCs/>
                <w:color w:val="000000" w:themeColor="text1"/>
              </w:rPr>
              <w:t>Help Desk</w:t>
            </w:r>
          </w:p>
        </w:tc>
        <w:tc>
          <w:tcPr>
            <w:tcW w:w="6400" w:type="dxa"/>
          </w:tcPr>
          <w:p w14:paraId="76FB6A37" w14:textId="77777777" w:rsidR="00DA60A7" w:rsidRPr="00E233B1" w:rsidRDefault="00DA60A7" w:rsidP="00BB5ACB">
            <w:r>
              <w:rPr>
                <w:color w:val="000000"/>
              </w:rPr>
              <w:t>One-on-one support from LCI staff for communities conducting vulnerability assessments</w:t>
            </w:r>
          </w:p>
        </w:tc>
      </w:tr>
    </w:tbl>
    <w:p w14:paraId="16867AB0" w14:textId="000C94C2" w:rsidR="00DA60A7" w:rsidRPr="00721A05" w:rsidRDefault="00DA60A7" w:rsidP="00CE4755">
      <w:pPr>
        <w:spacing w:before="160" w:line="240" w:lineRule="auto"/>
        <w:rPr>
          <w:rFonts w:eastAsia="Century Gothic" w:cs="Century Gothic"/>
        </w:rPr>
      </w:pPr>
      <w:r>
        <w:rPr>
          <w:rFonts w:eastAsia="Century Gothic" w:cs="Century Gothic"/>
        </w:rPr>
        <w:t>The Vulnerable Communities Platform evaluates the severity of climate hazards over two timeframes: current and 2050.</w:t>
      </w:r>
    </w:p>
    <w:p w14:paraId="401D7107" w14:textId="77777777" w:rsidR="00DA60A7" w:rsidRDefault="00DA60A7" w:rsidP="00CE4755">
      <w:pPr>
        <w:shd w:val="clear" w:color="auto" w:fill="FFFFFF" w:themeFill="background1"/>
        <w:spacing w:before="160" w:line="240" w:lineRule="auto"/>
        <w:rPr>
          <w:rFonts w:eastAsia="Century Gothic" w:cs="Century Gothic"/>
          <w:color w:val="000000" w:themeColor="text1"/>
        </w:rPr>
      </w:pPr>
      <w:r>
        <w:rPr>
          <w:rFonts w:eastAsia="Century Gothic" w:cs="Century Gothic"/>
          <w:color w:val="000000" w:themeColor="text1"/>
        </w:rPr>
        <w:t>The Climate Vulnerability Map uses the intersection of climate hazard and social vulnerability to identify areas of increased risk that should be prioritized for adaptation. It uses a bivariate categorization for each climate hazard: extreme heat, flooding, sea level rise, and drought. The bivariate color scheme is pictured in the image below.</w:t>
      </w:r>
    </w:p>
    <w:tbl>
      <w:tblPr>
        <w:tblStyle w:val="TableGrid"/>
        <w:tblW w:w="0" w:type="auto"/>
        <w:tblLook w:val="04A0" w:firstRow="1" w:lastRow="0" w:firstColumn="1" w:lastColumn="0" w:noHBand="0" w:noVBand="1"/>
      </w:tblPr>
      <w:tblGrid>
        <w:gridCol w:w="9350"/>
      </w:tblGrid>
      <w:tr w:rsidR="00DA60A7" w14:paraId="61808C27" w14:textId="77777777" w:rsidTr="00B37218">
        <w:trPr>
          <w:trHeight w:val="720"/>
        </w:trPr>
        <w:tc>
          <w:tcPr>
            <w:tcW w:w="9350" w:type="dxa"/>
            <w:shd w:val="clear" w:color="auto" w:fill="000000" w:themeFill="text1"/>
            <w:vAlign w:val="center"/>
          </w:tcPr>
          <w:p w14:paraId="4485F122" w14:textId="7DBDB7C0" w:rsidR="00DA60A7" w:rsidRPr="00190332" w:rsidRDefault="000A1D73" w:rsidP="00190332">
            <w:pPr>
              <w:pStyle w:val="Caption"/>
              <w:rPr>
                <w:rFonts w:ascii="Century Gothic" w:hAnsi="Century Gothic"/>
                <w:b/>
                <w:i w:val="0"/>
              </w:rPr>
            </w:pPr>
            <w:r w:rsidRPr="00190332">
              <w:rPr>
                <w:rFonts w:ascii="Century Gothic" w:hAnsi="Century Gothic"/>
                <w:b/>
                <w:i w:val="0"/>
                <w:color w:val="FFFFFF" w:themeColor="background1"/>
                <w:sz w:val="24"/>
                <w:szCs w:val="24"/>
              </w:rPr>
              <w:t xml:space="preserve">Figure </w:t>
            </w:r>
            <w:r w:rsidR="00190332" w:rsidRPr="00190332">
              <w:rPr>
                <w:rFonts w:ascii="Century Gothic" w:hAnsi="Century Gothic"/>
                <w:b/>
                <w:bCs/>
                <w:i w:val="0"/>
                <w:iCs w:val="0"/>
                <w:color w:val="FFFFFF" w:themeColor="background1"/>
                <w:sz w:val="24"/>
                <w:szCs w:val="24"/>
              </w:rPr>
              <w:fldChar w:fldCharType="begin"/>
            </w:r>
            <w:r w:rsidR="00190332" w:rsidRPr="00190332">
              <w:rPr>
                <w:rFonts w:ascii="Century Gothic" w:hAnsi="Century Gothic"/>
                <w:b/>
                <w:bCs/>
                <w:i w:val="0"/>
                <w:iCs w:val="0"/>
                <w:color w:val="FFFFFF" w:themeColor="background1"/>
                <w:sz w:val="24"/>
                <w:szCs w:val="24"/>
              </w:rPr>
              <w:instrText xml:space="preserve"> SEQ Figure \* ARABIC </w:instrText>
            </w:r>
            <w:r w:rsidR="00190332" w:rsidRPr="00190332">
              <w:rPr>
                <w:rFonts w:ascii="Century Gothic" w:hAnsi="Century Gothic"/>
                <w:b/>
                <w:bCs/>
                <w:i w:val="0"/>
                <w:iCs w:val="0"/>
                <w:color w:val="FFFFFF" w:themeColor="background1"/>
                <w:sz w:val="24"/>
                <w:szCs w:val="24"/>
              </w:rPr>
              <w:fldChar w:fldCharType="separate"/>
            </w:r>
            <w:r w:rsidR="00190332">
              <w:rPr>
                <w:rFonts w:ascii="Century Gothic" w:hAnsi="Century Gothic"/>
                <w:b/>
                <w:bCs/>
                <w:i w:val="0"/>
                <w:iCs w:val="0"/>
                <w:noProof/>
                <w:color w:val="FFFFFF" w:themeColor="background1"/>
                <w:sz w:val="24"/>
                <w:szCs w:val="24"/>
              </w:rPr>
              <w:t>30</w:t>
            </w:r>
            <w:r w:rsidR="00190332" w:rsidRPr="00190332">
              <w:rPr>
                <w:rFonts w:ascii="Century Gothic" w:hAnsi="Century Gothic"/>
                <w:b/>
                <w:bCs/>
                <w:i w:val="0"/>
                <w:iCs w:val="0"/>
                <w:color w:val="FFFFFF" w:themeColor="background1"/>
                <w:sz w:val="24"/>
                <w:szCs w:val="24"/>
              </w:rPr>
              <w:fldChar w:fldCharType="end"/>
            </w:r>
            <w:r w:rsidR="00190332" w:rsidRPr="00190332">
              <w:rPr>
                <w:rFonts w:ascii="Century Gothic" w:hAnsi="Century Gothic"/>
                <w:b/>
                <w:bCs/>
                <w:i w:val="0"/>
                <w:iCs w:val="0"/>
                <w:color w:val="FFFFFF" w:themeColor="background1"/>
                <w:sz w:val="24"/>
                <w:szCs w:val="24"/>
              </w:rPr>
              <w:t>.</w:t>
            </w:r>
            <w:r w:rsidRPr="00190332">
              <w:rPr>
                <w:rFonts w:ascii="Century Gothic" w:hAnsi="Century Gothic"/>
                <w:b/>
                <w:i w:val="0"/>
                <w:color w:val="FFFFFF" w:themeColor="background1"/>
                <w:sz w:val="24"/>
                <w:szCs w:val="24"/>
              </w:rPr>
              <w:t xml:space="preserve"> </w:t>
            </w:r>
            <w:r w:rsidRPr="00190332">
              <w:rPr>
                <w:rFonts w:ascii="Century Gothic" w:eastAsia="Century Gothic" w:hAnsi="Century Gothic" w:cs="Century Gothic"/>
                <w:b/>
                <w:i w:val="0"/>
                <w:color w:val="FFFFFF" w:themeColor="background1"/>
                <w:sz w:val="24"/>
                <w:szCs w:val="24"/>
              </w:rPr>
              <w:t>The VCP’s bivariate color scheme, which uses the intersection of climate hazard and social vulnerability</w:t>
            </w:r>
          </w:p>
        </w:tc>
      </w:tr>
      <w:tr w:rsidR="00DA60A7" w14:paraId="21C4266F" w14:textId="77777777">
        <w:tc>
          <w:tcPr>
            <w:tcW w:w="9350" w:type="dxa"/>
          </w:tcPr>
          <w:p w14:paraId="1B8D961A" w14:textId="756F4838" w:rsidR="007D625E" w:rsidRDefault="00DA60A7" w:rsidP="00190332">
            <w:pPr>
              <w:keepNext/>
              <w:spacing w:before="120" w:after="120"/>
              <w:rPr>
                <w:rFonts w:eastAsia="Century Gothic" w:cs="Century Gothic"/>
              </w:rPr>
            </w:pPr>
            <w:r>
              <w:rPr>
                <w:noProof/>
              </w:rPr>
              <w:drawing>
                <wp:inline distT="0" distB="0" distL="0" distR="0" wp14:anchorId="3C1A11BF" wp14:editId="20C1894D">
                  <wp:extent cx="5677786" cy="1646922"/>
                  <wp:effectExtent l="0" t="0" r="0" b="0"/>
                  <wp:docPr id="1157413616" name="drawing" descr="Explanation of visualization colors with pink to purple for increasing climate hazard vs pink to orange for increasing soci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13616" name="drawing" descr="Explanation of visualization colors with pink to purple for increasing climate hazard vs pink to orange for increasing social vulnerability"/>
                          <pic:cNvPicPr/>
                        </pic:nvPicPr>
                        <pic:blipFill>
                          <a:blip r:embed="rId339">
                            <a:extLst>
                              <a:ext uri="{28A0092B-C50C-407E-A947-70E740481C1C}">
                                <a14:useLocalDpi xmlns:a14="http://schemas.microsoft.com/office/drawing/2010/main" val="0"/>
                              </a:ext>
                            </a:extLst>
                          </a:blip>
                          <a:stretch>
                            <a:fillRect/>
                          </a:stretch>
                        </pic:blipFill>
                        <pic:spPr>
                          <a:xfrm>
                            <a:off x="0" y="0"/>
                            <a:ext cx="5680862" cy="1647814"/>
                          </a:xfrm>
                          <a:prstGeom prst="rect">
                            <a:avLst/>
                          </a:prstGeom>
                        </pic:spPr>
                      </pic:pic>
                    </a:graphicData>
                  </a:graphic>
                </wp:inline>
              </w:drawing>
            </w:r>
          </w:p>
        </w:tc>
      </w:tr>
    </w:tbl>
    <w:p w14:paraId="7EBA6789" w14:textId="55AC8A9E" w:rsidR="00DA60A7" w:rsidRPr="00721A05" w:rsidRDefault="00DA60A7" w:rsidP="00CE4755">
      <w:pPr>
        <w:shd w:val="clear" w:color="auto" w:fill="FFFFFF" w:themeFill="background1"/>
        <w:spacing w:before="160" w:line="240" w:lineRule="auto"/>
        <w:rPr>
          <w:rFonts w:eastAsia="Century Gothic" w:cs="Century Gothic"/>
        </w:rPr>
      </w:pPr>
      <w:r>
        <w:rPr>
          <w:rFonts w:eastAsia="Century Gothic" w:cs="Century Gothic"/>
        </w:rPr>
        <w:t>The purple gradient in the first box represents a combination of hazard data for a specific hazard. For example, for extreme heat, this includes climate projection data about the number of days over 100 degrees in the summer and warm overnight temperatures. The orange gradient in the second box represents a combination of social data also relevant to that same hazard. For example, for extreme heat, this would include social data like the percentage of people with asthma or diabetes, outdoor workers, and the frequency of Public Safety Power Shutoff (PSPS) events. The third box represents the combination of climate and social data. This is the color scheme representing climate vulnerability on the map. The dark maroon color in the top right box of this gradient represents the most climate vulnerable communities because these are the places that have both the highest climate hazard and social vulnerability to that hazard.</w:t>
      </w:r>
    </w:p>
    <w:p w14:paraId="66321ED3" w14:textId="388ABAFF" w:rsidR="00DA60A7" w:rsidRPr="00721A05" w:rsidRDefault="00DA60A7" w:rsidP="00CE4755">
      <w:pPr>
        <w:spacing w:before="160" w:line="240" w:lineRule="auto"/>
        <w:rPr>
          <w:rFonts w:eastAsia="Century Gothic" w:cs="Century Gothic"/>
        </w:rPr>
      </w:pPr>
      <w:r>
        <w:rPr>
          <w:rFonts w:eastAsia="Century Gothic" w:cs="Century Gothic"/>
        </w:rPr>
        <w:t>For example, the maroon areas on the map for extreme heat would represent places that experience high temperatures and the people who live there are low-income. On the other hand, places that are more purple would represent areas that experience high temperatures but the people who live there are not low-income. Conversely, places that are orange might represent areas where temperatures remain mild, but the community is low-income. Out of these three options, the places that experience high temperatures and have low-income community members are the most vulnerable.</w:t>
      </w:r>
    </w:p>
    <w:p w14:paraId="2BD576FF" w14:textId="46E279F2" w:rsidR="00DA60A7" w:rsidRPr="00721A05" w:rsidRDefault="00DA60A7" w:rsidP="00CE4755">
      <w:pPr>
        <w:spacing w:before="160" w:line="240" w:lineRule="auto"/>
        <w:rPr>
          <w:rFonts w:eastAsia="Century Gothic" w:cs="Century Gothic"/>
        </w:rPr>
      </w:pPr>
      <w:r>
        <w:rPr>
          <w:rFonts w:eastAsia="Century Gothic" w:cs="Century Gothic"/>
        </w:rPr>
        <w:t>The Climate Vulnerability Map only maps vulnerability where it has data on the location of communities (</w:t>
      </w:r>
      <w:hyperlink r:id="rId340">
        <w:r>
          <w:rPr>
            <w:rStyle w:val="Hyperlink"/>
            <w:rFonts w:eastAsia="Century Gothic" w:cs="Century Gothic"/>
          </w:rPr>
          <w:t>see this user guide for more information</w:t>
        </w:r>
      </w:hyperlink>
      <w:r>
        <w:rPr>
          <w:rFonts w:eastAsia="Century Gothic" w:cs="Century Gothic"/>
        </w:rPr>
        <w:t>). This means that places like parks, stadiums, and forests do not have data on the map. This does not mean that there are no climate risks in these areas, but that there is no record of people living in these areas.</w:t>
      </w:r>
    </w:p>
    <w:p w14:paraId="3742CF28" w14:textId="2B62AE40" w:rsidR="00DA60A7" w:rsidRPr="00721A05" w:rsidRDefault="00DA60A7" w:rsidP="00CE4755">
      <w:pPr>
        <w:spacing w:before="160" w:line="240" w:lineRule="auto"/>
        <w:rPr>
          <w:rFonts w:eastAsia="Century Gothic" w:cs="Century Gothic"/>
        </w:rPr>
      </w:pPr>
      <w:r>
        <w:rPr>
          <w:rFonts w:eastAsia="Century Gothic" w:cs="Century Gothic"/>
        </w:rPr>
        <w:t xml:space="preserve">The Climate Vulnerability Map shows climate information for two timeframes. The "Now" timeframe captures </w:t>
      </w:r>
      <w:bookmarkStart w:id="231" w:name="_Int_7eyHiCbZ"/>
      <w:r>
        <w:rPr>
          <w:rFonts w:eastAsia="Century Gothic" w:cs="Century Gothic"/>
        </w:rPr>
        <w:t>estimates</w:t>
      </w:r>
      <w:bookmarkEnd w:id="231"/>
      <w:r>
        <w:rPr>
          <w:rFonts w:eastAsia="Century Gothic" w:cs="Century Gothic"/>
        </w:rPr>
        <w:t xml:space="preserve"> for 2015-2044. The "2050" timeframe captures 2045-2074. However, the map uses the same social data for the current and 2050 timescales because it does not have projection data for demographic factors like income and health.</w:t>
      </w:r>
    </w:p>
    <w:p w14:paraId="637EF65D" w14:textId="64FB8950" w:rsidR="00CE4755" w:rsidRDefault="00DA60A7" w:rsidP="00CE4755">
      <w:pPr>
        <w:spacing w:before="160" w:line="240" w:lineRule="auto"/>
        <w:rPr>
          <w:rFonts w:eastAsia="Century Gothic" w:cs="Century Gothic"/>
        </w:rPr>
      </w:pPr>
      <w:r>
        <w:rPr>
          <w:rFonts w:eastAsia="Century Gothic" w:cs="Century Gothic"/>
        </w:rPr>
        <w:t>To access the Climate Vulnerability Map, go to</w:t>
      </w:r>
      <w:r w:rsidR="00B96EE4">
        <w:rPr>
          <w:rFonts w:eastAsia="Century Gothic" w:cs="Century Gothic"/>
        </w:rPr>
        <w:t xml:space="preserve"> the</w:t>
      </w:r>
      <w:r>
        <w:rPr>
          <w:rFonts w:eastAsia="Century Gothic" w:cs="Century Gothic"/>
        </w:rPr>
        <w:t xml:space="preserve"> </w:t>
      </w:r>
      <w:hyperlink r:id="rId341" w:history="1">
        <w:r w:rsidR="00B96EE4">
          <w:rPr>
            <w:rStyle w:val="Hyperlink"/>
            <w:rFonts w:eastAsia="Century Gothic" w:cs="Century Gothic"/>
          </w:rPr>
          <w:t>VCP</w:t>
        </w:r>
      </w:hyperlink>
      <w:r w:rsidR="0021743A">
        <w:rPr>
          <w:rFonts w:eastAsia="Century Gothic" w:cs="Century Gothic"/>
        </w:rPr>
        <w:t xml:space="preserve"> </w:t>
      </w:r>
      <w:r>
        <w:rPr>
          <w:rFonts w:eastAsia="Century Gothic" w:cs="Century Gothic"/>
        </w:rPr>
        <w:t xml:space="preserve">and click on “View Climate Vulnerability Map.” There are </w:t>
      </w:r>
      <w:r>
        <w:rPr>
          <w:rFonts w:eastAsia="Century Gothic" w:cs="Century Gothic"/>
          <w:b/>
        </w:rPr>
        <w:t>eight steps</w:t>
      </w:r>
      <w:r>
        <w:rPr>
          <w:rFonts w:eastAsia="Century Gothic" w:cs="Century Gothic"/>
        </w:rPr>
        <w:t xml:space="preserve"> to use the map to assess a hazard:</w:t>
      </w:r>
    </w:p>
    <w:p w14:paraId="18BE3F3B" w14:textId="46D4D7FC" w:rsidR="00DA60A7" w:rsidRPr="00D974FE" w:rsidRDefault="00DA60A7">
      <w:pPr>
        <w:numPr>
          <w:ilvl w:val="0"/>
          <w:numId w:val="9"/>
        </w:numPr>
        <w:spacing w:line="240" w:lineRule="auto"/>
        <w:rPr>
          <w:rFonts w:eastAsia="Century Gothic" w:cs="Century Gothic"/>
        </w:rPr>
      </w:pPr>
      <w:r>
        <w:rPr>
          <w:rFonts w:eastAsia="Century Gothic" w:cs="Century Gothic"/>
          <w:b/>
        </w:rPr>
        <w:t xml:space="preserve">Select a specific region from the options: </w:t>
      </w:r>
      <w:r>
        <w:rPr>
          <w:rFonts w:eastAsia="Century Gothic" w:cs="Century Gothic"/>
        </w:rPr>
        <w:t>Climate Vulnerability Map - View by Region</w:t>
      </w:r>
    </w:p>
    <w:p w14:paraId="5C2C315D" w14:textId="77777777" w:rsidR="00190332" w:rsidRPr="00D974FE" w:rsidRDefault="00190332" w:rsidP="00190332">
      <w:pPr>
        <w:spacing w:line="240" w:lineRule="auto"/>
        <w:ind w:left="720"/>
        <w:rPr>
          <w:rFonts w:eastAsia="Century Gothic" w:cs="Century Gothic"/>
        </w:rPr>
      </w:pPr>
    </w:p>
    <w:tbl>
      <w:tblPr>
        <w:tblStyle w:val="TableGrid"/>
        <w:tblW w:w="0" w:type="auto"/>
        <w:tblLook w:val="04A0" w:firstRow="1" w:lastRow="0" w:firstColumn="1" w:lastColumn="0" w:noHBand="0" w:noVBand="1"/>
      </w:tblPr>
      <w:tblGrid>
        <w:gridCol w:w="9350"/>
      </w:tblGrid>
      <w:tr w:rsidR="00DA60A7" w14:paraId="07671510" w14:textId="77777777" w:rsidTr="009970B4">
        <w:trPr>
          <w:trHeight w:val="432"/>
        </w:trPr>
        <w:tc>
          <w:tcPr>
            <w:tcW w:w="9350" w:type="dxa"/>
            <w:shd w:val="clear" w:color="auto" w:fill="000000" w:themeFill="text1"/>
            <w:vAlign w:val="center"/>
          </w:tcPr>
          <w:p w14:paraId="558C6E0F" w14:textId="6F74C264" w:rsidR="00DA60A7" w:rsidRPr="006C2755" w:rsidRDefault="000A1D73" w:rsidP="00190332">
            <w:pPr>
              <w:pStyle w:val="Caption"/>
              <w:rPr>
                <w:rFonts w:ascii="Century Gothic" w:hAnsi="Century Gothic"/>
                <w:b/>
                <w:i w:val="0"/>
              </w:rPr>
            </w:pPr>
            <w:r w:rsidRPr="006C2755">
              <w:rPr>
                <w:rFonts w:ascii="Century Gothic" w:hAnsi="Century Gothic"/>
                <w:b/>
                <w:i w:val="0"/>
                <w:color w:val="FFFFFF" w:themeColor="background1"/>
                <w:sz w:val="24"/>
                <w:szCs w:val="24"/>
              </w:rPr>
              <w:t xml:space="preserve">Figure </w:t>
            </w:r>
            <w:r w:rsidR="0070725C" w:rsidRPr="0070725C">
              <w:rPr>
                <w:rFonts w:ascii="Century Gothic" w:hAnsi="Century Gothic"/>
                <w:b/>
                <w:i w:val="0"/>
                <w:color w:val="FFFFFF" w:themeColor="background1"/>
                <w:sz w:val="24"/>
                <w:szCs w:val="24"/>
              </w:rPr>
              <w:t>31.</w:t>
            </w:r>
            <w:r w:rsidR="006C2755" w:rsidRPr="006C2755">
              <w:rPr>
                <w:rFonts w:ascii="Century Gothic" w:hAnsi="Century Gothic"/>
                <w:b/>
                <w:bCs/>
                <w:i w:val="0"/>
                <w:iCs w:val="0"/>
                <w:color w:val="FFFFFF" w:themeColor="background1"/>
                <w:sz w:val="24"/>
                <w:szCs w:val="24"/>
              </w:rPr>
              <w:t xml:space="preserve"> </w:t>
            </w:r>
            <w:r w:rsidRPr="006C2755">
              <w:rPr>
                <w:rFonts w:ascii="Century Gothic" w:eastAsia="Century Gothic" w:hAnsi="Century Gothic" w:cs="Century Gothic"/>
                <w:b/>
                <w:i w:val="0"/>
                <w:color w:val="FFFFFF" w:themeColor="background1"/>
                <w:sz w:val="24"/>
                <w:szCs w:val="24"/>
              </w:rPr>
              <w:t>The landing page for the VCP’s Climate Vulnerability Map</w:t>
            </w:r>
          </w:p>
        </w:tc>
      </w:tr>
      <w:tr w:rsidR="00DA60A7" w14:paraId="416D098F" w14:textId="77777777">
        <w:tc>
          <w:tcPr>
            <w:tcW w:w="9350" w:type="dxa"/>
          </w:tcPr>
          <w:p w14:paraId="189FB199" w14:textId="77777777" w:rsidR="00DA60A7" w:rsidRDefault="00DA60A7" w:rsidP="00190332">
            <w:pPr>
              <w:keepNext/>
              <w:spacing w:before="120" w:after="120"/>
              <w:rPr>
                <w:rFonts w:eastAsia="Century Gothic" w:cs="Century Gothic"/>
                <w:b/>
              </w:rPr>
            </w:pPr>
            <w:r>
              <w:rPr>
                <w:noProof/>
              </w:rPr>
              <w:drawing>
                <wp:inline distT="0" distB="0" distL="0" distR="0" wp14:anchorId="3D12C869" wp14:editId="7FF00996">
                  <wp:extent cx="5756744" cy="3556758"/>
                  <wp:effectExtent l="0" t="0" r="0" b="5715"/>
                  <wp:docPr id="247423896" name="Picture 7" descr="Climate vulnerability Map main page, showing options for 9 regions: Central Coast, Inland Deserts, Los Angeles, North Coast, Sacramento Valley, San Diego, SF Bay Area, San Joaquin Valley, Sierra Ne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23896" name="Picture 7" descr="Climate vulnerability Map main page, showing options for 9 regions: Central Coast, Inland Deserts, Los Angeles, North Coast, Sacramento Valley, San Diego, SF Bay Area, San Joaquin Valley, Sierra Nevada"/>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770987" cy="3565558"/>
                          </a:xfrm>
                          <a:prstGeom prst="rect">
                            <a:avLst/>
                          </a:prstGeom>
                          <a:noFill/>
                          <a:ln>
                            <a:noFill/>
                          </a:ln>
                        </pic:spPr>
                      </pic:pic>
                    </a:graphicData>
                  </a:graphic>
                </wp:inline>
              </w:drawing>
            </w:r>
          </w:p>
        </w:tc>
      </w:tr>
    </w:tbl>
    <w:p w14:paraId="2D1C0391" w14:textId="77777777" w:rsidR="00BE5D8E" w:rsidRDefault="00BE5D8E" w:rsidP="00BA410F">
      <w:pPr>
        <w:spacing w:line="240" w:lineRule="auto"/>
        <w:rPr>
          <w:rFonts w:eastAsia="Century Gothic" w:cs="Century Gothic"/>
          <w:b/>
        </w:rPr>
      </w:pPr>
      <w:r>
        <w:rPr>
          <w:rFonts w:eastAsia="Century Gothic" w:cs="Century Gothic"/>
          <w:b/>
        </w:rPr>
        <w:br w:type="page"/>
      </w:r>
    </w:p>
    <w:p w14:paraId="1F3F5787" w14:textId="77777777" w:rsidR="00DA60A7" w:rsidRPr="00721A05" w:rsidRDefault="00DA60A7">
      <w:pPr>
        <w:numPr>
          <w:ilvl w:val="0"/>
          <w:numId w:val="10"/>
        </w:numPr>
        <w:spacing w:before="160" w:after="0" w:line="240" w:lineRule="auto"/>
        <w:rPr>
          <w:rFonts w:eastAsia="Century Gothic" w:cs="Century Gothic"/>
        </w:rPr>
      </w:pPr>
      <w:r>
        <w:rPr>
          <w:rFonts w:eastAsia="Century Gothic" w:cs="Century Gothic"/>
          <w:b/>
        </w:rPr>
        <w:t>Navigate to the specific area:</w:t>
      </w:r>
    </w:p>
    <w:p w14:paraId="5C0D944F" w14:textId="36772342" w:rsidR="00DA60A7" w:rsidRPr="00721A05" w:rsidRDefault="00DA60A7">
      <w:pPr>
        <w:numPr>
          <w:ilvl w:val="1"/>
          <w:numId w:val="10"/>
        </w:numPr>
        <w:spacing w:after="0" w:line="240" w:lineRule="auto"/>
        <w:rPr>
          <w:rFonts w:eastAsia="Century Gothic" w:cs="Century Gothic"/>
        </w:rPr>
      </w:pPr>
      <w:r>
        <w:rPr>
          <w:rFonts w:eastAsia="Century Gothic" w:cs="Century Gothic"/>
        </w:rPr>
        <w:t>Once on the map, use the cursor to navigate to the desired area, or</w:t>
      </w:r>
    </w:p>
    <w:p w14:paraId="0FFF725E" w14:textId="13905DD1" w:rsidR="00DA60A7" w:rsidRPr="00721A05" w:rsidRDefault="00DA60A7">
      <w:pPr>
        <w:numPr>
          <w:ilvl w:val="1"/>
          <w:numId w:val="10"/>
        </w:numPr>
        <w:spacing w:line="240" w:lineRule="auto"/>
        <w:rPr>
          <w:rFonts w:eastAsia="Century Gothic" w:cs="Century Gothic"/>
        </w:rPr>
      </w:pPr>
      <w:r>
        <w:rPr>
          <w:rFonts w:eastAsia="Century Gothic" w:cs="Century Gothic"/>
        </w:rPr>
        <w:t>Enter an address in the search bar to zoom in automatically.</w:t>
      </w:r>
    </w:p>
    <w:tbl>
      <w:tblPr>
        <w:tblStyle w:val="TableGrid"/>
        <w:tblW w:w="0" w:type="auto"/>
        <w:tblLook w:val="04A0" w:firstRow="1" w:lastRow="0" w:firstColumn="1" w:lastColumn="0" w:noHBand="0" w:noVBand="1"/>
      </w:tblPr>
      <w:tblGrid>
        <w:gridCol w:w="9341"/>
      </w:tblGrid>
      <w:tr w:rsidR="00DA60A7" w:rsidRPr="006C2755" w14:paraId="256CF066" w14:textId="77777777" w:rsidTr="00405836">
        <w:trPr>
          <w:trHeight w:val="432"/>
        </w:trPr>
        <w:tc>
          <w:tcPr>
            <w:tcW w:w="9341" w:type="dxa"/>
            <w:shd w:val="clear" w:color="auto" w:fill="000000" w:themeFill="text1"/>
            <w:vAlign w:val="center"/>
          </w:tcPr>
          <w:p w14:paraId="55D3478E" w14:textId="0F7D29B0" w:rsidR="00DA60A7" w:rsidRPr="006C2755" w:rsidRDefault="000A1D73" w:rsidP="006C2755">
            <w:pPr>
              <w:pStyle w:val="Caption"/>
              <w:rPr>
                <w:rFonts w:ascii="Century Gothic" w:hAnsi="Century Gothic"/>
                <w:b/>
                <w:i w:val="0"/>
                <w:color w:val="FFFFFF" w:themeColor="background1"/>
                <w:sz w:val="24"/>
                <w:szCs w:val="24"/>
              </w:rPr>
            </w:pPr>
            <w:r w:rsidRPr="006C2755">
              <w:rPr>
                <w:rFonts w:ascii="Century Gothic" w:hAnsi="Century Gothic"/>
                <w:b/>
                <w:i w:val="0"/>
                <w:color w:val="FFFFFF" w:themeColor="background1"/>
                <w:sz w:val="24"/>
                <w:szCs w:val="24"/>
              </w:rPr>
              <w:t xml:space="preserve">Figure </w:t>
            </w:r>
            <w:r w:rsidR="006C2755" w:rsidRPr="006C2755">
              <w:rPr>
                <w:rFonts w:ascii="Century Gothic" w:hAnsi="Century Gothic"/>
                <w:b/>
                <w:bCs/>
                <w:i w:val="0"/>
                <w:iCs w:val="0"/>
                <w:color w:val="FFFFFF" w:themeColor="background1"/>
                <w:sz w:val="24"/>
                <w:szCs w:val="24"/>
              </w:rPr>
              <w:fldChar w:fldCharType="begin"/>
            </w:r>
            <w:r w:rsidR="006C2755" w:rsidRPr="006C2755">
              <w:rPr>
                <w:rFonts w:ascii="Century Gothic" w:hAnsi="Century Gothic"/>
                <w:b/>
                <w:bCs/>
                <w:i w:val="0"/>
                <w:iCs w:val="0"/>
                <w:color w:val="FFFFFF" w:themeColor="background1"/>
                <w:sz w:val="24"/>
                <w:szCs w:val="24"/>
              </w:rPr>
              <w:instrText xml:space="preserve"> SEQ Figure \* ARABIC </w:instrText>
            </w:r>
            <w:r w:rsidR="006C2755" w:rsidRPr="006C2755">
              <w:rPr>
                <w:rFonts w:ascii="Century Gothic" w:hAnsi="Century Gothic"/>
                <w:b/>
                <w:bCs/>
                <w:i w:val="0"/>
                <w:iCs w:val="0"/>
                <w:color w:val="FFFFFF" w:themeColor="background1"/>
                <w:sz w:val="24"/>
                <w:szCs w:val="24"/>
              </w:rPr>
              <w:fldChar w:fldCharType="separate"/>
            </w:r>
            <w:r w:rsidR="006C2755">
              <w:rPr>
                <w:rFonts w:ascii="Century Gothic" w:hAnsi="Century Gothic"/>
                <w:b/>
                <w:bCs/>
                <w:i w:val="0"/>
                <w:iCs w:val="0"/>
                <w:noProof/>
                <w:color w:val="FFFFFF" w:themeColor="background1"/>
                <w:sz w:val="24"/>
                <w:szCs w:val="24"/>
              </w:rPr>
              <w:t>32</w:t>
            </w:r>
            <w:r w:rsidR="006C2755" w:rsidRPr="006C2755">
              <w:rPr>
                <w:rFonts w:ascii="Century Gothic" w:hAnsi="Century Gothic"/>
                <w:b/>
                <w:bCs/>
                <w:i w:val="0"/>
                <w:iCs w:val="0"/>
                <w:color w:val="FFFFFF" w:themeColor="background1"/>
                <w:sz w:val="24"/>
                <w:szCs w:val="24"/>
              </w:rPr>
              <w:fldChar w:fldCharType="end"/>
            </w:r>
            <w:r w:rsidR="006C2755" w:rsidRPr="006C2755">
              <w:rPr>
                <w:rFonts w:ascii="Century Gothic" w:hAnsi="Century Gothic"/>
                <w:b/>
                <w:bCs/>
                <w:i w:val="0"/>
                <w:iCs w:val="0"/>
                <w:color w:val="FFFFFF" w:themeColor="background1"/>
                <w:sz w:val="24"/>
                <w:szCs w:val="24"/>
              </w:rPr>
              <w:t>.</w:t>
            </w:r>
            <w:r w:rsidRPr="006C2755">
              <w:rPr>
                <w:rFonts w:ascii="Century Gothic" w:hAnsi="Century Gothic"/>
                <w:b/>
                <w:i w:val="0"/>
                <w:color w:val="FFFFFF" w:themeColor="background1"/>
                <w:sz w:val="24"/>
                <w:szCs w:val="24"/>
              </w:rPr>
              <w:t xml:space="preserve"> </w:t>
            </w:r>
            <w:r w:rsidRPr="006C2755">
              <w:rPr>
                <w:rFonts w:ascii="Century Gothic" w:eastAsia="Century Gothic" w:hAnsi="Century Gothic" w:cs="Century Gothic"/>
                <w:b/>
                <w:i w:val="0"/>
                <w:color w:val="FFFFFF" w:themeColor="background1"/>
                <w:sz w:val="24"/>
                <w:szCs w:val="24"/>
              </w:rPr>
              <w:t>The Los Angeles Region of the VCP’s Climate Vulnerability Map</w:t>
            </w:r>
          </w:p>
        </w:tc>
      </w:tr>
      <w:tr w:rsidR="00DA60A7" w14:paraId="7DCD93A8" w14:textId="77777777" w:rsidTr="000A1D73">
        <w:trPr>
          <w:trHeight w:val="5719"/>
        </w:trPr>
        <w:tc>
          <w:tcPr>
            <w:tcW w:w="9341" w:type="dxa"/>
          </w:tcPr>
          <w:p w14:paraId="5F4F3C6A" w14:textId="77777777" w:rsidR="00DA60A7" w:rsidRDefault="00DA60A7" w:rsidP="006C2755">
            <w:pPr>
              <w:keepNext/>
              <w:spacing w:before="120" w:after="120"/>
              <w:rPr>
                <w:rFonts w:eastAsia="Century Gothic" w:cs="Century Gothic"/>
                <w:b/>
                <w:bCs/>
              </w:rPr>
            </w:pPr>
            <w:r>
              <w:rPr>
                <w:rFonts w:eastAsia="Century Gothic" w:cs="Century Gothic"/>
                <w:noProof/>
              </w:rPr>
              <w:drawing>
                <wp:inline distT="0" distB="0" distL="0" distR="0" wp14:anchorId="3A1175A1" wp14:editId="63DBBD0A">
                  <wp:extent cx="5794744" cy="3575902"/>
                  <wp:effectExtent l="0" t="0" r="0" b="5715"/>
                  <wp:docPr id="537576726" name="Picture 6" descr="Screenshot of LA Region within the Climate Vulnerabilit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76726" name="Picture 6" descr="Screenshot of LA Region within the Climate Vulnerability Map"/>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800619" cy="3579528"/>
                          </a:xfrm>
                          <a:prstGeom prst="rect">
                            <a:avLst/>
                          </a:prstGeom>
                          <a:noFill/>
                          <a:ln>
                            <a:noFill/>
                          </a:ln>
                        </pic:spPr>
                      </pic:pic>
                    </a:graphicData>
                  </a:graphic>
                </wp:inline>
              </w:drawing>
            </w:r>
          </w:p>
        </w:tc>
      </w:tr>
    </w:tbl>
    <w:p w14:paraId="5D179BD3" w14:textId="474C0187" w:rsidR="00DA60A7" w:rsidRPr="00BE5D8E" w:rsidRDefault="00DA60A7">
      <w:pPr>
        <w:numPr>
          <w:ilvl w:val="0"/>
          <w:numId w:val="11"/>
        </w:numPr>
        <w:spacing w:before="160" w:after="0" w:line="240" w:lineRule="auto"/>
        <w:rPr>
          <w:rFonts w:eastAsia="Century Gothic" w:cs="Century Gothic"/>
        </w:rPr>
      </w:pPr>
      <w:r>
        <w:rPr>
          <w:rFonts w:eastAsia="Century Gothic" w:cs="Century Gothic"/>
          <w:b/>
        </w:rPr>
        <w:t xml:space="preserve">Choose a timeframe: </w:t>
      </w:r>
      <w:r>
        <w:rPr>
          <w:rFonts w:eastAsia="Century Gothic" w:cs="Century Gothic"/>
        </w:rPr>
        <w:t>Choose ‘Now’ for the current timeframe or ‘2050’ for the future.</w:t>
      </w:r>
    </w:p>
    <w:p w14:paraId="55C8D7C7" w14:textId="2333B824" w:rsidR="00DA60A7" w:rsidRPr="00BE5D8E" w:rsidRDefault="00DA60A7">
      <w:pPr>
        <w:numPr>
          <w:ilvl w:val="0"/>
          <w:numId w:val="12"/>
        </w:numPr>
        <w:spacing w:after="0" w:line="240" w:lineRule="auto"/>
        <w:rPr>
          <w:rFonts w:eastAsia="Century Gothic" w:cs="Century Gothic"/>
        </w:rPr>
      </w:pPr>
      <w:r>
        <w:rPr>
          <w:rFonts w:eastAsia="Century Gothic" w:cs="Century Gothic"/>
          <w:b/>
        </w:rPr>
        <w:t>Choose a hazard:</w:t>
      </w:r>
      <w:r>
        <w:rPr>
          <w:rFonts w:eastAsia="Century Gothic" w:cs="Century Gothic"/>
        </w:rPr>
        <w:t xml:space="preserve"> Choose from Extreme Heat, Flood, Sea Level Rise, Drought, and Wildfire. Note: Wildfire only has data for the Now timeframe</w:t>
      </w:r>
    </w:p>
    <w:p w14:paraId="150AD5BF" w14:textId="5EA07F91" w:rsidR="00DA60A7" w:rsidRPr="00721A05" w:rsidRDefault="00DA60A7">
      <w:pPr>
        <w:numPr>
          <w:ilvl w:val="0"/>
          <w:numId w:val="13"/>
        </w:numPr>
        <w:spacing w:after="0" w:line="240" w:lineRule="auto"/>
        <w:rPr>
          <w:rFonts w:eastAsia="Century Gothic" w:cs="Century Gothic"/>
        </w:rPr>
      </w:pPr>
      <w:r>
        <w:rPr>
          <w:rFonts w:eastAsia="Century Gothic" w:cs="Century Gothic"/>
          <w:b/>
        </w:rPr>
        <w:t>Additional Layers:</w:t>
      </w:r>
      <w:r>
        <w:rPr>
          <w:rFonts w:eastAsia="Century Gothic" w:cs="Century Gothic"/>
        </w:rPr>
        <w:t xml:space="preserve"> The following layers can be overlaid on the vulnerability map for additional context.</w:t>
      </w:r>
    </w:p>
    <w:p w14:paraId="5BB6BBCE" w14:textId="56FC9589" w:rsidR="00DA60A7" w:rsidRPr="00721A05" w:rsidRDefault="00DA60A7">
      <w:pPr>
        <w:numPr>
          <w:ilvl w:val="1"/>
          <w:numId w:val="13"/>
        </w:numPr>
        <w:spacing w:after="0" w:line="240" w:lineRule="auto"/>
        <w:rPr>
          <w:rFonts w:eastAsia="Century Gothic" w:cs="Century Gothic"/>
        </w:rPr>
      </w:pPr>
      <w:r>
        <w:rPr>
          <w:rFonts w:eastAsia="Century Gothic" w:cs="Century Gothic"/>
        </w:rPr>
        <w:t>Estimated Night-time Population (FEMA): This shows population estimates from FEMA to get a sense of the scale of the communities.</w:t>
      </w:r>
    </w:p>
    <w:p w14:paraId="0C4FA940" w14:textId="77777777" w:rsidR="00DA60A7" w:rsidRPr="00721A05" w:rsidRDefault="00DA60A7">
      <w:pPr>
        <w:numPr>
          <w:ilvl w:val="1"/>
          <w:numId w:val="13"/>
        </w:numPr>
        <w:spacing w:after="0" w:line="240" w:lineRule="auto"/>
        <w:rPr>
          <w:rFonts w:eastAsia="Century Gothic" w:cs="Century Gothic"/>
        </w:rPr>
      </w:pPr>
      <w:r>
        <w:rPr>
          <w:rFonts w:eastAsia="Century Gothic" w:cs="Century Gothic"/>
        </w:rPr>
        <w:t>Tribal Lands: This shows Bureau of Indian Affairs (BIA) Tribal Lands data.</w:t>
      </w:r>
    </w:p>
    <w:p w14:paraId="671CC6CD" w14:textId="77777777" w:rsidR="00DA60A7" w:rsidRPr="00721A05" w:rsidRDefault="00DA60A7">
      <w:pPr>
        <w:numPr>
          <w:ilvl w:val="1"/>
          <w:numId w:val="13"/>
        </w:numPr>
        <w:spacing w:after="0" w:line="240" w:lineRule="auto"/>
        <w:rPr>
          <w:rFonts w:eastAsia="Century Gothic" w:cs="Century Gothic"/>
        </w:rPr>
      </w:pPr>
      <w:r>
        <w:rPr>
          <w:rFonts w:eastAsia="Century Gothic" w:cs="Century Gothic"/>
        </w:rPr>
        <w:t>Very Low Income: This shows block groups that have a median income of 60% or less of the Area Median Income (AMI).</w:t>
      </w:r>
    </w:p>
    <w:p w14:paraId="56039C69" w14:textId="2656E429" w:rsidR="00DA60A7" w:rsidRPr="00721A05" w:rsidRDefault="00DA60A7">
      <w:pPr>
        <w:numPr>
          <w:ilvl w:val="1"/>
          <w:numId w:val="13"/>
        </w:numPr>
        <w:spacing w:after="0" w:line="240" w:lineRule="auto"/>
        <w:rPr>
          <w:rFonts w:eastAsia="Century Gothic" w:cs="Century Gothic"/>
        </w:rPr>
      </w:pPr>
      <w:r>
        <w:rPr>
          <w:rFonts w:eastAsia="Century Gothic" w:cs="Century Gothic"/>
        </w:rPr>
        <w:t xml:space="preserve">When looking at the Sea Level Rise layer, there is a Coastal Flooding Concern </w:t>
      </w:r>
      <w:bookmarkStart w:id="232" w:name="_Int_8J9x3UT7"/>
      <w:r>
        <w:rPr>
          <w:rFonts w:eastAsia="Century Gothic" w:cs="Century Gothic"/>
        </w:rPr>
        <w:t>layer</w:t>
      </w:r>
      <w:bookmarkEnd w:id="232"/>
      <w:r>
        <w:rPr>
          <w:rFonts w:eastAsia="Century Gothic" w:cs="Century Gothic"/>
        </w:rPr>
        <w:t xml:space="preserve"> and a Groundwater Table Rise Concern layer. These layers are meant to show if the sea level risk represented on the map is due to direct flooding concern or a rising groundwater table that can lead to contamination from toxic sites and surface flooding during heavy rains.</w:t>
      </w:r>
    </w:p>
    <w:p w14:paraId="63943E3C" w14:textId="77777777" w:rsidR="00DA60A7" w:rsidRPr="00721A05" w:rsidRDefault="00DA60A7">
      <w:pPr>
        <w:numPr>
          <w:ilvl w:val="0"/>
          <w:numId w:val="13"/>
        </w:numPr>
        <w:spacing w:after="0" w:line="240" w:lineRule="auto"/>
        <w:rPr>
          <w:rFonts w:eastAsia="Century Gothic" w:cs="Century Gothic"/>
          <w:b/>
        </w:rPr>
      </w:pPr>
      <w:r>
        <w:rPr>
          <w:rFonts w:eastAsia="Century Gothic" w:cs="Century Gothic"/>
          <w:b/>
        </w:rPr>
        <w:t>Look at the Pop-Up:</w:t>
      </w:r>
    </w:p>
    <w:p w14:paraId="1736B934" w14:textId="6E7BAD0B" w:rsidR="00DA60A7" w:rsidRPr="00A64E1B" w:rsidRDefault="00DA60A7">
      <w:pPr>
        <w:pStyle w:val="ListParagraph"/>
        <w:numPr>
          <w:ilvl w:val="0"/>
          <w:numId w:val="7"/>
        </w:numPr>
        <w:spacing w:line="240" w:lineRule="auto"/>
        <w:contextualSpacing w:val="0"/>
        <w:rPr>
          <w:rFonts w:eastAsia="Century Gothic" w:cs="Century Gothic"/>
        </w:rPr>
      </w:pPr>
      <w:r>
        <w:rPr>
          <w:rFonts w:eastAsia="Century Gothic" w:cs="Century Gothic"/>
        </w:rPr>
        <w:t>Click on a spot on the map to generate a pop-up for the area that gives a detailed summary of all the climate vulnerability data for the block group including: current and future high, medium, and low vulnerability designations for each hazard</w:t>
      </w:r>
    </w:p>
    <w:tbl>
      <w:tblPr>
        <w:tblStyle w:val="TableGrid"/>
        <w:tblW w:w="0" w:type="auto"/>
        <w:tblLook w:val="04A0" w:firstRow="1" w:lastRow="0" w:firstColumn="1" w:lastColumn="0" w:noHBand="0" w:noVBand="1"/>
      </w:tblPr>
      <w:tblGrid>
        <w:gridCol w:w="9350"/>
      </w:tblGrid>
      <w:tr w:rsidR="00DA60A7" w14:paraId="250080FC" w14:textId="77777777" w:rsidTr="005F252C">
        <w:trPr>
          <w:trHeight w:val="432"/>
        </w:trPr>
        <w:tc>
          <w:tcPr>
            <w:tcW w:w="9350" w:type="dxa"/>
            <w:shd w:val="clear" w:color="auto" w:fill="000000" w:themeFill="text1"/>
            <w:vAlign w:val="center"/>
          </w:tcPr>
          <w:p w14:paraId="296BBB63" w14:textId="3ACD2624" w:rsidR="00DA60A7" w:rsidRPr="006C2755" w:rsidRDefault="000A1D73" w:rsidP="006C2755">
            <w:pPr>
              <w:pStyle w:val="Caption"/>
              <w:rPr>
                <w:rFonts w:ascii="Century Gothic" w:hAnsi="Century Gothic"/>
                <w:b/>
                <w:i w:val="0"/>
                <w:color w:val="FFFFFF" w:themeColor="background1"/>
                <w:sz w:val="24"/>
                <w:szCs w:val="24"/>
              </w:rPr>
            </w:pPr>
            <w:r w:rsidRPr="006C2755">
              <w:rPr>
                <w:rFonts w:ascii="Century Gothic" w:hAnsi="Century Gothic"/>
                <w:b/>
                <w:i w:val="0"/>
                <w:color w:val="FFFFFF" w:themeColor="background1"/>
                <w:sz w:val="24"/>
                <w:szCs w:val="24"/>
              </w:rPr>
              <w:t xml:space="preserve">Figure </w:t>
            </w:r>
            <w:r w:rsidR="006C2755" w:rsidRPr="006C2755">
              <w:rPr>
                <w:rFonts w:ascii="Century Gothic" w:hAnsi="Century Gothic"/>
                <w:b/>
                <w:bCs/>
                <w:i w:val="0"/>
                <w:iCs w:val="0"/>
                <w:color w:val="FFFFFF" w:themeColor="background1"/>
                <w:sz w:val="24"/>
                <w:szCs w:val="24"/>
              </w:rPr>
              <w:fldChar w:fldCharType="begin"/>
            </w:r>
            <w:r w:rsidR="006C2755" w:rsidRPr="006C2755">
              <w:rPr>
                <w:rFonts w:ascii="Century Gothic" w:hAnsi="Century Gothic"/>
                <w:b/>
                <w:bCs/>
                <w:i w:val="0"/>
                <w:iCs w:val="0"/>
                <w:color w:val="FFFFFF" w:themeColor="background1"/>
                <w:sz w:val="24"/>
                <w:szCs w:val="24"/>
              </w:rPr>
              <w:instrText xml:space="preserve"> SEQ Figure \* ARABIC </w:instrText>
            </w:r>
            <w:r w:rsidR="006C2755" w:rsidRPr="006C2755">
              <w:rPr>
                <w:rFonts w:ascii="Century Gothic" w:hAnsi="Century Gothic"/>
                <w:b/>
                <w:bCs/>
                <w:i w:val="0"/>
                <w:iCs w:val="0"/>
                <w:color w:val="FFFFFF" w:themeColor="background1"/>
                <w:sz w:val="24"/>
                <w:szCs w:val="24"/>
              </w:rPr>
              <w:fldChar w:fldCharType="separate"/>
            </w:r>
            <w:r w:rsidR="006C2755" w:rsidRPr="006C2755">
              <w:rPr>
                <w:rFonts w:ascii="Century Gothic" w:hAnsi="Century Gothic"/>
                <w:b/>
                <w:bCs/>
                <w:i w:val="0"/>
                <w:iCs w:val="0"/>
                <w:noProof/>
                <w:color w:val="FFFFFF" w:themeColor="background1"/>
                <w:sz w:val="24"/>
                <w:szCs w:val="24"/>
              </w:rPr>
              <w:t>33</w:t>
            </w:r>
            <w:r w:rsidR="006C2755" w:rsidRPr="006C2755">
              <w:rPr>
                <w:rFonts w:ascii="Century Gothic" w:hAnsi="Century Gothic"/>
                <w:b/>
                <w:bCs/>
                <w:i w:val="0"/>
                <w:iCs w:val="0"/>
                <w:color w:val="FFFFFF" w:themeColor="background1"/>
                <w:sz w:val="24"/>
                <w:szCs w:val="24"/>
              </w:rPr>
              <w:fldChar w:fldCharType="end"/>
            </w:r>
            <w:r w:rsidR="006C2755" w:rsidRPr="006C2755">
              <w:rPr>
                <w:rFonts w:ascii="Century Gothic" w:hAnsi="Century Gothic"/>
                <w:b/>
                <w:bCs/>
                <w:i w:val="0"/>
                <w:iCs w:val="0"/>
                <w:color w:val="FFFFFF" w:themeColor="background1"/>
                <w:sz w:val="24"/>
                <w:szCs w:val="24"/>
              </w:rPr>
              <w:t>.</w:t>
            </w:r>
            <w:r w:rsidRPr="006C2755">
              <w:rPr>
                <w:rFonts w:ascii="Century Gothic" w:hAnsi="Century Gothic"/>
                <w:b/>
                <w:i w:val="0"/>
                <w:color w:val="FFFFFF" w:themeColor="background1"/>
                <w:sz w:val="24"/>
                <w:szCs w:val="24"/>
              </w:rPr>
              <w:t xml:space="preserve"> Climate vulnerability data pop-up for each block group</w:t>
            </w:r>
          </w:p>
        </w:tc>
      </w:tr>
      <w:tr w:rsidR="00DA60A7" w14:paraId="68C8B221" w14:textId="77777777">
        <w:tc>
          <w:tcPr>
            <w:tcW w:w="9350" w:type="dxa"/>
          </w:tcPr>
          <w:p w14:paraId="1F6109FB" w14:textId="5B81B144" w:rsidR="000A5A5B" w:rsidRPr="000A5A5B" w:rsidRDefault="00DA60A7" w:rsidP="006C2755">
            <w:pPr>
              <w:keepNext/>
              <w:spacing w:before="120" w:after="120"/>
              <w:jc w:val="center"/>
              <w:rPr>
                <w:b/>
                <w:sz w:val="12"/>
                <w:szCs w:val="12"/>
              </w:rPr>
            </w:pPr>
            <w:r>
              <w:rPr>
                <w:noProof/>
              </w:rPr>
              <w:drawing>
                <wp:inline distT="0" distB="0" distL="0" distR="0" wp14:anchorId="37759CD2" wp14:editId="2A9488E6">
                  <wp:extent cx="3742961" cy="2605177"/>
                  <wp:effectExtent l="0" t="0" r="0" b="5080"/>
                  <wp:docPr id="1398184656" name="drawing" descr="Screenshot of pop-up for 3 hazards: extreme heat, flooding, and drought. Also has indicators for climate vulnerability now, climate vulnerability in the future, and soci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84656" name="drawing" descr="Screenshot of pop-up for 3 hazards: extreme heat, flooding, and drought. Also has indicators for climate vulnerability now, climate vulnerability in the future, and social vulnerability"/>
                          <pic:cNvPicPr/>
                        </pic:nvPicPr>
                        <pic:blipFill rotWithShape="1">
                          <a:blip r:embed="rId344">
                            <a:extLst>
                              <a:ext uri="{28A0092B-C50C-407E-A947-70E740481C1C}">
                                <a14:useLocalDpi xmlns:a14="http://schemas.microsoft.com/office/drawing/2010/main"/>
                              </a:ext>
                            </a:extLst>
                          </a:blip>
                          <a:srcRect l="1774" t="3125" r="2062" b="2470"/>
                          <a:stretch>
                            <a:fillRect/>
                          </a:stretch>
                        </pic:blipFill>
                        <pic:spPr bwMode="auto">
                          <a:xfrm>
                            <a:off x="0" y="0"/>
                            <a:ext cx="3748605" cy="260910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66694EB" w14:textId="77777777" w:rsidR="00DA60A7" w:rsidRPr="00D974FE" w:rsidRDefault="00DA60A7">
      <w:pPr>
        <w:pStyle w:val="ListParagraph"/>
        <w:numPr>
          <w:ilvl w:val="2"/>
          <w:numId w:val="8"/>
        </w:numPr>
        <w:spacing w:before="160" w:line="240" w:lineRule="auto"/>
        <w:ind w:left="2160"/>
      </w:pPr>
      <w:r>
        <w:rPr>
          <w:rFonts w:eastAsia="Century Gothic" w:cs="Century Gothic"/>
        </w:rPr>
        <w:t>Demographic, income, and population values</w:t>
      </w:r>
    </w:p>
    <w:tbl>
      <w:tblPr>
        <w:tblStyle w:val="TableGrid"/>
        <w:tblW w:w="0" w:type="auto"/>
        <w:tblLook w:val="04A0" w:firstRow="1" w:lastRow="0" w:firstColumn="1" w:lastColumn="0" w:noHBand="0" w:noVBand="1"/>
      </w:tblPr>
      <w:tblGrid>
        <w:gridCol w:w="9350"/>
      </w:tblGrid>
      <w:tr w:rsidR="00DA60A7" w14:paraId="42963D07" w14:textId="77777777" w:rsidTr="00217619">
        <w:trPr>
          <w:trHeight w:val="432"/>
        </w:trPr>
        <w:tc>
          <w:tcPr>
            <w:tcW w:w="9350" w:type="dxa"/>
            <w:shd w:val="clear" w:color="auto" w:fill="000000" w:themeFill="text1"/>
            <w:vAlign w:val="center"/>
          </w:tcPr>
          <w:p w14:paraId="586C0204" w14:textId="4F3CFB4C" w:rsidR="00DA60A7" w:rsidRPr="00C92731" w:rsidRDefault="000A1D73" w:rsidP="00D840E9">
            <w:pPr>
              <w:pStyle w:val="Caption"/>
              <w:rPr>
                <w:rFonts w:ascii="Century Gothic" w:eastAsia="Century Gothic" w:hAnsi="Century Gothic" w:cs="Century Gothic"/>
                <w:b/>
                <w:i w:val="0"/>
                <w:sz w:val="24"/>
                <w:szCs w:val="24"/>
              </w:rPr>
            </w:pPr>
            <w:r w:rsidRPr="00C92731">
              <w:rPr>
                <w:rFonts w:ascii="Century Gothic" w:hAnsi="Century Gothic"/>
                <w:b/>
                <w:i w:val="0"/>
                <w:color w:val="FFFFFF" w:themeColor="background1"/>
                <w:sz w:val="24"/>
                <w:szCs w:val="24"/>
              </w:rPr>
              <w:t xml:space="preserve">Figure </w:t>
            </w:r>
            <w:r w:rsidR="00D840E9" w:rsidRPr="00C92731">
              <w:rPr>
                <w:rFonts w:ascii="Century Gothic" w:hAnsi="Century Gothic"/>
                <w:b/>
                <w:bCs/>
                <w:i w:val="0"/>
                <w:iCs w:val="0"/>
                <w:color w:val="FFFFFF" w:themeColor="background1"/>
                <w:sz w:val="24"/>
                <w:szCs w:val="24"/>
              </w:rPr>
              <w:fldChar w:fldCharType="begin"/>
            </w:r>
            <w:r w:rsidR="00D840E9" w:rsidRPr="00C92731">
              <w:rPr>
                <w:rFonts w:ascii="Century Gothic" w:hAnsi="Century Gothic"/>
                <w:b/>
                <w:bCs/>
                <w:i w:val="0"/>
                <w:iCs w:val="0"/>
                <w:color w:val="FFFFFF" w:themeColor="background1"/>
                <w:sz w:val="24"/>
                <w:szCs w:val="24"/>
              </w:rPr>
              <w:instrText xml:space="preserve"> SEQ Figure \* ARABIC </w:instrText>
            </w:r>
            <w:r w:rsidR="00D840E9" w:rsidRPr="00C92731">
              <w:rPr>
                <w:rFonts w:ascii="Century Gothic" w:hAnsi="Century Gothic"/>
                <w:b/>
                <w:bCs/>
                <w:i w:val="0"/>
                <w:iCs w:val="0"/>
                <w:color w:val="FFFFFF" w:themeColor="background1"/>
                <w:sz w:val="24"/>
                <w:szCs w:val="24"/>
              </w:rPr>
              <w:fldChar w:fldCharType="separate"/>
            </w:r>
            <w:r w:rsidR="00D840E9" w:rsidRPr="00C92731">
              <w:rPr>
                <w:rFonts w:ascii="Century Gothic" w:hAnsi="Century Gothic"/>
                <w:b/>
                <w:bCs/>
                <w:i w:val="0"/>
                <w:iCs w:val="0"/>
                <w:noProof/>
                <w:color w:val="FFFFFF" w:themeColor="background1"/>
                <w:sz w:val="24"/>
                <w:szCs w:val="24"/>
              </w:rPr>
              <w:t>34</w:t>
            </w:r>
            <w:r w:rsidR="00D840E9" w:rsidRPr="00C92731">
              <w:rPr>
                <w:rFonts w:ascii="Century Gothic" w:hAnsi="Century Gothic"/>
                <w:b/>
                <w:bCs/>
                <w:i w:val="0"/>
                <w:iCs w:val="0"/>
                <w:color w:val="FFFFFF" w:themeColor="background1"/>
                <w:sz w:val="24"/>
                <w:szCs w:val="24"/>
              </w:rPr>
              <w:fldChar w:fldCharType="end"/>
            </w:r>
            <w:r w:rsidR="00D840E9" w:rsidRPr="00C92731">
              <w:rPr>
                <w:rFonts w:ascii="Century Gothic" w:hAnsi="Century Gothic"/>
                <w:b/>
                <w:bCs/>
                <w:i w:val="0"/>
                <w:iCs w:val="0"/>
                <w:color w:val="FFFFFF" w:themeColor="background1"/>
                <w:sz w:val="24"/>
                <w:szCs w:val="24"/>
              </w:rPr>
              <w:t>.</w:t>
            </w:r>
            <w:r w:rsidRPr="00C92731">
              <w:rPr>
                <w:rFonts w:ascii="Century Gothic" w:hAnsi="Century Gothic"/>
                <w:b/>
                <w:i w:val="0"/>
                <w:color w:val="FFFFFF" w:themeColor="background1"/>
                <w:sz w:val="24"/>
                <w:szCs w:val="24"/>
              </w:rPr>
              <w:t xml:space="preserve"> </w:t>
            </w:r>
            <w:r w:rsidRPr="00D840E9">
              <w:rPr>
                <w:rFonts w:ascii="Century Gothic" w:hAnsi="Century Gothic"/>
                <w:b/>
                <w:i w:val="0"/>
                <w:color w:val="FFFFFF" w:themeColor="background1"/>
                <w:sz w:val="24"/>
                <w:szCs w:val="24"/>
              </w:rPr>
              <w:t>Demographic breakdown pop-up for each block group</w:t>
            </w:r>
          </w:p>
        </w:tc>
      </w:tr>
      <w:tr w:rsidR="00DA60A7" w14:paraId="34E658CD" w14:textId="77777777">
        <w:tc>
          <w:tcPr>
            <w:tcW w:w="9350" w:type="dxa"/>
          </w:tcPr>
          <w:p w14:paraId="18B00CC3" w14:textId="77777777" w:rsidR="00DA60A7" w:rsidRDefault="00DA60A7" w:rsidP="00D840E9">
            <w:pPr>
              <w:keepNext/>
              <w:spacing w:before="120" w:after="120"/>
              <w:jc w:val="center"/>
              <w:rPr>
                <w:b/>
                <w:bCs/>
              </w:rPr>
            </w:pPr>
            <w:r>
              <w:rPr>
                <w:noProof/>
              </w:rPr>
              <w:drawing>
                <wp:inline distT="0" distB="0" distL="0" distR="0" wp14:anchorId="5348193C" wp14:editId="2E914635">
                  <wp:extent cx="3433313" cy="2286000"/>
                  <wp:effectExtent l="0" t="0" r="0" b="0"/>
                  <wp:docPr id="1742435295" name="drawing" descr="Screenshot of pop-up displaying region, population, and medium income. Further demographics include percentages of people who identify as Hispanic, White (non-Hispanic), Black, American Indian / Alaskan Native, Asian, and Pacific Isl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35295" name="drawing" descr="Screenshot of pop-up displaying region, population, and medium income. Further demographics include percentages of people who identify as Hispanic, White (non-Hispanic), Black, American Indian / Alaskan Native, Asian, and Pacific Islander."/>
                          <pic:cNvPicPr/>
                        </pic:nvPicPr>
                        <pic:blipFill rotWithShape="1">
                          <a:blip r:embed="rId345">
                            <a:extLst>
                              <a:ext uri="{28A0092B-C50C-407E-A947-70E740481C1C}">
                                <a14:useLocalDpi xmlns:a14="http://schemas.microsoft.com/office/drawing/2010/main"/>
                              </a:ext>
                            </a:extLst>
                          </a:blip>
                          <a:srcRect t="4468" r="5953" b="4449"/>
                          <a:stretch>
                            <a:fillRect/>
                          </a:stretch>
                        </pic:blipFill>
                        <pic:spPr bwMode="auto">
                          <a:xfrm>
                            <a:off x="0" y="0"/>
                            <a:ext cx="3437433" cy="22887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19AD12" w14:textId="77777777" w:rsidR="00FC5398" w:rsidRDefault="00FC5398">
      <w:pPr>
        <w:rPr>
          <w:rFonts w:eastAsia="Century Gothic" w:cs="Century Gothic"/>
        </w:rPr>
      </w:pPr>
      <w:r>
        <w:rPr>
          <w:rFonts w:eastAsia="Century Gothic" w:cs="Century Gothic"/>
        </w:rPr>
        <w:br w:type="page"/>
      </w:r>
    </w:p>
    <w:p w14:paraId="03E980A6" w14:textId="398BBF8E" w:rsidR="00DA60A7" w:rsidRPr="00217619" w:rsidRDefault="00DA60A7">
      <w:pPr>
        <w:pStyle w:val="ListParagraph"/>
        <w:numPr>
          <w:ilvl w:val="2"/>
          <w:numId w:val="8"/>
        </w:numPr>
        <w:spacing w:before="160" w:line="240" w:lineRule="auto"/>
        <w:ind w:left="2160"/>
      </w:pPr>
      <w:r>
        <w:rPr>
          <w:rFonts w:eastAsia="Century Gothic" w:cs="Century Gothic"/>
        </w:rPr>
        <w:t>Percentage values for each indicator making up the social vulnerability score. The greyscale pill color displays how high the value is for this block group relative to the rest of the state. A darker color means that this indicator has a particularly high value relative to the State.</w:t>
      </w:r>
    </w:p>
    <w:tbl>
      <w:tblPr>
        <w:tblStyle w:val="TableGrid"/>
        <w:tblW w:w="0" w:type="auto"/>
        <w:tblLook w:val="04A0" w:firstRow="1" w:lastRow="0" w:firstColumn="1" w:lastColumn="0" w:noHBand="0" w:noVBand="1"/>
      </w:tblPr>
      <w:tblGrid>
        <w:gridCol w:w="9350"/>
      </w:tblGrid>
      <w:tr w:rsidR="00DA60A7" w14:paraId="0383D9CB" w14:textId="77777777" w:rsidTr="00217619">
        <w:trPr>
          <w:trHeight w:val="432"/>
        </w:trPr>
        <w:tc>
          <w:tcPr>
            <w:tcW w:w="9350" w:type="dxa"/>
            <w:shd w:val="clear" w:color="auto" w:fill="000000" w:themeFill="text1"/>
            <w:vAlign w:val="center"/>
          </w:tcPr>
          <w:p w14:paraId="2FF9216B" w14:textId="78FCC503" w:rsidR="00DA60A7" w:rsidRPr="003E00DB" w:rsidRDefault="000A1D73" w:rsidP="003E00DB">
            <w:pPr>
              <w:pStyle w:val="Caption"/>
              <w:rPr>
                <w:rFonts w:ascii="Century Gothic" w:hAnsi="Century Gothic"/>
                <w:b/>
                <w:i w:val="0"/>
                <w:sz w:val="24"/>
                <w:szCs w:val="24"/>
              </w:rPr>
            </w:pPr>
            <w:r w:rsidRPr="003E00DB">
              <w:rPr>
                <w:rFonts w:ascii="Century Gothic" w:hAnsi="Century Gothic"/>
                <w:b/>
                <w:i w:val="0"/>
                <w:color w:val="FFFFFF" w:themeColor="background1"/>
                <w:sz w:val="24"/>
                <w:szCs w:val="24"/>
              </w:rPr>
              <w:t xml:space="preserve">Figure </w:t>
            </w:r>
            <w:r w:rsidR="003E00DB" w:rsidRPr="003E00DB">
              <w:rPr>
                <w:rFonts w:ascii="Century Gothic" w:hAnsi="Century Gothic"/>
                <w:b/>
                <w:bCs/>
                <w:i w:val="0"/>
                <w:iCs w:val="0"/>
                <w:color w:val="FFFFFF" w:themeColor="background1"/>
                <w:sz w:val="24"/>
                <w:szCs w:val="24"/>
              </w:rPr>
              <w:fldChar w:fldCharType="begin"/>
            </w:r>
            <w:r w:rsidR="003E00DB" w:rsidRPr="003E00DB">
              <w:rPr>
                <w:rFonts w:ascii="Century Gothic" w:hAnsi="Century Gothic"/>
                <w:b/>
                <w:bCs/>
                <w:i w:val="0"/>
                <w:iCs w:val="0"/>
                <w:color w:val="FFFFFF" w:themeColor="background1"/>
                <w:sz w:val="24"/>
                <w:szCs w:val="24"/>
              </w:rPr>
              <w:instrText xml:space="preserve"> SEQ Figure \* ARABIC </w:instrText>
            </w:r>
            <w:r w:rsidR="003E00DB" w:rsidRPr="003E00DB">
              <w:rPr>
                <w:rFonts w:ascii="Century Gothic" w:hAnsi="Century Gothic"/>
                <w:b/>
                <w:bCs/>
                <w:i w:val="0"/>
                <w:iCs w:val="0"/>
                <w:color w:val="FFFFFF" w:themeColor="background1"/>
                <w:sz w:val="24"/>
                <w:szCs w:val="24"/>
              </w:rPr>
              <w:fldChar w:fldCharType="separate"/>
            </w:r>
            <w:r w:rsidR="00FD3540">
              <w:rPr>
                <w:rFonts w:ascii="Century Gothic" w:hAnsi="Century Gothic"/>
                <w:b/>
                <w:bCs/>
                <w:i w:val="0"/>
                <w:iCs w:val="0"/>
                <w:noProof/>
                <w:color w:val="FFFFFF" w:themeColor="background1"/>
                <w:sz w:val="24"/>
                <w:szCs w:val="24"/>
              </w:rPr>
              <w:t>35</w:t>
            </w:r>
            <w:r w:rsidR="003E00DB" w:rsidRPr="003E00DB">
              <w:rPr>
                <w:rFonts w:ascii="Century Gothic" w:hAnsi="Century Gothic"/>
                <w:b/>
                <w:bCs/>
                <w:i w:val="0"/>
                <w:iCs w:val="0"/>
                <w:color w:val="FFFFFF" w:themeColor="background1"/>
                <w:sz w:val="24"/>
                <w:szCs w:val="24"/>
              </w:rPr>
              <w:fldChar w:fldCharType="end"/>
            </w:r>
            <w:r w:rsidR="003E00DB" w:rsidRPr="003E00DB">
              <w:rPr>
                <w:rFonts w:ascii="Century Gothic" w:hAnsi="Century Gothic"/>
                <w:b/>
                <w:bCs/>
                <w:i w:val="0"/>
                <w:iCs w:val="0"/>
                <w:color w:val="FFFFFF" w:themeColor="background1"/>
                <w:sz w:val="24"/>
                <w:szCs w:val="24"/>
              </w:rPr>
              <w:t>.</w:t>
            </w:r>
            <w:r w:rsidRPr="003E00DB">
              <w:rPr>
                <w:rFonts w:ascii="Century Gothic" w:hAnsi="Century Gothic"/>
                <w:b/>
                <w:i w:val="0"/>
                <w:color w:val="FFFFFF" w:themeColor="background1"/>
                <w:sz w:val="24"/>
                <w:szCs w:val="24"/>
              </w:rPr>
              <w:t xml:space="preserve"> Social score components pop-up for each block group</w:t>
            </w:r>
          </w:p>
        </w:tc>
      </w:tr>
      <w:tr w:rsidR="00DA60A7" w14:paraId="6397E368" w14:textId="77777777">
        <w:tc>
          <w:tcPr>
            <w:tcW w:w="9350" w:type="dxa"/>
          </w:tcPr>
          <w:p w14:paraId="74470501" w14:textId="77777777" w:rsidR="00DA60A7" w:rsidRDefault="00DA60A7" w:rsidP="003E00DB">
            <w:pPr>
              <w:keepNext/>
              <w:spacing w:before="120" w:after="120"/>
              <w:jc w:val="center"/>
              <w:rPr>
                <w:b/>
                <w:bCs/>
              </w:rPr>
            </w:pPr>
            <w:r>
              <w:rPr>
                <w:noProof/>
              </w:rPr>
              <w:drawing>
                <wp:inline distT="0" distB="0" distL="0" distR="0" wp14:anchorId="770BC3FE" wp14:editId="046C7475">
                  <wp:extent cx="3186819" cy="2754870"/>
                  <wp:effectExtent l="0" t="0" r="0" b="7620"/>
                  <wp:docPr id="535461139" name="drawing" descr="Screenshot of pop-up with a list of social score components and percentages of: under 5, living with a disability, limited English households, percent area medium income, housing units mobile homes or RVs, households seniors living alone, households without internet access, workers in outdoor occupations, and workers in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61139" name="drawing" descr="Screenshot of pop-up with a list of social score components and percentages of: under 5, living with a disability, limited English households, percent area medium income, housing units mobile homes or RVs, households seniors living alone, households without internet access, workers in outdoor occupations, and workers in agriculture"/>
                          <pic:cNvPicPr/>
                        </pic:nvPicPr>
                        <pic:blipFill>
                          <a:blip r:embed="rId346">
                            <a:extLst>
                              <a:ext uri="{28A0092B-C50C-407E-A947-70E740481C1C}">
                                <a14:useLocalDpi xmlns:a14="http://schemas.microsoft.com/office/drawing/2010/main"/>
                              </a:ext>
                            </a:extLst>
                          </a:blip>
                          <a:stretch>
                            <a:fillRect/>
                          </a:stretch>
                        </pic:blipFill>
                        <pic:spPr>
                          <a:xfrm>
                            <a:off x="0" y="0"/>
                            <a:ext cx="3207704" cy="2772924"/>
                          </a:xfrm>
                          <a:prstGeom prst="rect">
                            <a:avLst/>
                          </a:prstGeom>
                        </pic:spPr>
                      </pic:pic>
                    </a:graphicData>
                  </a:graphic>
                </wp:inline>
              </w:drawing>
            </w:r>
          </w:p>
        </w:tc>
      </w:tr>
    </w:tbl>
    <w:p w14:paraId="0E73949C" w14:textId="6625C53A" w:rsidR="005D33BB" w:rsidRDefault="005D33BB">
      <w:pPr>
        <w:pStyle w:val="ListParagraph"/>
        <w:numPr>
          <w:ilvl w:val="2"/>
          <w:numId w:val="8"/>
        </w:numPr>
        <w:spacing w:before="160" w:line="240" w:lineRule="auto"/>
        <w:ind w:left="2160"/>
        <w:rPr>
          <w:rFonts w:eastAsia="Century Gothic" w:cs="Century Gothic"/>
        </w:rPr>
      </w:pPr>
      <w:r>
        <w:rPr>
          <w:rFonts w:eastAsia="Century Gothic" w:cs="Century Gothic"/>
        </w:rPr>
        <w:t>Percentage values for each indicator making up the climate vulnerability score.</w:t>
      </w:r>
    </w:p>
    <w:tbl>
      <w:tblPr>
        <w:tblStyle w:val="TableGrid"/>
        <w:tblW w:w="0" w:type="auto"/>
        <w:tblLook w:val="04A0" w:firstRow="1" w:lastRow="0" w:firstColumn="1" w:lastColumn="0" w:noHBand="0" w:noVBand="1"/>
      </w:tblPr>
      <w:tblGrid>
        <w:gridCol w:w="9350"/>
      </w:tblGrid>
      <w:tr w:rsidR="00DA60A7" w14:paraId="3F6DE6AB" w14:textId="77777777" w:rsidTr="00BA2DE0">
        <w:trPr>
          <w:trHeight w:val="432"/>
        </w:trPr>
        <w:tc>
          <w:tcPr>
            <w:tcW w:w="9350" w:type="dxa"/>
            <w:shd w:val="clear" w:color="auto" w:fill="000000" w:themeFill="text1"/>
            <w:vAlign w:val="center"/>
          </w:tcPr>
          <w:p w14:paraId="642375DF" w14:textId="6CE2225D" w:rsidR="00DA60A7" w:rsidRPr="003E00DB" w:rsidRDefault="000A1D73" w:rsidP="003E00DB">
            <w:pPr>
              <w:pStyle w:val="Caption"/>
              <w:rPr>
                <w:rFonts w:ascii="Century Gothic" w:hAnsi="Century Gothic"/>
                <w:b/>
                <w:i w:val="0"/>
                <w:color w:val="FFFFFF" w:themeColor="background1"/>
                <w:sz w:val="24"/>
                <w:szCs w:val="24"/>
              </w:rPr>
            </w:pPr>
            <w:r w:rsidRPr="003E00DB">
              <w:rPr>
                <w:rFonts w:ascii="Century Gothic" w:hAnsi="Century Gothic"/>
                <w:b/>
                <w:i w:val="0"/>
                <w:color w:val="FFFFFF" w:themeColor="background1"/>
                <w:sz w:val="24"/>
                <w:szCs w:val="24"/>
              </w:rPr>
              <w:t xml:space="preserve">Figure </w:t>
            </w:r>
            <w:r w:rsidR="003E00DB" w:rsidRPr="003E00DB">
              <w:rPr>
                <w:rFonts w:ascii="Century Gothic" w:hAnsi="Century Gothic"/>
                <w:b/>
                <w:bCs/>
                <w:i w:val="0"/>
                <w:iCs w:val="0"/>
                <w:color w:val="FFFFFF" w:themeColor="background1"/>
                <w:sz w:val="24"/>
                <w:szCs w:val="24"/>
              </w:rPr>
              <w:fldChar w:fldCharType="begin"/>
            </w:r>
            <w:r w:rsidR="003E00DB" w:rsidRPr="003E00DB">
              <w:rPr>
                <w:rFonts w:ascii="Century Gothic" w:hAnsi="Century Gothic"/>
                <w:b/>
                <w:bCs/>
                <w:i w:val="0"/>
                <w:iCs w:val="0"/>
                <w:color w:val="FFFFFF" w:themeColor="background1"/>
                <w:sz w:val="24"/>
                <w:szCs w:val="24"/>
              </w:rPr>
              <w:instrText xml:space="preserve"> SEQ Figure \* ARABIC </w:instrText>
            </w:r>
            <w:r w:rsidR="003E00DB" w:rsidRPr="003E00DB">
              <w:rPr>
                <w:rFonts w:ascii="Century Gothic" w:hAnsi="Century Gothic"/>
                <w:b/>
                <w:bCs/>
                <w:i w:val="0"/>
                <w:iCs w:val="0"/>
                <w:color w:val="FFFFFF" w:themeColor="background1"/>
                <w:sz w:val="24"/>
                <w:szCs w:val="24"/>
              </w:rPr>
              <w:fldChar w:fldCharType="separate"/>
            </w:r>
            <w:r w:rsidR="00FD3540">
              <w:rPr>
                <w:rFonts w:ascii="Century Gothic" w:hAnsi="Century Gothic"/>
                <w:b/>
                <w:bCs/>
                <w:i w:val="0"/>
                <w:iCs w:val="0"/>
                <w:noProof/>
                <w:color w:val="FFFFFF" w:themeColor="background1"/>
                <w:sz w:val="24"/>
                <w:szCs w:val="24"/>
              </w:rPr>
              <w:t>36</w:t>
            </w:r>
            <w:r w:rsidR="003E00DB" w:rsidRPr="003E00DB">
              <w:rPr>
                <w:rFonts w:ascii="Century Gothic" w:hAnsi="Century Gothic"/>
                <w:b/>
                <w:bCs/>
                <w:i w:val="0"/>
                <w:iCs w:val="0"/>
                <w:color w:val="FFFFFF" w:themeColor="background1"/>
                <w:sz w:val="24"/>
                <w:szCs w:val="24"/>
              </w:rPr>
              <w:fldChar w:fldCharType="end"/>
            </w:r>
            <w:r w:rsidR="003E00DB" w:rsidRPr="003E00DB">
              <w:rPr>
                <w:rFonts w:ascii="Century Gothic" w:hAnsi="Century Gothic"/>
                <w:b/>
                <w:bCs/>
                <w:i w:val="0"/>
                <w:iCs w:val="0"/>
                <w:color w:val="FFFFFF" w:themeColor="background1"/>
                <w:sz w:val="24"/>
                <w:szCs w:val="24"/>
              </w:rPr>
              <w:t>.</w:t>
            </w:r>
            <w:r w:rsidRPr="003E00DB">
              <w:rPr>
                <w:rFonts w:ascii="Century Gothic" w:hAnsi="Century Gothic"/>
                <w:b/>
                <w:i w:val="0"/>
                <w:color w:val="FFFFFF" w:themeColor="background1"/>
                <w:sz w:val="24"/>
                <w:szCs w:val="24"/>
              </w:rPr>
              <w:t xml:space="preserve"> </w:t>
            </w:r>
            <w:r w:rsidRPr="003E00DB">
              <w:rPr>
                <w:rFonts w:ascii="Century Gothic" w:eastAsia="Century Gothic" w:hAnsi="Century Gothic" w:cs="Century Gothic"/>
                <w:b/>
                <w:i w:val="0"/>
                <w:color w:val="FFFFFF" w:themeColor="background1"/>
                <w:sz w:val="24"/>
                <w:szCs w:val="24"/>
              </w:rPr>
              <w:t>Climate hazard score components pop-up for each block group</w:t>
            </w:r>
          </w:p>
        </w:tc>
      </w:tr>
      <w:tr w:rsidR="00DA60A7" w14:paraId="3A360326" w14:textId="77777777">
        <w:tc>
          <w:tcPr>
            <w:tcW w:w="9350" w:type="dxa"/>
          </w:tcPr>
          <w:p w14:paraId="76371538" w14:textId="72F8C443" w:rsidR="00DA60A7" w:rsidRPr="003E00DB" w:rsidRDefault="00F56DD3" w:rsidP="003E00DB">
            <w:pPr>
              <w:keepNext/>
              <w:spacing w:before="120" w:after="120"/>
              <w:jc w:val="center"/>
              <w:rPr>
                <w:rFonts w:eastAsia="Century Gothic" w:cs="Century Gothic"/>
                <w:b/>
                <w:color w:val="FFFFFF" w:themeColor="background1"/>
              </w:rPr>
            </w:pPr>
            <w:r w:rsidRPr="003E00DB">
              <w:rPr>
                <w:b/>
                <w:color w:val="FFFFFF" w:themeColor="background1"/>
              </w:rPr>
              <w:t xml:space="preserve"> </w:t>
            </w:r>
            <w:r w:rsidRPr="003E00DB">
              <w:rPr>
                <w:rFonts w:eastAsia="Century Gothic" w:cs="Century Gothic"/>
                <w:b/>
                <w:noProof/>
                <w:color w:val="FFFFFF" w:themeColor="background1"/>
              </w:rPr>
              <w:drawing>
                <wp:inline distT="0" distB="0" distL="0" distR="0" wp14:anchorId="54416048" wp14:editId="34BDB8C9">
                  <wp:extent cx="2629128" cy="2339543"/>
                  <wp:effectExtent l="0" t="0" r="0" b="3810"/>
                  <wp:docPr id="1226931101" name="Picture 1" descr="This is a picture of climate hazard scores for Extreme Heat, Flood, and Sea Level Rise now compared to 2050 proj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31101" name="Picture 1" descr="This is a picture of climate hazard scores for Extreme Heat, Flood, and Sea Level Rise now compared to 2050 projections. "/>
                          <pic:cNvPicPr/>
                        </pic:nvPicPr>
                        <pic:blipFill>
                          <a:blip r:embed="rId347"/>
                          <a:stretch>
                            <a:fillRect/>
                          </a:stretch>
                        </pic:blipFill>
                        <pic:spPr>
                          <a:xfrm>
                            <a:off x="0" y="0"/>
                            <a:ext cx="2629128" cy="2339543"/>
                          </a:xfrm>
                          <a:prstGeom prst="rect">
                            <a:avLst/>
                          </a:prstGeom>
                        </pic:spPr>
                      </pic:pic>
                    </a:graphicData>
                  </a:graphic>
                </wp:inline>
              </w:drawing>
            </w:r>
          </w:p>
        </w:tc>
      </w:tr>
    </w:tbl>
    <w:p w14:paraId="4523A1BF" w14:textId="77777777" w:rsidR="00DA60A7" w:rsidRPr="00721A05" w:rsidRDefault="00DA60A7">
      <w:pPr>
        <w:numPr>
          <w:ilvl w:val="0"/>
          <w:numId w:val="13"/>
        </w:numPr>
        <w:spacing w:before="160" w:after="0" w:line="240" w:lineRule="auto"/>
        <w:rPr>
          <w:rFonts w:eastAsia="Century Gothic" w:cs="Century Gothic"/>
          <w:b/>
        </w:rPr>
      </w:pPr>
      <w:r>
        <w:rPr>
          <w:rFonts w:eastAsia="Century Gothic" w:cs="Century Gothic"/>
          <w:b/>
        </w:rPr>
        <w:t>Individual Indicator tab:</w:t>
      </w:r>
    </w:p>
    <w:p w14:paraId="0300E72B" w14:textId="77777777" w:rsidR="00DA60A7" w:rsidRPr="00721A05" w:rsidRDefault="00DA60A7">
      <w:pPr>
        <w:pStyle w:val="ListParagraph"/>
        <w:numPr>
          <w:ilvl w:val="1"/>
          <w:numId w:val="13"/>
        </w:numPr>
        <w:spacing w:line="240" w:lineRule="auto"/>
        <w:rPr>
          <w:rFonts w:eastAsia="Century Gothic" w:cs="Century Gothic"/>
        </w:rPr>
      </w:pPr>
      <w:r>
        <w:rPr>
          <w:rFonts w:eastAsia="Century Gothic" w:cs="Century Gothic"/>
        </w:rPr>
        <w:t>Go to the Individual Indicator tab on the top header.</w:t>
      </w:r>
    </w:p>
    <w:p w14:paraId="54B11ABC" w14:textId="125D2975" w:rsidR="00DA60A7" w:rsidRPr="00721A05" w:rsidRDefault="00DA60A7">
      <w:pPr>
        <w:pStyle w:val="ListParagraph"/>
        <w:numPr>
          <w:ilvl w:val="1"/>
          <w:numId w:val="13"/>
        </w:numPr>
        <w:spacing w:line="240" w:lineRule="auto"/>
        <w:rPr>
          <w:rFonts w:eastAsia="Century Gothic" w:cs="Century Gothic"/>
        </w:rPr>
      </w:pPr>
      <w:r>
        <w:rPr>
          <w:rFonts w:eastAsia="Century Gothic" w:cs="Century Gothic"/>
        </w:rPr>
        <w:t>This map has every layer in the Climate Vulnerability Map available to view separately. Layers can be seen one at a time or overlaid.</w:t>
      </w:r>
    </w:p>
    <w:p w14:paraId="295B8E65" w14:textId="5E310D27" w:rsidR="00FD0007" w:rsidRDefault="00DA60A7">
      <w:pPr>
        <w:pStyle w:val="ListParagraph"/>
        <w:numPr>
          <w:ilvl w:val="1"/>
          <w:numId w:val="13"/>
        </w:numPr>
        <w:spacing w:line="240" w:lineRule="auto"/>
        <w:rPr>
          <w:rFonts w:eastAsia="Century Gothic" w:cs="Century Gothic"/>
        </w:rPr>
      </w:pPr>
      <w:r>
        <w:rPr>
          <w:rFonts w:eastAsia="Century Gothic" w:cs="Century Gothic"/>
        </w:rPr>
        <w:t>The layers are broken down into categories. Select the desired category and specific layer underneath.</w:t>
      </w:r>
    </w:p>
    <w:tbl>
      <w:tblPr>
        <w:tblStyle w:val="TableGrid"/>
        <w:tblW w:w="0" w:type="auto"/>
        <w:tblLook w:val="04A0" w:firstRow="1" w:lastRow="0" w:firstColumn="1" w:lastColumn="0" w:noHBand="0" w:noVBand="1"/>
      </w:tblPr>
      <w:tblGrid>
        <w:gridCol w:w="9350"/>
      </w:tblGrid>
      <w:tr w:rsidR="00DA60A7" w14:paraId="1A98092E" w14:textId="77777777" w:rsidTr="00271778">
        <w:trPr>
          <w:trHeight w:val="720"/>
        </w:trPr>
        <w:tc>
          <w:tcPr>
            <w:tcW w:w="9350" w:type="dxa"/>
            <w:shd w:val="clear" w:color="auto" w:fill="000000" w:themeFill="text1"/>
            <w:vAlign w:val="center"/>
          </w:tcPr>
          <w:p w14:paraId="387278FB" w14:textId="709D7CF6" w:rsidR="00DA60A7" w:rsidRPr="003E00DB" w:rsidRDefault="000A1D73" w:rsidP="003E00DB">
            <w:pPr>
              <w:pStyle w:val="Caption"/>
              <w:rPr>
                <w:rFonts w:ascii="Century Gothic" w:hAnsi="Century Gothic"/>
                <w:b/>
                <w:i w:val="0"/>
                <w:sz w:val="24"/>
                <w:szCs w:val="24"/>
              </w:rPr>
            </w:pPr>
            <w:r w:rsidRPr="003E00DB">
              <w:rPr>
                <w:rFonts w:ascii="Century Gothic" w:hAnsi="Century Gothic"/>
                <w:b/>
                <w:i w:val="0"/>
                <w:color w:val="FFFFFF" w:themeColor="background1"/>
                <w:sz w:val="24"/>
                <w:szCs w:val="24"/>
              </w:rPr>
              <w:t xml:space="preserve">Figure </w:t>
            </w:r>
            <w:r w:rsidR="003E00DB" w:rsidRPr="003E00DB">
              <w:rPr>
                <w:rFonts w:ascii="Century Gothic" w:hAnsi="Century Gothic"/>
                <w:b/>
                <w:bCs/>
                <w:i w:val="0"/>
                <w:iCs w:val="0"/>
                <w:color w:val="FFFFFF" w:themeColor="background1"/>
                <w:sz w:val="24"/>
                <w:szCs w:val="24"/>
              </w:rPr>
              <w:fldChar w:fldCharType="begin"/>
            </w:r>
            <w:r w:rsidR="003E00DB" w:rsidRPr="003E00DB">
              <w:rPr>
                <w:rFonts w:ascii="Century Gothic" w:hAnsi="Century Gothic"/>
                <w:b/>
                <w:bCs/>
                <w:i w:val="0"/>
                <w:iCs w:val="0"/>
                <w:color w:val="FFFFFF" w:themeColor="background1"/>
                <w:sz w:val="24"/>
                <w:szCs w:val="24"/>
              </w:rPr>
              <w:instrText xml:space="preserve"> SEQ Figure \* ARABIC </w:instrText>
            </w:r>
            <w:r w:rsidR="003E00DB" w:rsidRPr="003E00DB">
              <w:rPr>
                <w:rFonts w:ascii="Century Gothic" w:hAnsi="Century Gothic"/>
                <w:b/>
                <w:bCs/>
                <w:i w:val="0"/>
                <w:iCs w:val="0"/>
                <w:color w:val="FFFFFF" w:themeColor="background1"/>
                <w:sz w:val="24"/>
                <w:szCs w:val="24"/>
              </w:rPr>
              <w:fldChar w:fldCharType="separate"/>
            </w:r>
            <w:r w:rsidR="00FD3540">
              <w:rPr>
                <w:rFonts w:ascii="Century Gothic" w:hAnsi="Century Gothic"/>
                <w:b/>
                <w:bCs/>
                <w:i w:val="0"/>
                <w:iCs w:val="0"/>
                <w:noProof/>
                <w:color w:val="FFFFFF" w:themeColor="background1"/>
                <w:sz w:val="24"/>
                <w:szCs w:val="24"/>
              </w:rPr>
              <w:t>37</w:t>
            </w:r>
            <w:r w:rsidR="003E00DB" w:rsidRPr="003E00DB">
              <w:rPr>
                <w:rFonts w:ascii="Century Gothic" w:hAnsi="Century Gothic"/>
                <w:b/>
                <w:bCs/>
                <w:i w:val="0"/>
                <w:iCs w:val="0"/>
                <w:color w:val="FFFFFF" w:themeColor="background1"/>
                <w:sz w:val="24"/>
                <w:szCs w:val="24"/>
              </w:rPr>
              <w:fldChar w:fldCharType="end"/>
            </w:r>
            <w:r w:rsidR="003E00DB" w:rsidRPr="003E00DB">
              <w:rPr>
                <w:rFonts w:ascii="Century Gothic" w:hAnsi="Century Gothic"/>
                <w:b/>
                <w:bCs/>
                <w:i w:val="0"/>
                <w:iCs w:val="0"/>
                <w:color w:val="FFFFFF" w:themeColor="background1"/>
                <w:sz w:val="24"/>
                <w:szCs w:val="24"/>
              </w:rPr>
              <w:t>.</w:t>
            </w:r>
            <w:r w:rsidRPr="003E00DB">
              <w:rPr>
                <w:rFonts w:ascii="Century Gothic" w:hAnsi="Century Gothic"/>
                <w:b/>
                <w:i w:val="0"/>
                <w:color w:val="FFFFFF" w:themeColor="background1"/>
                <w:sz w:val="24"/>
                <w:szCs w:val="24"/>
              </w:rPr>
              <w:t xml:space="preserve"> </w:t>
            </w:r>
            <w:r w:rsidRPr="003E00DB">
              <w:rPr>
                <w:rFonts w:ascii="Century Gothic" w:eastAsia="Century Gothic" w:hAnsi="Century Gothic" w:cs="Century Gothic"/>
                <w:b/>
                <w:i w:val="0"/>
                <w:color w:val="FFFFFF" w:themeColor="background1"/>
                <w:sz w:val="24"/>
                <w:szCs w:val="24"/>
              </w:rPr>
              <w:t>Los Angeles Region with the asthma layer displayed in the Individual Indicators Viewer</w:t>
            </w:r>
          </w:p>
        </w:tc>
      </w:tr>
      <w:tr w:rsidR="00DA60A7" w14:paraId="3455831D" w14:textId="77777777">
        <w:tc>
          <w:tcPr>
            <w:tcW w:w="9350" w:type="dxa"/>
          </w:tcPr>
          <w:p w14:paraId="55A4F4F0" w14:textId="77777777" w:rsidR="00DA60A7" w:rsidRDefault="00DA60A7" w:rsidP="003E00DB">
            <w:pPr>
              <w:keepNext/>
              <w:spacing w:before="80" w:after="80"/>
              <w:jc w:val="center"/>
              <w:rPr>
                <w:rFonts w:eastAsia="Century Gothic" w:cs="Century Gothic"/>
                <w:b/>
              </w:rPr>
            </w:pPr>
            <w:r>
              <w:rPr>
                <w:noProof/>
              </w:rPr>
              <w:drawing>
                <wp:inline distT="0" distB="0" distL="0" distR="0" wp14:anchorId="0D55D222" wp14:editId="3E350E83">
                  <wp:extent cx="5776111" cy="2860285"/>
                  <wp:effectExtent l="0" t="0" r="0" b="0"/>
                  <wp:docPr id="666411116" name="drawing" descr="Screenshot of Individual Indicators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11116" name="drawing" descr="Screenshot of Individual Indicators Viewer"/>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847178" cy="2895477"/>
                          </a:xfrm>
                          <a:prstGeom prst="rect">
                            <a:avLst/>
                          </a:prstGeom>
                        </pic:spPr>
                      </pic:pic>
                    </a:graphicData>
                  </a:graphic>
                </wp:inline>
              </w:drawing>
            </w:r>
          </w:p>
        </w:tc>
      </w:tr>
    </w:tbl>
    <w:p w14:paraId="73425DD0" w14:textId="77777777" w:rsidR="00DA60A7" w:rsidRPr="00721A05" w:rsidRDefault="00DA60A7">
      <w:pPr>
        <w:numPr>
          <w:ilvl w:val="0"/>
          <w:numId w:val="13"/>
        </w:numPr>
        <w:spacing w:before="160" w:after="0" w:line="240" w:lineRule="auto"/>
        <w:rPr>
          <w:rFonts w:eastAsia="Century Gothic" w:cs="Century Gothic"/>
          <w:b/>
        </w:rPr>
      </w:pPr>
      <w:r>
        <w:rPr>
          <w:rFonts w:eastAsia="Century Gothic" w:cs="Century Gothic"/>
          <w:b/>
        </w:rPr>
        <w:t>Compare tab:</w:t>
      </w:r>
    </w:p>
    <w:p w14:paraId="5415E2DB" w14:textId="77777777" w:rsidR="00DA60A7" w:rsidRPr="00721A05" w:rsidRDefault="00DA60A7">
      <w:pPr>
        <w:pStyle w:val="ListParagraph"/>
        <w:numPr>
          <w:ilvl w:val="0"/>
          <w:numId w:val="6"/>
        </w:numPr>
        <w:spacing w:line="240" w:lineRule="auto"/>
        <w:rPr>
          <w:rFonts w:eastAsia="Century Gothic" w:cs="Century Gothic"/>
        </w:rPr>
      </w:pPr>
      <w:r>
        <w:rPr>
          <w:rFonts w:eastAsia="Century Gothic" w:cs="Century Gothic"/>
        </w:rPr>
        <w:t>Go to the Compare tool tab on the top header.</w:t>
      </w:r>
    </w:p>
    <w:p w14:paraId="66ACD3C8" w14:textId="4AE5D3F7" w:rsidR="00E65BF6" w:rsidRPr="00D974FE" w:rsidRDefault="00DA60A7">
      <w:pPr>
        <w:pStyle w:val="ListParagraph"/>
        <w:numPr>
          <w:ilvl w:val="0"/>
          <w:numId w:val="6"/>
        </w:numPr>
        <w:spacing w:line="240" w:lineRule="auto"/>
      </w:pPr>
      <w:r>
        <w:rPr>
          <w:rFonts w:eastAsia="Century Gothic" w:cs="Century Gothic"/>
        </w:rPr>
        <w:t>This map shows two views side by side. To view how climate vulnerability changes over time, select a map under ‘Now’ on the left side and under ‘2050’ on the right side.</w:t>
      </w:r>
    </w:p>
    <w:p w14:paraId="602921B7" w14:textId="77777777" w:rsidR="00E65BF6" w:rsidRDefault="00E65BF6">
      <w:pPr>
        <w:rPr>
          <w:rFonts w:eastAsia="Century Gothic" w:cs="Century Gothic"/>
        </w:rPr>
      </w:pPr>
      <w:r>
        <w:rPr>
          <w:rFonts w:eastAsia="Century Gothic" w:cs="Century Gothic"/>
        </w:rPr>
        <w:br w:type="page"/>
      </w:r>
    </w:p>
    <w:tbl>
      <w:tblPr>
        <w:tblStyle w:val="TableGrid"/>
        <w:tblW w:w="0" w:type="auto"/>
        <w:tblLook w:val="04A0" w:firstRow="1" w:lastRow="0" w:firstColumn="1" w:lastColumn="0" w:noHBand="0" w:noVBand="1"/>
      </w:tblPr>
      <w:tblGrid>
        <w:gridCol w:w="9350"/>
      </w:tblGrid>
      <w:tr w:rsidR="00DA60A7" w14:paraId="7B2142F7" w14:textId="77777777" w:rsidTr="00217619">
        <w:trPr>
          <w:trHeight w:val="720"/>
        </w:trPr>
        <w:tc>
          <w:tcPr>
            <w:tcW w:w="9350" w:type="dxa"/>
            <w:shd w:val="clear" w:color="auto" w:fill="000000" w:themeFill="text1"/>
            <w:vAlign w:val="center"/>
          </w:tcPr>
          <w:p w14:paraId="0F4592E6" w14:textId="2480DA25" w:rsidR="00DA60A7" w:rsidRPr="00FD3540" w:rsidRDefault="000A1D73" w:rsidP="00FD3540">
            <w:pPr>
              <w:pStyle w:val="Caption"/>
              <w:rPr>
                <w:rFonts w:ascii="Century Gothic" w:hAnsi="Century Gothic"/>
                <w:b/>
                <w:i w:val="0"/>
                <w:sz w:val="24"/>
                <w:szCs w:val="24"/>
              </w:rPr>
            </w:pPr>
            <w:r w:rsidRPr="00FD3540">
              <w:rPr>
                <w:rFonts w:ascii="Century Gothic" w:hAnsi="Century Gothic"/>
                <w:b/>
                <w:i w:val="0"/>
                <w:color w:val="FFFFFF" w:themeColor="background1"/>
                <w:sz w:val="24"/>
                <w:szCs w:val="24"/>
              </w:rPr>
              <w:t xml:space="preserve">Figure </w:t>
            </w:r>
            <w:r w:rsidR="00FD3540" w:rsidRPr="00FD3540">
              <w:rPr>
                <w:rFonts w:ascii="Century Gothic" w:hAnsi="Century Gothic"/>
                <w:b/>
                <w:bCs/>
                <w:i w:val="0"/>
                <w:iCs w:val="0"/>
                <w:color w:val="FFFFFF" w:themeColor="background1"/>
                <w:sz w:val="24"/>
                <w:szCs w:val="24"/>
              </w:rPr>
              <w:fldChar w:fldCharType="begin"/>
            </w:r>
            <w:r w:rsidR="00FD3540" w:rsidRPr="00FD3540">
              <w:rPr>
                <w:rFonts w:ascii="Century Gothic" w:hAnsi="Century Gothic"/>
                <w:b/>
                <w:bCs/>
                <w:i w:val="0"/>
                <w:iCs w:val="0"/>
                <w:color w:val="FFFFFF" w:themeColor="background1"/>
                <w:sz w:val="24"/>
                <w:szCs w:val="24"/>
              </w:rPr>
              <w:instrText xml:space="preserve"> SEQ Figure \* ARABIC </w:instrText>
            </w:r>
            <w:r w:rsidR="00FD3540" w:rsidRPr="00FD3540">
              <w:rPr>
                <w:rFonts w:ascii="Century Gothic" w:hAnsi="Century Gothic"/>
                <w:b/>
                <w:bCs/>
                <w:i w:val="0"/>
                <w:iCs w:val="0"/>
                <w:color w:val="FFFFFF" w:themeColor="background1"/>
                <w:sz w:val="24"/>
                <w:szCs w:val="24"/>
              </w:rPr>
              <w:fldChar w:fldCharType="separate"/>
            </w:r>
            <w:r w:rsidR="00FD3540" w:rsidRPr="00FD3540">
              <w:rPr>
                <w:rFonts w:ascii="Century Gothic" w:hAnsi="Century Gothic"/>
                <w:b/>
                <w:bCs/>
                <w:i w:val="0"/>
                <w:iCs w:val="0"/>
                <w:noProof/>
                <w:color w:val="FFFFFF" w:themeColor="background1"/>
                <w:sz w:val="24"/>
                <w:szCs w:val="24"/>
              </w:rPr>
              <w:t>38</w:t>
            </w:r>
            <w:r w:rsidR="00FD3540" w:rsidRPr="00FD3540">
              <w:rPr>
                <w:rFonts w:ascii="Century Gothic" w:hAnsi="Century Gothic"/>
                <w:b/>
                <w:bCs/>
                <w:i w:val="0"/>
                <w:iCs w:val="0"/>
                <w:color w:val="FFFFFF" w:themeColor="background1"/>
                <w:sz w:val="24"/>
                <w:szCs w:val="24"/>
              </w:rPr>
              <w:fldChar w:fldCharType="end"/>
            </w:r>
            <w:r w:rsidR="00FD3540" w:rsidRPr="00FD3540">
              <w:rPr>
                <w:rFonts w:ascii="Century Gothic" w:hAnsi="Century Gothic"/>
                <w:b/>
                <w:bCs/>
                <w:i w:val="0"/>
                <w:iCs w:val="0"/>
                <w:color w:val="FFFFFF" w:themeColor="background1"/>
                <w:sz w:val="24"/>
                <w:szCs w:val="24"/>
              </w:rPr>
              <w:t>.</w:t>
            </w:r>
            <w:r w:rsidRPr="00FD3540">
              <w:rPr>
                <w:rFonts w:ascii="Century Gothic" w:hAnsi="Century Gothic"/>
                <w:b/>
                <w:i w:val="0"/>
                <w:color w:val="FFFFFF" w:themeColor="background1"/>
                <w:sz w:val="24"/>
                <w:szCs w:val="24"/>
              </w:rPr>
              <w:t xml:space="preserve"> </w:t>
            </w:r>
            <w:r w:rsidRPr="00FD3540">
              <w:rPr>
                <w:rFonts w:ascii="Century Gothic" w:eastAsia="Century Gothic" w:hAnsi="Century Gothic" w:cs="Century Gothic"/>
                <w:b/>
                <w:i w:val="0"/>
                <w:color w:val="FFFFFF" w:themeColor="background1"/>
                <w:sz w:val="24"/>
                <w:szCs w:val="24"/>
              </w:rPr>
              <w:t>Los Angeles Region with extreme heat vulnerability for now (left) and 2050 (right) displayed in the Compare Tool Map</w:t>
            </w:r>
          </w:p>
        </w:tc>
      </w:tr>
      <w:tr w:rsidR="00DA60A7" w14:paraId="5F2F07D1" w14:textId="77777777" w:rsidTr="00103131">
        <w:trPr>
          <w:trHeight w:val="4032"/>
        </w:trPr>
        <w:tc>
          <w:tcPr>
            <w:tcW w:w="9350" w:type="dxa"/>
            <w:vAlign w:val="center"/>
          </w:tcPr>
          <w:p w14:paraId="4612ED86" w14:textId="53B07494" w:rsidR="00DA60A7" w:rsidRDefault="00570E24" w:rsidP="00FD3540">
            <w:pPr>
              <w:keepNext/>
              <w:spacing w:before="80" w:after="80"/>
              <w:jc w:val="center"/>
              <w:rPr>
                <w:rFonts w:eastAsia="Century Gothic" w:cs="Century Gothic"/>
                <w:b/>
              </w:rPr>
            </w:pPr>
            <w:r>
              <w:rPr>
                <w:rFonts w:eastAsia="Century Gothic" w:cs="Century Gothic"/>
                <w:noProof/>
              </w:rPr>
              <mc:AlternateContent>
                <mc:Choice Requires="wps">
                  <w:drawing>
                    <wp:anchor distT="45720" distB="45720" distL="114300" distR="114300" simplePos="0" relativeHeight="251658263" behindDoc="0" locked="0" layoutInCell="1" allowOverlap="1" wp14:anchorId="70F12E76" wp14:editId="1715AE29">
                      <wp:simplePos x="0" y="0"/>
                      <wp:positionH relativeFrom="column">
                        <wp:posOffset>1259840</wp:posOffset>
                      </wp:positionH>
                      <wp:positionV relativeFrom="paragraph">
                        <wp:posOffset>409575</wp:posOffset>
                      </wp:positionV>
                      <wp:extent cx="542925" cy="1404620"/>
                      <wp:effectExtent l="0" t="0" r="2857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14:paraId="4D0F390F" w14:textId="743A67A7" w:rsidR="00AD430A" w:rsidRDefault="0015517E" w:rsidP="00AD430A">
                                  <w:pPr>
                                    <w:spacing w:after="0"/>
                                    <w:jc w:val="center"/>
                                  </w:pPr>
                                  <w: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F12E76" id="_x0000_s1038" type="#_x0000_t202" style="position:absolute;left:0;text-align:left;margin-left:99.2pt;margin-top:32.25pt;width:42.75pt;height:110.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">
                      <v:textbox style="mso-fit-shape-to-text:t">
                        <w:txbxContent>
                          <w:p w14:paraId="4D0F390F" w14:textId="743A67A7" w:rsidR="00AD430A" w:rsidRDefault="0015517E" w:rsidP="00AD430A">
                            <w:pPr>
                              <w:spacing w:after="0"/>
                              <w:jc w:val="center"/>
                            </w:pPr>
                            <w:r>
                              <w:t>Now</w:t>
                            </w:r>
                          </w:p>
                        </w:txbxContent>
                      </v:textbox>
                    </v:shape>
                  </w:pict>
                </mc:Fallback>
              </mc:AlternateContent>
            </w:r>
            <w:r>
              <w:rPr>
                <w:rFonts w:eastAsia="Century Gothic" w:cs="Century Gothic"/>
                <w:noProof/>
              </w:rPr>
              <mc:AlternateContent>
                <mc:Choice Requires="wps">
                  <w:drawing>
                    <wp:anchor distT="45720" distB="45720" distL="114300" distR="114300" simplePos="0" relativeHeight="251658264" behindDoc="0" locked="0" layoutInCell="1" allowOverlap="1" wp14:anchorId="29D4E950" wp14:editId="5143C140">
                      <wp:simplePos x="0" y="0"/>
                      <wp:positionH relativeFrom="column">
                        <wp:posOffset>3167380</wp:posOffset>
                      </wp:positionH>
                      <wp:positionV relativeFrom="paragraph">
                        <wp:posOffset>415290</wp:posOffset>
                      </wp:positionV>
                      <wp:extent cx="542925" cy="1404620"/>
                      <wp:effectExtent l="0" t="0" r="28575" b="21590"/>
                      <wp:wrapNone/>
                      <wp:docPr id="434652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14:paraId="3B780838" w14:textId="45A4CF21" w:rsidR="00AD430A" w:rsidRDefault="00AD430A" w:rsidP="00AD430A">
                                  <w:pPr>
                                    <w:spacing w:after="0"/>
                                    <w:jc w:val="center"/>
                                  </w:pPr>
                                  <w:r>
                                    <w:t>2050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D4E950" id="_x0000_s1039" type="#_x0000_t202" style="position:absolute;left:0;text-align:left;margin-left:249.4pt;margin-top:32.7pt;width:42.75pt;height:110.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">
                      <v:textbox style="mso-fit-shape-to-text:t">
                        <w:txbxContent>
                          <w:p w14:paraId="3B780838" w14:textId="45A4CF21" w:rsidR="00AD430A" w:rsidRDefault="00AD430A" w:rsidP="00AD430A">
                            <w:pPr>
                              <w:spacing w:after="0"/>
                              <w:jc w:val="center"/>
                            </w:pPr>
                            <w:r>
                              <w:t>2050</w:t>
                            </w:r>
                          </w:p>
                        </w:txbxContent>
                      </v:textbox>
                    </v:shape>
                  </w:pict>
                </mc:Fallback>
              </mc:AlternateContent>
            </w:r>
            <w:r>
              <w:rPr>
                <w:noProof/>
              </w:rPr>
              <w:drawing>
                <wp:inline distT="0" distB="0" distL="0" distR="0" wp14:anchorId="164E21E8" wp14:editId="461E7AFE">
                  <wp:extent cx="5805210" cy="2697933"/>
                  <wp:effectExtent l="0" t="0" r="5080" b="7620"/>
                  <wp:docPr id="598563897" name="drawing" descr="Screenshot showing different options to toggle to show current vs 2050 project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63897" name="drawing" descr="Screenshot showing different options to toggle to show current vs 2050 projected information"/>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839275" cy="2713765"/>
                          </a:xfrm>
                          <a:prstGeom prst="rect">
                            <a:avLst/>
                          </a:prstGeom>
                        </pic:spPr>
                      </pic:pic>
                    </a:graphicData>
                  </a:graphic>
                </wp:inline>
              </w:drawing>
            </w:r>
          </w:p>
        </w:tc>
      </w:tr>
    </w:tbl>
    <w:p w14:paraId="38A34CDD" w14:textId="652B7C5E" w:rsidR="00DA60A7" w:rsidRPr="00721A05" w:rsidRDefault="00222431" w:rsidP="00217619">
      <w:pPr>
        <w:spacing w:before="160" w:line="240" w:lineRule="auto"/>
        <w:rPr>
          <w:rFonts w:eastAsia="Century Gothic" w:cs="Century Gothic"/>
        </w:rPr>
      </w:pPr>
      <w:r>
        <w:rPr>
          <w:rFonts w:eastAsia="Century Gothic" w:cs="Century Gothic"/>
        </w:rPr>
        <w:t>The VCP has created user guides to help teach how to use the Climate Vulnerability Map specifically tailored to community organizations or local governments. Please read through the most relevant user guide.</w:t>
      </w:r>
    </w:p>
    <w:p w14:paraId="6BC88A02" w14:textId="6853488E" w:rsidR="00DA60A7" w:rsidRPr="006B5038" w:rsidRDefault="00DA60A7">
      <w:pPr>
        <w:numPr>
          <w:ilvl w:val="0"/>
          <w:numId w:val="14"/>
        </w:numPr>
        <w:spacing w:after="0" w:line="240" w:lineRule="auto"/>
        <w:rPr>
          <w:rFonts w:eastAsia="Century Gothic" w:cs="Century Gothic"/>
        </w:rPr>
      </w:pPr>
      <w:hyperlink r:id="rId350">
        <w:r>
          <w:rPr>
            <w:rStyle w:val="Hyperlink"/>
            <w:rFonts w:eastAsia="Century Gothic" w:cs="Century Gothic"/>
          </w:rPr>
          <w:t>Community Organization User Guide</w:t>
        </w:r>
      </w:hyperlink>
      <w:r>
        <w:t xml:space="preserve"> </w:t>
      </w:r>
      <w:r>
        <w:rPr>
          <w:rFonts w:eastAsia="Century Gothic" w:cs="Century Gothic"/>
        </w:rPr>
        <w:t xml:space="preserve">– Grant Applicant: </w:t>
      </w:r>
      <w:r>
        <w:br/>
      </w:r>
      <w:r>
        <w:rPr>
          <w:rFonts w:eastAsia="Century Gothic" w:cs="Century Gothic"/>
        </w:rPr>
        <w:t>For community organizations or nonprofits who are interested in learning how to use the platform to illustrate their community’s climate challenges for a grant application.</w:t>
      </w:r>
    </w:p>
    <w:p w14:paraId="076352C2" w14:textId="429D374D" w:rsidR="00DA60A7" w:rsidRDefault="00DA60A7">
      <w:pPr>
        <w:numPr>
          <w:ilvl w:val="0"/>
          <w:numId w:val="15"/>
        </w:numPr>
        <w:spacing w:after="0" w:line="240" w:lineRule="auto"/>
        <w:rPr>
          <w:rFonts w:eastAsia="Century Gothic" w:cs="Century Gothic"/>
        </w:rPr>
      </w:pPr>
      <w:r>
        <w:rPr>
          <w:rFonts w:eastAsia="Century Gothic" w:cs="Century Gothic"/>
        </w:rPr>
        <w:t>Local Planner User Guide</w:t>
      </w:r>
      <w:r>
        <w:t xml:space="preserve"> </w:t>
      </w:r>
      <w:hyperlink r:id="rId351" w:history="1">
        <w:r>
          <w:rPr>
            <w:rStyle w:val="Hyperlink"/>
          </w:rPr>
          <w:t>Part 1</w:t>
        </w:r>
      </w:hyperlink>
      <w:r>
        <w:t xml:space="preserve"> and </w:t>
      </w:r>
      <w:hyperlink r:id="rId352" w:history="1">
        <w:r>
          <w:rPr>
            <w:rStyle w:val="Hyperlink"/>
          </w:rPr>
          <w:t>Part 2</w:t>
        </w:r>
      </w:hyperlink>
    </w:p>
    <w:p w14:paraId="086AA2D7" w14:textId="77777777" w:rsidR="00DA60A7" w:rsidRPr="009A5D2E" w:rsidRDefault="00DA60A7">
      <w:pPr>
        <w:numPr>
          <w:ilvl w:val="1"/>
          <w:numId w:val="15"/>
        </w:numPr>
        <w:tabs>
          <w:tab w:val="clear" w:pos="1440"/>
        </w:tabs>
        <w:spacing w:after="0" w:line="240" w:lineRule="auto"/>
        <w:rPr>
          <w:rFonts w:eastAsia="Century Gothic" w:cs="Century Gothic"/>
        </w:rPr>
      </w:pPr>
      <w:r>
        <w:rPr>
          <w:rFonts w:eastAsia="Century Gothic" w:cs="Century Gothic"/>
        </w:rPr>
        <w:t>SB 379: For city, county, or regional planners who are interested in learning how to use the platform to assess their jurisdiction’s climate vulnerabilities as required by SB 379.</w:t>
      </w:r>
    </w:p>
    <w:p w14:paraId="7DF5B4B8" w14:textId="77777777" w:rsidR="00DA60A7" w:rsidRPr="009A5D2E" w:rsidRDefault="00DA60A7">
      <w:pPr>
        <w:numPr>
          <w:ilvl w:val="1"/>
          <w:numId w:val="15"/>
        </w:numPr>
        <w:tabs>
          <w:tab w:val="clear" w:pos="1440"/>
        </w:tabs>
        <w:spacing w:line="240" w:lineRule="auto"/>
        <w:rPr>
          <w:rFonts w:eastAsia="Century Gothic" w:cs="Century Gothic"/>
        </w:rPr>
      </w:pPr>
      <w:r>
        <w:rPr>
          <w:rFonts w:eastAsia="Century Gothic" w:cs="Century Gothic"/>
        </w:rPr>
        <w:t>Identifying Adaptation Strategies: For planners who are interested in digging a little deeper into the data to inform strategies to build climate resilience.</w:t>
      </w:r>
    </w:p>
    <w:p w14:paraId="29285AFD" w14:textId="7B1F8101" w:rsidR="00F87F11" w:rsidRDefault="006E53B7" w:rsidP="007A35DD">
      <w:r>
        <w:br w:type="page"/>
      </w:r>
    </w:p>
    <w:p w14:paraId="2A588D9D" w14:textId="1D93FC50" w:rsidR="00DA60A7" w:rsidRDefault="00DA60A7" w:rsidP="003000D9">
      <w:pPr>
        <w:pStyle w:val="Heading2"/>
        <w:spacing w:before="160" w:after="160" w:line="240" w:lineRule="auto"/>
      </w:pPr>
      <w:bookmarkStart w:id="233" w:name="_Toc235802742"/>
      <w:r>
        <w:t>Extreme Heat</w:t>
      </w:r>
      <w:bookmarkEnd w:id="233"/>
    </w:p>
    <w:p w14:paraId="25F8333E" w14:textId="51433A11" w:rsidR="003000D9" w:rsidRPr="003000D9" w:rsidRDefault="003000D9" w:rsidP="003000D9">
      <w:pPr>
        <w:pStyle w:val="Heading3"/>
        <w:spacing w:after="160" w:line="240" w:lineRule="auto"/>
      </w:pPr>
      <w:bookmarkStart w:id="234" w:name="_Toc235802743"/>
      <w:r>
        <w:t>LCI’s Climate Data Viewer</w:t>
      </w:r>
      <w:bookmarkEnd w:id="234"/>
    </w:p>
    <w:p w14:paraId="223D795C" w14:textId="60CA79B9" w:rsidR="00DA60A7" w:rsidRPr="00D740C8" w:rsidDel="009A0455" w:rsidRDefault="00D740C8" w:rsidP="000616F5">
      <w:pPr>
        <w:spacing w:before="160" w:line="240" w:lineRule="auto"/>
        <w:rPr>
          <w:b/>
          <w:i/>
        </w:rPr>
      </w:pPr>
      <w:r>
        <w:rPr>
          <w:b/>
          <w:bCs/>
          <w:i/>
          <w:iCs/>
        </w:rPr>
        <w:t>APG Connection: Step 2.1B – 2.1D</w:t>
      </w:r>
    </w:p>
    <w:p w14:paraId="2B65702D" w14:textId="7A5AB382" w:rsidR="00DA60A7" w:rsidRDefault="00664E71" w:rsidP="000616F5">
      <w:pPr>
        <w:spacing w:before="160" w:line="240" w:lineRule="auto"/>
        <w:rPr>
          <w:rFonts w:eastAsia="Century Gothic"/>
        </w:rPr>
      </w:pPr>
      <w:r>
        <w:t xml:space="preserve">The </w:t>
      </w:r>
      <w:hyperlink r:id="rId353" w:history="1">
        <w:r w:rsidR="003000D9" w:rsidRPr="55DEB025">
          <w:rPr>
            <w:rStyle w:val="Hyperlink"/>
          </w:rPr>
          <w:t>Climate Data Viewer</w:t>
        </w:r>
      </w:hyperlink>
      <w:r w:rsidR="003000D9">
        <w:t xml:space="preserve"> </w:t>
      </w:r>
      <w:r>
        <w:t>offers four extreme heat metrics for current and future timeframes</w:t>
      </w:r>
      <w:r>
        <w:rPr>
          <w:rFonts w:eastAsia="Century Gothic"/>
        </w:rPr>
        <w:t>:</w:t>
      </w:r>
    </w:p>
    <w:p w14:paraId="681865C6" w14:textId="3073916B" w:rsidR="001550EE" w:rsidRDefault="003C5184">
      <w:pPr>
        <w:pStyle w:val="ListParagraph"/>
        <w:numPr>
          <w:ilvl w:val="1"/>
          <w:numId w:val="13"/>
        </w:numPr>
        <w:spacing w:before="160" w:line="240" w:lineRule="auto"/>
        <w:rPr>
          <w:rFonts w:eastAsia="Century Gothic"/>
        </w:rPr>
      </w:pPr>
      <w:r>
        <w:rPr>
          <w:rFonts w:eastAsia="Century Gothic"/>
        </w:rPr>
        <w:t xml:space="preserve">Select Extreme Heat from the climate hazard options across the top of the screen. </w:t>
      </w:r>
    </w:p>
    <w:p w14:paraId="4FFBA5EF" w14:textId="45CFC736" w:rsidR="00A942AF" w:rsidRDefault="00A942AF">
      <w:pPr>
        <w:pStyle w:val="ListParagraph"/>
        <w:numPr>
          <w:ilvl w:val="1"/>
          <w:numId w:val="13"/>
        </w:numPr>
        <w:spacing w:before="160" w:line="240" w:lineRule="auto"/>
        <w:rPr>
          <w:rFonts w:eastAsia="Century Gothic"/>
        </w:rPr>
      </w:pPr>
      <w:r>
        <w:rPr>
          <w:rFonts w:eastAsia="Century Gothic"/>
        </w:rPr>
        <w:t>Select either ‘Now’ or the ‘2050’ timeframe from the toggle on the left side of the screen.</w:t>
      </w:r>
    </w:p>
    <w:p w14:paraId="5C2301E0" w14:textId="02170E18" w:rsidR="00FD7001" w:rsidRDefault="00FD7001">
      <w:pPr>
        <w:pStyle w:val="ListParagraph"/>
        <w:numPr>
          <w:ilvl w:val="1"/>
          <w:numId w:val="13"/>
        </w:numPr>
        <w:spacing w:before="160" w:line="240" w:lineRule="auto"/>
        <w:rPr>
          <w:rFonts w:eastAsia="Century Gothic"/>
        </w:rPr>
      </w:pPr>
      <w:r>
        <w:rPr>
          <w:rFonts w:eastAsia="Century Gothic"/>
        </w:rPr>
        <w:t xml:space="preserve">Select a metric from the choices on the panel on the right side of the screen. Look at the Definitions section on the left side of the screen to see exactly what each metric means. </w:t>
      </w:r>
    </w:p>
    <w:p w14:paraId="577B62F1" w14:textId="0CC4AB3C" w:rsidR="00FA132F" w:rsidRPr="00C36E1D" w:rsidRDefault="00BE59EE">
      <w:pPr>
        <w:pStyle w:val="ListParagraph"/>
        <w:numPr>
          <w:ilvl w:val="1"/>
          <w:numId w:val="13"/>
        </w:numPr>
        <w:spacing w:before="160" w:line="240" w:lineRule="auto"/>
        <w:rPr>
          <w:rFonts w:eastAsia="Century Gothic"/>
        </w:rPr>
      </w:pPr>
      <w:r>
        <w:rPr>
          <w:rFonts w:eastAsia="Century Gothic"/>
        </w:rPr>
        <w:t>Enter the location into the search box in the top left corner of the map to zoom in to the location. Click on the desired area to get a pop-up with the exact value for the area. Record the value for the area and take a screenshot of the map for the area if needed, including the legend.</w:t>
      </w:r>
    </w:p>
    <w:p w14:paraId="338EF378" w14:textId="77777777" w:rsidR="00ED0E79" w:rsidRPr="00ED0E79" w:rsidRDefault="00ED0E79" w:rsidP="00ED0E79">
      <w:pPr>
        <w:spacing w:before="160" w:line="240" w:lineRule="auto"/>
        <w:rPr>
          <w:rFonts w:eastAsia="Century Gothic" w:cs="Century Gothic"/>
        </w:rPr>
      </w:pPr>
    </w:p>
    <w:p w14:paraId="72857D7C" w14:textId="31D5F2FF" w:rsidR="00DA60A7" w:rsidRPr="00C36106" w:rsidRDefault="00DA60A7" w:rsidP="00ED0E79">
      <w:pPr>
        <w:pStyle w:val="Heading2"/>
        <w:spacing w:before="160" w:after="160" w:line="240" w:lineRule="auto"/>
      </w:pPr>
      <w:bookmarkStart w:id="235" w:name="_Toc235802744"/>
      <w:r>
        <w:t>Wildfire</w:t>
      </w:r>
      <w:bookmarkEnd w:id="235"/>
    </w:p>
    <w:p w14:paraId="062BE54D" w14:textId="5D7DDCA3" w:rsidR="00DA60A7" w:rsidRPr="009A0455" w:rsidRDefault="00723053" w:rsidP="00ED0E79">
      <w:pPr>
        <w:pStyle w:val="Heading3"/>
        <w:spacing w:after="160" w:line="240" w:lineRule="auto"/>
      </w:pPr>
      <w:hyperlink r:id="rId354">
        <w:bookmarkStart w:id="236" w:name="_Toc235802745"/>
        <w:r>
          <w:rPr>
            <w:rStyle w:val="Heading3Char"/>
            <w:b/>
          </w:rPr>
          <w:t>US Forest Service (USFS) Wildfire Risk to Communities</w:t>
        </w:r>
        <w:bookmarkEnd w:id="236"/>
      </w:hyperlink>
    </w:p>
    <w:p w14:paraId="110EC166" w14:textId="68D663AB" w:rsidR="009C4860" w:rsidRPr="00C5502F" w:rsidRDefault="00D740C8" w:rsidP="00ED0E79">
      <w:pPr>
        <w:spacing w:before="160" w:line="240" w:lineRule="auto"/>
        <w:rPr>
          <w:i/>
          <w:iCs/>
        </w:rPr>
      </w:pPr>
      <w:r>
        <w:rPr>
          <w:b/>
          <w:bCs/>
          <w:i/>
          <w:iCs/>
        </w:rPr>
        <w:t>APG Connection:</w:t>
      </w:r>
      <w:r>
        <w:rPr>
          <w:b/>
          <w:i/>
        </w:rPr>
        <w:t xml:space="preserve"> Steps</w:t>
      </w:r>
      <w:r>
        <w:rPr>
          <w:i/>
          <w:iCs/>
        </w:rPr>
        <w:t xml:space="preserve"> </w:t>
      </w:r>
      <w:r>
        <w:rPr>
          <w:b/>
          <w:i/>
        </w:rPr>
        <w:t>2.1C, 2.2A, 2.2B, 3.3A</w:t>
      </w:r>
    </w:p>
    <w:p w14:paraId="29426F47" w14:textId="7C4F58FB" w:rsidR="00DA60A7" w:rsidRPr="00257630" w:rsidRDefault="00257630" w:rsidP="00ED0E79">
      <w:pPr>
        <w:spacing w:before="160" w:line="240" w:lineRule="auto"/>
        <w:rPr>
          <w:rFonts w:eastAsia="Century Gothic" w:cs="Century Gothic"/>
        </w:rPr>
      </w:pPr>
      <w:hyperlink r:id="rId355" w:history="1">
        <w:r>
          <w:rPr>
            <w:rStyle w:val="Hyperlink"/>
            <w:rFonts w:eastAsia="Century Gothic" w:cs="Century Gothic"/>
          </w:rPr>
          <w:t>Wildfire Risk to Communities</w:t>
        </w:r>
      </w:hyperlink>
      <w:r>
        <w:rPr>
          <w:rFonts w:eastAsia="Century Gothic" w:cs="Century Gothic"/>
        </w:rPr>
        <w:t xml:space="preserve"> has many current wildfire maps that are more detailed than those from CAL FIRE. This includes the annual probability of wildfire, expected wildfire intensity, exposure to communities, and susceptibility of a home or community to be damaged by wildfire.</w:t>
      </w:r>
    </w:p>
    <w:p w14:paraId="74B3B31B" w14:textId="5516B3E3" w:rsidR="00DA60A7" w:rsidRDefault="00DA60A7">
      <w:pPr>
        <w:pStyle w:val="ListParagraph"/>
        <w:numPr>
          <w:ilvl w:val="0"/>
          <w:numId w:val="51"/>
        </w:numPr>
        <w:spacing w:after="0" w:line="240" w:lineRule="auto"/>
        <w:rPr>
          <w:rFonts w:eastAsia="Century Gothic" w:cs="Century Gothic"/>
        </w:rPr>
      </w:pPr>
      <w:r>
        <w:rPr>
          <w:rFonts w:eastAsia="Century Gothic" w:cs="Century Gothic"/>
        </w:rPr>
        <w:t xml:space="preserve">Start on the </w:t>
      </w:r>
      <w:hyperlink r:id="rId356" w:history="1">
        <w:r>
          <w:rPr>
            <w:rStyle w:val="Hyperlink"/>
            <w:rFonts w:eastAsia="Century Gothic" w:cs="Century Gothic"/>
          </w:rPr>
          <w:t>Explore Risk</w:t>
        </w:r>
      </w:hyperlink>
      <w:r>
        <w:rPr>
          <w:rFonts w:eastAsia="Century Gothic" w:cs="Century Gothic"/>
        </w:rPr>
        <w:t xml:space="preserve"> page and enter the desired community into the search bar.</w:t>
      </w:r>
    </w:p>
    <w:p w14:paraId="2CEB1B7B" w14:textId="6706380D" w:rsidR="00DA60A7" w:rsidRPr="00A04FB6" w:rsidRDefault="00046702">
      <w:pPr>
        <w:pStyle w:val="ListParagraph"/>
        <w:numPr>
          <w:ilvl w:val="1"/>
          <w:numId w:val="51"/>
        </w:numPr>
        <w:spacing w:after="0" w:line="240" w:lineRule="auto"/>
        <w:rPr>
          <w:rFonts w:eastAsia="Century Gothic" w:cs="Century Gothic"/>
        </w:rPr>
      </w:pPr>
      <w:r>
        <w:rPr>
          <w:rFonts w:eastAsia="Century Gothic" w:cs="Century Gothic"/>
        </w:rPr>
        <w:t>The display will show an overview of the wildfire risk in the area (High, Medium, Low) and specific maps for risk to homes, risk reduction zones, wildfire likelihood, and vulnerable populations.</w:t>
      </w:r>
    </w:p>
    <w:p w14:paraId="5289FD26" w14:textId="77777777" w:rsidR="00DA60A7" w:rsidRDefault="00DA60A7">
      <w:pPr>
        <w:pStyle w:val="ListParagraph"/>
        <w:numPr>
          <w:ilvl w:val="0"/>
          <w:numId w:val="51"/>
        </w:numPr>
        <w:spacing w:after="0" w:line="240" w:lineRule="auto"/>
        <w:rPr>
          <w:rFonts w:eastAsia="Century Gothic" w:cs="Century Gothic"/>
        </w:rPr>
      </w:pPr>
      <w:r>
        <w:rPr>
          <w:rFonts w:eastAsia="Century Gothic" w:cs="Century Gothic"/>
        </w:rPr>
        <w:t>Wildfire Likelihood</w:t>
      </w:r>
    </w:p>
    <w:p w14:paraId="12C16EE1"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This map displays the probability of a wildfire occurring, taking into account: weather, topography, and ignitions.</w:t>
      </w:r>
    </w:p>
    <w:p w14:paraId="21C75993" w14:textId="6689E4CD" w:rsidR="00DA60A7" w:rsidRDefault="00DA60A7">
      <w:pPr>
        <w:pStyle w:val="ListParagraph"/>
        <w:numPr>
          <w:ilvl w:val="1"/>
          <w:numId w:val="51"/>
        </w:numPr>
        <w:spacing w:after="0" w:line="240" w:lineRule="auto"/>
        <w:rPr>
          <w:rFonts w:eastAsia="Century Gothic" w:cs="Century Gothic"/>
        </w:rPr>
      </w:pPr>
      <w:r>
        <w:rPr>
          <w:rFonts w:eastAsia="Century Gothic" w:cs="Century Gothic"/>
        </w:rPr>
        <w:t>The Low/Med/High designation includes populated areas within 1.5 miles of the boundary of the selected community.</w:t>
      </w:r>
    </w:p>
    <w:p w14:paraId="77C419D7"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Record the Low/Med/High and take a screenshot of the map.</w:t>
      </w:r>
    </w:p>
    <w:p w14:paraId="39204B36" w14:textId="77777777" w:rsidR="00DA60A7" w:rsidRDefault="00DA60A7">
      <w:pPr>
        <w:pStyle w:val="ListParagraph"/>
        <w:numPr>
          <w:ilvl w:val="0"/>
          <w:numId w:val="51"/>
        </w:numPr>
        <w:spacing w:after="0" w:line="240" w:lineRule="auto"/>
        <w:rPr>
          <w:rFonts w:eastAsia="Century Gothic" w:cs="Century Gothic"/>
        </w:rPr>
      </w:pPr>
      <w:r>
        <w:rPr>
          <w:rFonts w:eastAsia="Century Gothic" w:cs="Century Gothic"/>
        </w:rPr>
        <w:t>Risk to Homes</w:t>
      </w:r>
    </w:p>
    <w:p w14:paraId="26F22512"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This map displays the risk of wildfire to residential structures, which comes from the combination of wildfire likelihood (annual probability of the fire occurring) and intensity (how bad the fire will be).</w:t>
      </w:r>
    </w:p>
    <w:p w14:paraId="3284DDD6"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Record the Low/Med/High and take a screenshot of the map.</w:t>
      </w:r>
    </w:p>
    <w:p w14:paraId="2E3F1A5C" w14:textId="77777777" w:rsidR="00DA60A7" w:rsidRDefault="00DA60A7">
      <w:pPr>
        <w:pStyle w:val="ListParagraph"/>
        <w:numPr>
          <w:ilvl w:val="0"/>
          <w:numId w:val="51"/>
        </w:numPr>
        <w:spacing w:after="0" w:line="240" w:lineRule="auto"/>
        <w:rPr>
          <w:rFonts w:eastAsia="Century Gothic" w:cs="Century Gothic"/>
        </w:rPr>
      </w:pPr>
      <w:r>
        <w:rPr>
          <w:rFonts w:eastAsia="Century Gothic" w:cs="Century Gothic"/>
        </w:rPr>
        <w:t>Risk Reduction Zones</w:t>
      </w:r>
    </w:p>
    <w:p w14:paraId="45E2F711"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This map shows the homes that have minimal, indirect, and direct exposure to wildfire. Also calculated is the percentage of buildings in each zone.</w:t>
      </w:r>
    </w:p>
    <w:p w14:paraId="2F2D1122" w14:textId="531B75AC" w:rsidR="00DA60A7" w:rsidRDefault="00DA60A7">
      <w:pPr>
        <w:pStyle w:val="ListParagraph"/>
        <w:numPr>
          <w:ilvl w:val="2"/>
          <w:numId w:val="51"/>
        </w:numPr>
        <w:spacing w:after="0" w:line="240" w:lineRule="auto"/>
        <w:rPr>
          <w:rFonts w:eastAsia="Century Gothic" w:cs="Century Gothic"/>
        </w:rPr>
      </w:pPr>
      <w:r>
        <w:rPr>
          <w:rFonts w:eastAsia="Century Gothic" w:cs="Century Gothic"/>
        </w:rPr>
        <w:t>Knowing what kind of exposure a place has is important because it influences the types of adaptation actions to take. Places with indirect exposure should use wildfire resistant building materials to protect from potential embers during a wildfire. Places with direct exposure due to adjacent flammable vegetation should additionally remove dry grass, fallen trees, dense forests, logs, and shrubs regularly.</w:t>
      </w:r>
    </w:p>
    <w:p w14:paraId="6EF7038A" w14:textId="77777777" w:rsidR="00DA60A7" w:rsidRDefault="00DA60A7">
      <w:pPr>
        <w:pStyle w:val="ListParagraph"/>
        <w:numPr>
          <w:ilvl w:val="1"/>
          <w:numId w:val="51"/>
        </w:numPr>
        <w:spacing w:after="0" w:line="240" w:lineRule="auto"/>
        <w:rPr>
          <w:rFonts w:eastAsia="Century Gothic" w:cs="Century Gothic"/>
        </w:rPr>
      </w:pPr>
      <w:r>
        <w:rPr>
          <w:rFonts w:eastAsia="Century Gothic" w:cs="Century Gothic"/>
        </w:rPr>
        <w:t>Record the percentage of exposed buildings by zone and take a screenshot of the map.</w:t>
      </w:r>
    </w:p>
    <w:p w14:paraId="19EE7F83" w14:textId="77777777" w:rsidR="009C0E38" w:rsidRPr="009C0E38" w:rsidRDefault="009C0E38" w:rsidP="009C0E38">
      <w:pPr>
        <w:spacing w:before="160" w:line="240" w:lineRule="auto"/>
        <w:rPr>
          <w:rFonts w:eastAsia="Century Gothic" w:cs="Century Gothic"/>
        </w:rPr>
      </w:pPr>
    </w:p>
    <w:p w14:paraId="154FBC32" w14:textId="49E29512" w:rsidR="00DA60A7" w:rsidRPr="00774E00" w:rsidRDefault="00DA60A7" w:rsidP="009C0E38">
      <w:pPr>
        <w:pStyle w:val="Heading3"/>
        <w:spacing w:after="160" w:line="240" w:lineRule="auto"/>
        <w:rPr>
          <w:rFonts w:eastAsia="Century Gothic"/>
        </w:rPr>
      </w:pPr>
      <w:bookmarkStart w:id="237" w:name="_Toc235802746"/>
      <w:r>
        <w:rPr>
          <w:rFonts w:eastAsia="Century Gothic"/>
        </w:rPr>
        <w:t>CAL FIRE Historical Fire Perimeters</w:t>
      </w:r>
      <w:bookmarkEnd w:id="237"/>
    </w:p>
    <w:p w14:paraId="2EF395C5" w14:textId="0A6888DC" w:rsidR="00DA60A7" w:rsidRPr="00A04FB6" w:rsidDel="00745FC4" w:rsidRDefault="00D740C8" w:rsidP="009C0E38">
      <w:pPr>
        <w:spacing w:before="160" w:line="240" w:lineRule="auto"/>
        <w:rPr>
          <w:i/>
          <w:iCs/>
        </w:rPr>
      </w:pPr>
      <w:r>
        <w:rPr>
          <w:b/>
          <w:bCs/>
          <w:i/>
          <w:iCs/>
        </w:rPr>
        <w:t>APG Connection: Step</w:t>
      </w:r>
      <w:r>
        <w:rPr>
          <w:i/>
          <w:iCs/>
        </w:rPr>
        <w:t xml:space="preserve"> </w:t>
      </w:r>
      <w:r>
        <w:rPr>
          <w:b/>
          <w:bCs/>
          <w:i/>
          <w:iCs/>
        </w:rPr>
        <w:t>2.1B</w:t>
      </w:r>
    </w:p>
    <w:p w14:paraId="51C5649B" w14:textId="0FF83CE5" w:rsidR="00DA60A7" w:rsidRPr="00426739" w:rsidRDefault="00DA60A7" w:rsidP="009C0E38">
      <w:pPr>
        <w:spacing w:before="160" w:line="240" w:lineRule="auto"/>
        <w:rPr>
          <w:rFonts w:eastAsia="Century Gothic" w:cs="Century Gothic"/>
        </w:rPr>
      </w:pPr>
      <w:hyperlink r:id="rId357">
        <w:r>
          <w:rPr>
            <w:rStyle w:val="Hyperlink"/>
            <w:rFonts w:eastAsia="Century Gothic" w:cs="Century Gothic"/>
            <w:color w:val="3333FF"/>
          </w:rPr>
          <w:t>CAL FIRE’s Historical Fire Perimeters</w:t>
        </w:r>
      </w:hyperlink>
      <w:r>
        <w:t>:</w:t>
      </w:r>
      <w:r>
        <w:rPr>
          <w:rFonts w:eastAsia="Century Gothic" w:cs="Century Gothic"/>
        </w:rPr>
        <w:t xml:space="preserve"> This map shows outlines of all past major fires in the state since 1878.</w:t>
      </w:r>
    </w:p>
    <w:p w14:paraId="1CB1776F" w14:textId="77777777" w:rsidR="00DA60A7" w:rsidRDefault="00DA60A7">
      <w:pPr>
        <w:pStyle w:val="ListParagraph"/>
        <w:numPr>
          <w:ilvl w:val="0"/>
          <w:numId w:val="52"/>
        </w:numPr>
        <w:spacing w:after="0" w:line="240" w:lineRule="auto"/>
        <w:rPr>
          <w:rFonts w:eastAsia="Century Gothic" w:cs="Century Gothic"/>
        </w:rPr>
      </w:pPr>
      <w:r>
        <w:rPr>
          <w:rFonts w:eastAsia="Century Gothic" w:cs="Century Gothic"/>
        </w:rPr>
        <w:t>Historical California Wildfires</w:t>
      </w:r>
    </w:p>
    <w:p w14:paraId="5F3FB118" w14:textId="5F7E2239" w:rsidR="00DA60A7" w:rsidRDefault="00DA60A7">
      <w:pPr>
        <w:pStyle w:val="ListParagraph"/>
        <w:numPr>
          <w:ilvl w:val="1"/>
          <w:numId w:val="52"/>
        </w:numPr>
        <w:spacing w:after="0" w:line="240" w:lineRule="auto"/>
        <w:rPr>
          <w:rFonts w:eastAsia="Century Gothic" w:cs="Century Gothic"/>
        </w:rPr>
      </w:pPr>
      <w:r>
        <w:rPr>
          <w:rFonts w:eastAsia="Century Gothic" w:cs="Century Gothic"/>
        </w:rPr>
        <w:t>Use the search bar or scroll on the map to desired community.</w:t>
      </w:r>
    </w:p>
    <w:p w14:paraId="2979C268" w14:textId="14CDA14B" w:rsidR="00DA60A7" w:rsidRDefault="00DA60A7">
      <w:pPr>
        <w:pStyle w:val="ListParagraph"/>
        <w:numPr>
          <w:ilvl w:val="1"/>
          <w:numId w:val="52"/>
        </w:numPr>
        <w:spacing w:after="0" w:line="240" w:lineRule="auto"/>
        <w:rPr>
          <w:rFonts w:eastAsia="Century Gothic" w:cs="Century Gothic"/>
        </w:rPr>
      </w:pPr>
      <w:r>
        <w:rPr>
          <w:rFonts w:eastAsia="Century Gothic" w:cs="Century Gothic"/>
        </w:rPr>
        <w:t>Record the name and acres burned for all the past fires in or near the community and take a screenshot of the map.</w:t>
      </w:r>
    </w:p>
    <w:p w14:paraId="3F23DDB5" w14:textId="77777777" w:rsidR="00DA60A7" w:rsidRDefault="00DA60A7">
      <w:pPr>
        <w:pStyle w:val="ListParagraph"/>
        <w:numPr>
          <w:ilvl w:val="0"/>
          <w:numId w:val="52"/>
        </w:numPr>
        <w:spacing w:after="0" w:line="240" w:lineRule="auto"/>
        <w:rPr>
          <w:rFonts w:eastAsia="Century Gothic" w:cs="Century Gothic"/>
        </w:rPr>
      </w:pPr>
      <w:r>
        <w:rPr>
          <w:rFonts w:eastAsia="Century Gothic" w:cs="Century Gothic"/>
        </w:rPr>
        <w:t>Times Burned</w:t>
      </w:r>
    </w:p>
    <w:p w14:paraId="5DFD3EFF" w14:textId="77777777" w:rsidR="00DA60A7" w:rsidRDefault="00DA60A7">
      <w:pPr>
        <w:pStyle w:val="ListParagraph"/>
        <w:numPr>
          <w:ilvl w:val="1"/>
          <w:numId w:val="52"/>
        </w:numPr>
        <w:spacing w:after="0" w:line="240" w:lineRule="auto"/>
        <w:rPr>
          <w:rFonts w:eastAsia="Century Gothic" w:cs="Century Gothic"/>
        </w:rPr>
      </w:pPr>
      <w:r>
        <w:rPr>
          <w:rFonts w:eastAsia="Century Gothic" w:cs="Century Gothic"/>
        </w:rPr>
        <w:t>This map shows the number of times a certain area has been burned.</w:t>
      </w:r>
    </w:p>
    <w:p w14:paraId="57669919" w14:textId="2FB18733" w:rsidR="00DA60A7" w:rsidRDefault="00DA60A7">
      <w:pPr>
        <w:pStyle w:val="ListParagraph"/>
        <w:numPr>
          <w:ilvl w:val="1"/>
          <w:numId w:val="52"/>
        </w:numPr>
        <w:spacing w:after="0" w:line="240" w:lineRule="auto"/>
        <w:rPr>
          <w:rFonts w:eastAsia="Century Gothic" w:cs="Century Gothic"/>
        </w:rPr>
      </w:pPr>
      <w:r>
        <w:rPr>
          <w:rFonts w:eastAsia="Century Gothic" w:cs="Century Gothic"/>
        </w:rPr>
        <w:t>Take a screenshot of this map for the community.</w:t>
      </w:r>
    </w:p>
    <w:p w14:paraId="160C3378" w14:textId="77777777" w:rsidR="00DA60A7" w:rsidRDefault="00DA60A7">
      <w:pPr>
        <w:pStyle w:val="ListParagraph"/>
        <w:numPr>
          <w:ilvl w:val="0"/>
          <w:numId w:val="52"/>
        </w:numPr>
        <w:spacing w:after="0" w:line="240" w:lineRule="auto"/>
        <w:rPr>
          <w:rFonts w:eastAsia="Century Gothic" w:cs="Century Gothic"/>
        </w:rPr>
      </w:pPr>
      <w:r>
        <w:rPr>
          <w:rFonts w:eastAsia="Century Gothic" w:cs="Century Gothic"/>
        </w:rPr>
        <w:t>Fire Across Time</w:t>
      </w:r>
    </w:p>
    <w:p w14:paraId="6D1F3ED5" w14:textId="77777777" w:rsidR="00DA60A7" w:rsidRDefault="00DA60A7">
      <w:pPr>
        <w:pStyle w:val="ListParagraph"/>
        <w:numPr>
          <w:ilvl w:val="1"/>
          <w:numId w:val="52"/>
        </w:numPr>
        <w:spacing w:after="0" w:line="240" w:lineRule="auto"/>
        <w:rPr>
          <w:rFonts w:eastAsia="Century Gothic" w:cs="Century Gothic"/>
        </w:rPr>
      </w:pPr>
      <w:r>
        <w:rPr>
          <w:rFonts w:eastAsia="Century Gothic" w:cs="Century Gothic"/>
        </w:rPr>
        <w:t>This video shows how the number and size of annual wildfires have changed over time from 1898 to the present.</w:t>
      </w:r>
    </w:p>
    <w:p w14:paraId="62BA7314" w14:textId="35B0EAF4" w:rsidR="00DA60A7" w:rsidRDefault="00DA60A7">
      <w:pPr>
        <w:pStyle w:val="ListParagraph"/>
        <w:numPr>
          <w:ilvl w:val="1"/>
          <w:numId w:val="52"/>
        </w:numPr>
        <w:spacing w:after="0" w:line="240" w:lineRule="auto"/>
        <w:rPr>
          <w:rFonts w:eastAsia="Century Gothic" w:cs="Century Gothic"/>
        </w:rPr>
      </w:pPr>
      <w:r>
        <w:rPr>
          <w:rFonts w:eastAsia="Century Gothic" w:cs="Century Gothic"/>
        </w:rPr>
        <w:t>It may be difficult to take a screenshot of this map for the area, but observations can still be noted. Are fires becoming more frequent? Bigger?</w:t>
      </w:r>
    </w:p>
    <w:p w14:paraId="4F8AFB58" w14:textId="77777777" w:rsidR="00303AE6" w:rsidRPr="00303AE6" w:rsidRDefault="00303AE6" w:rsidP="00303AE6">
      <w:pPr>
        <w:spacing w:before="160" w:line="240" w:lineRule="auto"/>
        <w:rPr>
          <w:rFonts w:eastAsia="Century Gothic" w:cs="Century Gothic"/>
        </w:rPr>
      </w:pPr>
    </w:p>
    <w:p w14:paraId="25DDB04B" w14:textId="5E755A5D" w:rsidR="00DA60A7" w:rsidRPr="00774E00" w:rsidRDefault="00723053" w:rsidP="00303AE6">
      <w:pPr>
        <w:pStyle w:val="Heading3"/>
        <w:spacing w:after="160" w:line="240" w:lineRule="auto"/>
        <w:rPr>
          <w:rFonts w:eastAsia="Century Gothic"/>
        </w:rPr>
      </w:pPr>
      <w:bookmarkStart w:id="238" w:name="_Toc235802747"/>
      <w:r>
        <w:rPr>
          <w:rFonts w:eastAsia="Century Gothic"/>
        </w:rPr>
        <w:t>Wildfire Smoke Map from Stanford University’s Environmental Hazard Adaptation Atlas</w:t>
      </w:r>
      <w:bookmarkEnd w:id="238"/>
    </w:p>
    <w:p w14:paraId="44C0E18C" w14:textId="02135868" w:rsidR="00DA60A7" w:rsidRPr="00A04FB6" w:rsidDel="00745FC4" w:rsidRDefault="00D740C8" w:rsidP="00303AE6">
      <w:pPr>
        <w:spacing w:before="160" w:line="240" w:lineRule="auto"/>
        <w:rPr>
          <w:i/>
          <w:iCs/>
        </w:rPr>
      </w:pPr>
      <w:r>
        <w:rPr>
          <w:b/>
          <w:bCs/>
          <w:i/>
          <w:iCs/>
        </w:rPr>
        <w:t>APG Connection: Step</w:t>
      </w:r>
      <w:r>
        <w:rPr>
          <w:i/>
          <w:iCs/>
        </w:rPr>
        <w:t xml:space="preserve"> </w:t>
      </w:r>
      <w:r>
        <w:rPr>
          <w:b/>
          <w:bCs/>
          <w:i/>
          <w:iCs/>
        </w:rPr>
        <w:t>2.1B, 2.2A</w:t>
      </w:r>
    </w:p>
    <w:p w14:paraId="36998975" w14:textId="0B9538CD" w:rsidR="00DA60A7" w:rsidRPr="002B654F" w:rsidRDefault="00DA60A7" w:rsidP="00303AE6">
      <w:pPr>
        <w:spacing w:before="160" w:line="240" w:lineRule="auto"/>
        <w:rPr>
          <w:rFonts w:eastAsia="Century Gothic" w:cs="Century Gothic"/>
        </w:rPr>
      </w:pPr>
      <w:hyperlink r:id="rId358" w:anchor="/smoke/wsc/county/5avg">
        <w:r>
          <w:rPr>
            <w:rStyle w:val="Hyperlink"/>
            <w:rFonts w:eastAsia="Century Gothic" w:cs="Century Gothic"/>
            <w:color w:val="3333FF"/>
          </w:rPr>
          <w:t>Standford Wildfire Smoke Map</w:t>
        </w:r>
      </w:hyperlink>
      <w:r>
        <w:rPr>
          <w:rFonts w:eastAsia="Century Gothic" w:cs="Century Gothic"/>
        </w:rPr>
        <w:t>: This map shows the annual average wildfire smoke PM2.5 concentrations by census tract.</w:t>
      </w:r>
    </w:p>
    <w:p w14:paraId="3B3B1FED" w14:textId="5F326D27" w:rsidR="00DA60A7" w:rsidRDefault="00DA60A7">
      <w:pPr>
        <w:pStyle w:val="ListParagraph"/>
        <w:numPr>
          <w:ilvl w:val="0"/>
          <w:numId w:val="53"/>
        </w:numPr>
        <w:spacing w:after="0" w:line="240" w:lineRule="auto"/>
        <w:rPr>
          <w:rFonts w:eastAsia="Century Gothic" w:cs="Century Gothic"/>
        </w:rPr>
      </w:pPr>
      <w:r>
        <w:rPr>
          <w:rFonts w:eastAsia="Century Gothic" w:cs="Century Gothic"/>
        </w:rPr>
        <w:t>Ensure that the Geography selected is Census Tract, and use the search bar at the bottom left corner of the screen to zoom into the community area.</w:t>
      </w:r>
    </w:p>
    <w:p w14:paraId="66449971" w14:textId="77777777" w:rsidR="00DA60A7" w:rsidRDefault="00DA60A7">
      <w:pPr>
        <w:pStyle w:val="ListParagraph"/>
        <w:numPr>
          <w:ilvl w:val="0"/>
          <w:numId w:val="53"/>
        </w:numPr>
        <w:spacing w:after="0" w:line="240" w:lineRule="auto"/>
        <w:rPr>
          <w:rFonts w:eastAsia="Century Gothic" w:cs="Century Gothic"/>
        </w:rPr>
      </w:pPr>
      <w:r>
        <w:rPr>
          <w:rFonts w:eastAsia="Century Gothic" w:cs="Century Gothic"/>
        </w:rPr>
        <w:t>Take a screenshot of the map for Wildfire Smoke Concentration (annual average of wildfire smoke PM2.5), Extreme Smoke Days (number of days above 35 which is the EPA’s 24-hour limit for PM), Smoke Induced Asthma (% increase in emergency department visits for smoke induced asthma), and Smoke Induced Mortality (% increase in annual mortality from wildfire smoke PM2.5).</w:t>
      </w:r>
    </w:p>
    <w:p w14:paraId="70BF75CA" w14:textId="2C925B31" w:rsidR="00DA60A7" w:rsidRDefault="00DA60A7">
      <w:pPr>
        <w:pStyle w:val="ListParagraph"/>
        <w:numPr>
          <w:ilvl w:val="0"/>
          <w:numId w:val="53"/>
        </w:numPr>
        <w:spacing w:after="0" w:line="240" w:lineRule="auto"/>
        <w:rPr>
          <w:rFonts w:eastAsia="Century Gothic" w:cs="Century Gothic"/>
        </w:rPr>
      </w:pPr>
      <w:r>
        <w:rPr>
          <w:rFonts w:eastAsia="Century Gothic" w:cs="Century Gothic"/>
        </w:rPr>
        <w:t>Click on a census tract to see the graphs of each metric for an area.</w:t>
      </w:r>
    </w:p>
    <w:p w14:paraId="7C16BC3E" w14:textId="61F943D3" w:rsidR="00DA60A7" w:rsidRDefault="00DA60A7">
      <w:pPr>
        <w:pStyle w:val="ListParagraph"/>
        <w:numPr>
          <w:ilvl w:val="0"/>
          <w:numId w:val="53"/>
        </w:numPr>
        <w:spacing w:after="0" w:line="240" w:lineRule="auto"/>
        <w:rPr>
          <w:rFonts w:eastAsia="Century Gothic" w:cs="Century Gothic"/>
        </w:rPr>
      </w:pPr>
      <w:r>
        <w:rPr>
          <w:rFonts w:eastAsia="Century Gothic" w:cs="Century Gothic"/>
        </w:rPr>
        <w:t>If the community is small enough to be covered by 1-2 census tracts, take screenshots of these graphs. If not, switch over to the county geography and take screenshots of those graphs instead.</w:t>
      </w:r>
    </w:p>
    <w:p w14:paraId="0F408C17" w14:textId="77777777" w:rsidR="00DA60A7" w:rsidRDefault="00DA60A7" w:rsidP="00303AE6">
      <w:pPr>
        <w:spacing w:before="160" w:line="240" w:lineRule="auto"/>
        <w:rPr>
          <w:rFonts w:eastAsia="Century Gothic" w:cs="Century Gothic"/>
        </w:rPr>
      </w:pPr>
    </w:p>
    <w:p w14:paraId="3A4B01AF" w14:textId="6CD2B0A4" w:rsidR="00DA60A7" w:rsidRPr="006728C9" w:rsidRDefault="00DA60A7" w:rsidP="00303AE6">
      <w:pPr>
        <w:pStyle w:val="Heading3"/>
        <w:spacing w:after="160" w:line="240" w:lineRule="auto"/>
        <w:rPr>
          <w:rFonts w:eastAsia="Century Gothic"/>
        </w:rPr>
      </w:pPr>
      <w:bookmarkStart w:id="239" w:name="_Toc235802748"/>
      <w:r>
        <w:rPr>
          <w:rFonts w:eastAsia="Century Gothic"/>
        </w:rPr>
        <w:t xml:space="preserve">CAL FIRE </w:t>
      </w:r>
      <w:proofErr w:type="spellStart"/>
      <w:r>
        <w:rPr>
          <w:rFonts w:eastAsia="Century Gothic"/>
        </w:rPr>
        <w:t>Fire</w:t>
      </w:r>
      <w:proofErr w:type="spellEnd"/>
      <w:r>
        <w:rPr>
          <w:rFonts w:eastAsia="Century Gothic"/>
        </w:rPr>
        <w:t xml:space="preserve"> Hazard Severity Zones (FHSZs)</w:t>
      </w:r>
      <w:bookmarkEnd w:id="239"/>
    </w:p>
    <w:p w14:paraId="6A8C5A4F" w14:textId="2AE313B8" w:rsidR="00DA60A7" w:rsidRPr="00D740C8" w:rsidDel="00EC38E3" w:rsidRDefault="00D740C8" w:rsidP="00303AE6">
      <w:pPr>
        <w:spacing w:before="160" w:line="240" w:lineRule="auto"/>
        <w:rPr>
          <w:b/>
          <w:i/>
        </w:rPr>
      </w:pPr>
      <w:r>
        <w:rPr>
          <w:b/>
          <w:bCs/>
          <w:i/>
          <w:iCs/>
        </w:rPr>
        <w:t>APG Connection: Step 2.1C</w:t>
      </w:r>
    </w:p>
    <w:p w14:paraId="5258F0C5" w14:textId="75FB3737" w:rsidR="00C36E1D" w:rsidRPr="00C36E1D" w:rsidRDefault="00DA60A7" w:rsidP="00C36E1D">
      <w:pPr>
        <w:spacing w:before="160" w:line="240" w:lineRule="auto"/>
        <w:rPr>
          <w:rFonts w:eastAsia="Century Gothic" w:cs="Century Gothic"/>
        </w:rPr>
      </w:pPr>
      <w:r>
        <w:rPr>
          <w:rFonts w:eastAsia="Century Gothic" w:cs="Century Gothic"/>
        </w:rPr>
        <w:t xml:space="preserve">The VCP’s Climate Vulnerability Map displays FHSZs when wildfire is selected, but if desired, visit </w:t>
      </w:r>
      <w:hyperlink r:id="rId359" w:history="1">
        <w:r>
          <w:rPr>
            <w:rStyle w:val="Hyperlink"/>
            <w:rFonts w:eastAsia="Century Gothic" w:cs="Century Gothic"/>
          </w:rPr>
          <w:t>CAL FIRE’s FHSZ website</w:t>
        </w:r>
      </w:hyperlink>
      <w:r>
        <w:rPr>
          <w:rFonts w:eastAsia="Century Gothic" w:cs="Century Gothic"/>
        </w:rPr>
        <w:t>.</w:t>
      </w:r>
    </w:p>
    <w:p w14:paraId="751C0AE8" w14:textId="77777777" w:rsidR="00C36E1D" w:rsidRDefault="00C36E1D" w:rsidP="00C36E1D"/>
    <w:p w14:paraId="0B090C5C" w14:textId="4FD68E40" w:rsidR="00DA60A7" w:rsidRDefault="00DA60A7" w:rsidP="00303AE6">
      <w:pPr>
        <w:pStyle w:val="Heading2"/>
        <w:spacing w:before="160" w:after="160" w:line="240" w:lineRule="auto"/>
        <w:rPr>
          <w:szCs w:val="36"/>
        </w:rPr>
      </w:pPr>
      <w:bookmarkStart w:id="240" w:name="_Toc235802749"/>
      <w:r>
        <w:rPr>
          <w:szCs w:val="36"/>
        </w:rPr>
        <w:t>Flooding</w:t>
      </w:r>
      <w:bookmarkEnd w:id="240"/>
    </w:p>
    <w:p w14:paraId="752BD1DA" w14:textId="16026619" w:rsidR="00DA60A7" w:rsidRPr="00EC38E3" w:rsidDel="00EC38E3" w:rsidRDefault="00DA60A7" w:rsidP="00303AE6">
      <w:pPr>
        <w:pStyle w:val="Heading3"/>
        <w:spacing w:after="160" w:line="240" w:lineRule="auto"/>
      </w:pPr>
      <w:bookmarkStart w:id="241" w:name="_Toc235802750"/>
      <w:r>
        <w:t>California Department of Water Resources (DWR) Best Available Maps (BAMs)</w:t>
      </w:r>
      <w:bookmarkEnd w:id="241"/>
    </w:p>
    <w:p w14:paraId="2D1E8D62" w14:textId="5E2C3815" w:rsidR="00DA60A7" w:rsidRPr="00A811C0" w:rsidRDefault="00D740C8" w:rsidP="00A811C0">
      <w:pPr>
        <w:spacing w:before="160" w:line="240" w:lineRule="auto"/>
        <w:rPr>
          <w:i/>
        </w:rPr>
      </w:pPr>
      <w:r>
        <w:rPr>
          <w:b/>
          <w:bCs/>
          <w:i/>
          <w:iCs/>
        </w:rPr>
        <w:t>APG Connection:</w:t>
      </w:r>
      <w:r>
        <w:rPr>
          <w:i/>
        </w:rPr>
        <w:t xml:space="preserve"> </w:t>
      </w:r>
      <w:r>
        <w:rPr>
          <w:b/>
          <w:i/>
        </w:rPr>
        <w:t>Steps 2.1C, 2.1D</w:t>
      </w:r>
    </w:p>
    <w:p w14:paraId="0822C5BE" w14:textId="392C709A" w:rsidR="00DA60A7" w:rsidRPr="00B56E6F" w:rsidRDefault="00DA60A7" w:rsidP="00303AE6">
      <w:pPr>
        <w:spacing w:before="160" w:line="240" w:lineRule="auto"/>
        <w:rPr>
          <w:rFonts w:eastAsiaTheme="majorEastAsia" w:cstheme="majorBidi"/>
        </w:rPr>
      </w:pPr>
      <w:hyperlink r:id="rId360">
        <w:r>
          <w:rPr>
            <w:rStyle w:val="Hyperlink"/>
            <w:rFonts w:eastAsia="Century Gothic" w:cs="Century Gothic"/>
            <w:color w:val="3333FF"/>
          </w:rPr>
          <w:t>California Department of Water Resources Best Available Maps (BAM)</w:t>
        </w:r>
      </w:hyperlink>
      <w:r>
        <w:t>:</w:t>
      </w:r>
      <w:r>
        <w:rPr>
          <w:rFonts w:eastAsia="Century Gothic"/>
        </w:rPr>
        <w:t xml:space="preserve"> DWR has put together 100-, 200-, and 500-year floodplain maps </w:t>
      </w:r>
      <w:r w:rsidRPr="008F4025">
        <w:rPr>
          <w:rFonts w:eastAsia="Century Gothic"/>
          <w:color w:val="000000" w:themeColor="text1"/>
        </w:rPr>
        <w:t>through its BAM web viewer</w:t>
      </w:r>
      <w:r>
        <w:rPr>
          <w:rFonts w:eastAsia="Century Gothic"/>
        </w:rPr>
        <w:t>.</w:t>
      </w:r>
    </w:p>
    <w:p w14:paraId="3908B508" w14:textId="2F70574C" w:rsidR="00DA60A7" w:rsidRDefault="000D5474">
      <w:pPr>
        <w:pStyle w:val="ListParagraph"/>
        <w:numPr>
          <w:ilvl w:val="0"/>
          <w:numId w:val="50"/>
        </w:numPr>
        <w:spacing w:after="0" w:line="240" w:lineRule="auto"/>
        <w:rPr>
          <w:rFonts w:eastAsia="Century Gothic" w:cs="Century Gothic"/>
        </w:rPr>
      </w:pPr>
      <w:r>
        <w:rPr>
          <w:rFonts w:eastAsia="Century Gothic" w:cs="Century Gothic"/>
        </w:rPr>
        <w:t>While the VCP uses 100-year floodplains for the present timeframe and 500-year floodplains for the 2050 timeframe flood vulnerability, the exact boundaries of the planning area’s floodplain can be viewed through the BAM tool. While these maps do not represent future climate projections, they provide important information on areas with existing flood exposure and can serve as a baseline for evaluating future flood vulnerability.</w:t>
      </w:r>
    </w:p>
    <w:p w14:paraId="1E15D7CA" w14:textId="1ACF113D" w:rsidR="00DA60A7" w:rsidRDefault="00DA60A7">
      <w:pPr>
        <w:pStyle w:val="ListParagraph"/>
        <w:numPr>
          <w:ilvl w:val="0"/>
          <w:numId w:val="50"/>
        </w:numPr>
        <w:spacing w:after="0" w:line="240" w:lineRule="auto"/>
        <w:rPr>
          <w:rFonts w:eastAsia="Century Gothic" w:cs="Century Gothic"/>
        </w:rPr>
      </w:pPr>
      <w:r>
        <w:rPr>
          <w:rFonts w:eastAsia="Century Gothic" w:cs="Century Gothic"/>
        </w:rPr>
        <w:t>Start by entering a location into the search bar in the top left-hand corner.</w:t>
      </w:r>
    </w:p>
    <w:p w14:paraId="470418BB" w14:textId="53AF2245" w:rsidR="00DA60A7" w:rsidRDefault="00DA60A7">
      <w:pPr>
        <w:pStyle w:val="ListParagraph"/>
        <w:numPr>
          <w:ilvl w:val="0"/>
          <w:numId w:val="50"/>
        </w:numPr>
        <w:spacing w:after="0" w:line="240" w:lineRule="auto"/>
        <w:rPr>
          <w:rFonts w:eastAsia="Century Gothic" w:cs="Century Gothic"/>
        </w:rPr>
      </w:pPr>
      <w:r>
        <w:rPr>
          <w:rFonts w:eastAsia="Century Gothic" w:cs="Century Gothic"/>
        </w:rPr>
        <w:t>Select the ‘Layers’ button at the top of the screen and click the drop-down arrow under the desired floodplain (100-, 200-, and 500-year floodplain).</w:t>
      </w:r>
    </w:p>
    <w:p w14:paraId="03358831" w14:textId="2F6830B7" w:rsidR="00DA60A7" w:rsidRDefault="00C36E1D">
      <w:pPr>
        <w:pStyle w:val="ListParagraph"/>
        <w:numPr>
          <w:ilvl w:val="1"/>
          <w:numId w:val="50"/>
        </w:numPr>
        <w:spacing w:after="0" w:line="240" w:lineRule="auto"/>
        <w:rPr>
          <w:rFonts w:eastAsia="Century Gothic" w:cs="Century Gothic"/>
        </w:rPr>
      </w:pPr>
      <w:r>
        <w:rPr>
          <w:rFonts w:eastAsia="Century Gothic" w:cs="Century Gothic"/>
        </w:rPr>
        <w:t>Select all layers under the dropdown to be able to view them all together under the map. These are floodplains from different sources, including FEMA regulatory maps, DWR awareness maps, and USACE regional studies.</w:t>
      </w:r>
    </w:p>
    <w:p w14:paraId="37B67381" w14:textId="016360A1" w:rsidR="00DA60A7" w:rsidRDefault="00DA60A7">
      <w:pPr>
        <w:pStyle w:val="ListParagraph"/>
        <w:numPr>
          <w:ilvl w:val="0"/>
          <w:numId w:val="50"/>
        </w:numPr>
        <w:spacing w:after="0" w:line="240" w:lineRule="auto"/>
        <w:rPr>
          <w:rFonts w:eastAsia="Century Gothic" w:cs="Century Gothic"/>
        </w:rPr>
      </w:pPr>
      <w:r>
        <w:rPr>
          <w:rFonts w:eastAsia="Century Gothic" w:cs="Century Gothic"/>
        </w:rPr>
        <w:t>Click on ‘Print’ at the top right corner to capture the desired maps with significant risk.</w:t>
      </w:r>
    </w:p>
    <w:p w14:paraId="3CEAF6E8" w14:textId="5DD4D65B" w:rsidR="000C352F" w:rsidRPr="003705ED" w:rsidRDefault="2D2F9F91" w:rsidP="000C352F">
      <w:pPr>
        <w:pStyle w:val="Heading3"/>
        <w:spacing w:after="160" w:line="240" w:lineRule="auto"/>
      </w:pPr>
      <w:bookmarkStart w:id="242" w:name="_Toc235802751"/>
      <w:r>
        <w:t>LCI’s Climate Data Viewer</w:t>
      </w:r>
      <w:bookmarkEnd w:id="242"/>
    </w:p>
    <w:p w14:paraId="1D0EF382" w14:textId="6CAFB21D" w:rsidR="000C352F" w:rsidRDefault="000C352F" w:rsidP="06425140">
      <w:pPr>
        <w:spacing w:before="160" w:line="240" w:lineRule="auto"/>
        <w:rPr>
          <w:rFonts w:eastAsia="Century Gothic"/>
        </w:rPr>
      </w:pPr>
      <w:r>
        <w:t>The Climate Data Viewer offers five flood metrics for current and future timeframes</w:t>
      </w:r>
      <w:r>
        <w:rPr>
          <w:rFonts w:eastAsia="Century Gothic"/>
        </w:rPr>
        <w:t>:</w:t>
      </w:r>
    </w:p>
    <w:p w14:paraId="61A071CE" w14:textId="296CED06" w:rsidR="000C352F" w:rsidRPr="003705ED" w:rsidRDefault="000C352F">
      <w:pPr>
        <w:pStyle w:val="ListParagraph"/>
        <w:numPr>
          <w:ilvl w:val="1"/>
          <w:numId w:val="62"/>
        </w:numPr>
        <w:tabs>
          <w:tab w:val="clear" w:pos="1440"/>
        </w:tabs>
        <w:spacing w:before="160" w:line="240" w:lineRule="auto"/>
        <w:ind w:left="720"/>
        <w:rPr>
          <w:rFonts w:eastAsia="Century Gothic" w:cs="Century Gothic"/>
        </w:rPr>
      </w:pPr>
      <w:r>
        <w:rPr>
          <w:rFonts w:eastAsia="Century Gothic"/>
        </w:rPr>
        <w:t xml:space="preserve">Select Flood from the climate hazard options across the top of the screen and follow the same steps as above in the Extreme Heat section (see pg. </w:t>
      </w:r>
      <w:r>
        <w:fldChar w:fldCharType="begin"/>
      </w:r>
      <w:r>
        <w:instrText xml:space="preserve"> PAGEREF _Toc235190118 \h </w:instrText>
      </w:r>
      <w:r>
        <w:fldChar w:fldCharType="separate"/>
      </w:r>
      <w:r w:rsidR="00517691">
        <w:rPr>
          <w:b/>
          <w:bCs/>
          <w:noProof/>
        </w:rPr>
        <w:t>Error! Bookmark not defined.</w:t>
      </w:r>
      <w:r>
        <w:fldChar w:fldCharType="end"/>
      </w:r>
      <w:r>
        <w:t>).</w:t>
      </w:r>
    </w:p>
    <w:p w14:paraId="3A73CD9D" w14:textId="77777777" w:rsidR="00303AE6" w:rsidRPr="00303AE6" w:rsidRDefault="00303AE6" w:rsidP="00303AE6">
      <w:pPr>
        <w:spacing w:before="160" w:line="240" w:lineRule="auto"/>
        <w:rPr>
          <w:rFonts w:eastAsia="Century Gothic" w:cs="Century Gothic"/>
        </w:rPr>
      </w:pPr>
    </w:p>
    <w:p w14:paraId="6D79DC14" w14:textId="5472EA8E" w:rsidR="00DA60A7" w:rsidRDefault="00DA60A7" w:rsidP="00303AE6">
      <w:pPr>
        <w:pStyle w:val="Heading2"/>
        <w:spacing w:before="160" w:after="160" w:line="240" w:lineRule="auto"/>
        <w:rPr>
          <w:szCs w:val="36"/>
        </w:rPr>
      </w:pPr>
      <w:bookmarkStart w:id="243" w:name="_Toc235802752"/>
      <w:r>
        <w:rPr>
          <w:szCs w:val="36"/>
        </w:rPr>
        <w:t>Sea Level Rise</w:t>
      </w:r>
      <w:bookmarkEnd w:id="243"/>
    </w:p>
    <w:p w14:paraId="76FCCF4B" w14:textId="381DA956" w:rsidR="00DA60A7" w:rsidRDefault="00DA60A7" w:rsidP="00303AE6">
      <w:pPr>
        <w:pStyle w:val="Heading3"/>
        <w:spacing w:after="160" w:line="240" w:lineRule="auto"/>
      </w:pPr>
      <w:bookmarkStart w:id="244" w:name="_Toc235802753"/>
      <w:r>
        <w:t>California Our Coast Our Future (OCOF) Viewer</w:t>
      </w:r>
      <w:bookmarkEnd w:id="244"/>
    </w:p>
    <w:p w14:paraId="5BA95CF7" w14:textId="257ADBC3" w:rsidR="00DA60A7" w:rsidRDefault="0072311C" w:rsidP="00303AE6">
      <w:pPr>
        <w:spacing w:before="160" w:line="240" w:lineRule="auto"/>
        <w:rPr>
          <w:i/>
          <w:iCs/>
        </w:rPr>
      </w:pPr>
      <w:r>
        <w:rPr>
          <w:b/>
          <w:bCs/>
          <w:i/>
          <w:iCs/>
        </w:rPr>
        <w:t>APG Connection:</w:t>
      </w:r>
      <w:r>
        <w:rPr>
          <w:b/>
          <w:i/>
        </w:rPr>
        <w:t xml:space="preserve"> Steps 2.1C, 2.1D</w:t>
      </w:r>
    </w:p>
    <w:p w14:paraId="0B605F27" w14:textId="3D986BA9" w:rsidR="00DA60A7" w:rsidRPr="00342C10" w:rsidRDefault="00DA60A7" w:rsidP="00303AE6">
      <w:pPr>
        <w:spacing w:before="160" w:line="240" w:lineRule="auto"/>
        <w:rPr>
          <w:rFonts w:eastAsiaTheme="majorEastAsia" w:cstheme="majorBidi"/>
        </w:rPr>
      </w:pPr>
      <w:hyperlink r:id="rId361">
        <w:r>
          <w:rPr>
            <w:rStyle w:val="Hyperlink"/>
            <w:rFonts w:eastAsia="Century Gothic" w:cs="Century Gothic"/>
            <w:color w:val="3333FF"/>
          </w:rPr>
          <w:t>California Our Coast Our Future (OCOF) Viewer</w:t>
        </w:r>
      </w:hyperlink>
      <w:r>
        <w:t>:</w:t>
      </w:r>
      <w:r>
        <w:rPr>
          <w:rFonts w:eastAsia="Century Gothic"/>
        </w:rPr>
        <w:t xml:space="preserve"> This web tool shows projections of coastal flooding, erosion, and rising groundwater hazards across different levels of sea level rise, coastal storm frequencies, and other scenarios. The hazard maps come from the U.S. Geological Survey Coastal Storm Modeling System (</w:t>
      </w:r>
      <w:proofErr w:type="spellStart"/>
      <w:r>
        <w:rPr>
          <w:rFonts w:eastAsia="Century Gothic"/>
        </w:rPr>
        <w:t>CoSMoS</w:t>
      </w:r>
      <w:proofErr w:type="spellEnd"/>
      <w:r>
        <w:rPr>
          <w:rFonts w:eastAsia="Century Gothic"/>
        </w:rPr>
        <w:t xml:space="preserve">). </w:t>
      </w:r>
    </w:p>
    <w:p w14:paraId="0B2F1278" w14:textId="5CF0D896" w:rsidR="00DA60A7" w:rsidRDefault="00DA60A7">
      <w:pPr>
        <w:pStyle w:val="ListParagraph"/>
        <w:numPr>
          <w:ilvl w:val="0"/>
          <w:numId w:val="49"/>
        </w:numPr>
        <w:spacing w:after="0" w:line="240" w:lineRule="auto"/>
        <w:rPr>
          <w:rFonts w:eastAsia="Century Gothic" w:cs="Century Gothic"/>
        </w:rPr>
      </w:pPr>
      <w:r>
        <w:rPr>
          <w:rFonts w:eastAsia="Century Gothic" w:cs="Century Gothic"/>
        </w:rPr>
        <w:t xml:space="preserve">Go to </w:t>
      </w:r>
      <w:hyperlink r:id="rId362">
        <w:r>
          <w:rPr>
            <w:rStyle w:val="Hyperlink"/>
            <w:rFonts w:eastAsia="Century Gothic" w:cs="Century Gothic"/>
            <w:color w:val="3333FF"/>
          </w:rPr>
          <w:t>California’s Sea Level Rise Guidance document</w:t>
        </w:r>
      </w:hyperlink>
      <w:r>
        <w:rPr>
          <w:rFonts w:eastAsia="Century Gothic" w:cs="Century Gothic"/>
        </w:rPr>
        <w:t xml:space="preserve"> to see what levels of sea level rise are most applicable to a community.</w:t>
      </w:r>
    </w:p>
    <w:p w14:paraId="27E43B05" w14:textId="68C4D7B7" w:rsidR="00DA60A7" w:rsidRDefault="00DA60A7">
      <w:pPr>
        <w:pStyle w:val="ListParagraph"/>
        <w:numPr>
          <w:ilvl w:val="1"/>
          <w:numId w:val="49"/>
        </w:numPr>
        <w:spacing w:after="0" w:line="240" w:lineRule="auto"/>
        <w:rPr>
          <w:rFonts w:eastAsia="Century Gothic" w:cs="Century Gothic"/>
        </w:rPr>
      </w:pPr>
      <w:r>
        <w:rPr>
          <w:rFonts w:eastAsia="Century Gothic" w:cs="Century Gothic"/>
        </w:rPr>
        <w:t>Go to Appendix 1 (on page 84) and find which tide gauge location is closest.</w:t>
      </w:r>
    </w:p>
    <w:p w14:paraId="79B8F5D8" w14:textId="62946391" w:rsidR="00DA60A7" w:rsidRDefault="00DA60A7">
      <w:pPr>
        <w:pStyle w:val="ListParagraph"/>
        <w:numPr>
          <w:ilvl w:val="1"/>
          <w:numId w:val="49"/>
        </w:numPr>
        <w:spacing w:after="0" w:line="240" w:lineRule="auto"/>
        <w:rPr>
          <w:rFonts w:eastAsia="Century Gothic" w:cs="Century Gothic"/>
        </w:rPr>
      </w:pPr>
      <w:r>
        <w:rPr>
          <w:rFonts w:eastAsia="Century Gothic" w:cs="Century Gothic"/>
        </w:rPr>
        <w:t>Scroll down to the table for that tide gauge. Select the desired sea level rise to evaluate by choosing a year and a scenario.</w:t>
      </w:r>
    </w:p>
    <w:p w14:paraId="47BC672A" w14:textId="07374023" w:rsidR="00DA60A7" w:rsidRDefault="00177D1C">
      <w:pPr>
        <w:pStyle w:val="ListParagraph"/>
        <w:numPr>
          <w:ilvl w:val="2"/>
          <w:numId w:val="49"/>
        </w:numPr>
        <w:spacing w:after="0" w:line="240" w:lineRule="auto"/>
        <w:rPr>
          <w:rFonts w:eastAsia="Century Gothic" w:cs="Century Gothic"/>
        </w:rPr>
      </w:pPr>
      <w:r>
        <w:rPr>
          <w:rFonts w:eastAsia="Century Gothic" w:cs="Century Gothic"/>
        </w:rPr>
        <w:t>A detailed explanation of the scenarios is available starting on page 27. Recommendation: use the intermediate scenario for analysis of the 2020 and 2050 timeframes.</w:t>
      </w:r>
    </w:p>
    <w:p w14:paraId="21CE8E4D" w14:textId="77777777" w:rsidR="00DA60A7" w:rsidRDefault="00DA60A7">
      <w:pPr>
        <w:pStyle w:val="ListParagraph"/>
        <w:numPr>
          <w:ilvl w:val="1"/>
          <w:numId w:val="49"/>
        </w:numPr>
        <w:spacing w:after="0" w:line="240" w:lineRule="auto"/>
        <w:rPr>
          <w:rFonts w:eastAsia="Century Gothic" w:cs="Century Gothic"/>
        </w:rPr>
      </w:pPr>
      <w:r>
        <w:rPr>
          <w:rFonts w:eastAsia="Century Gothic" w:cs="Century Gothic"/>
        </w:rPr>
        <w:t>Record the values.</w:t>
      </w:r>
    </w:p>
    <w:p w14:paraId="2EDA220E" w14:textId="1C4047DC" w:rsidR="00FF21E7" w:rsidRDefault="00DA60A7">
      <w:pPr>
        <w:pStyle w:val="ListParagraph"/>
        <w:numPr>
          <w:ilvl w:val="0"/>
          <w:numId w:val="49"/>
        </w:numPr>
        <w:spacing w:after="0" w:line="240" w:lineRule="auto"/>
        <w:rPr>
          <w:rFonts w:eastAsia="Century Gothic" w:cs="Century Gothic"/>
        </w:rPr>
      </w:pPr>
      <w:r>
        <w:rPr>
          <w:rFonts w:eastAsia="Century Gothic" w:cs="Century Gothic"/>
        </w:rPr>
        <w:t>Next, go to the OCOF viewer and click on the Hazard Map tab.</w:t>
      </w:r>
    </w:p>
    <w:p w14:paraId="17594313" w14:textId="0F40F9C8" w:rsidR="00FF21E7" w:rsidRDefault="00FF21E7">
      <w:pPr>
        <w:pStyle w:val="ListParagraph"/>
        <w:numPr>
          <w:ilvl w:val="1"/>
          <w:numId w:val="49"/>
        </w:numPr>
        <w:spacing w:after="0" w:line="240" w:lineRule="auto"/>
        <w:rPr>
          <w:rFonts w:eastAsia="Century Gothic" w:cs="Century Gothic"/>
        </w:rPr>
      </w:pPr>
      <w:r>
        <w:rPr>
          <w:rFonts w:eastAsia="Century Gothic" w:cs="Century Gothic"/>
        </w:rPr>
        <w:t>Zoom to the area using the search bar on the top left corner.</w:t>
      </w:r>
    </w:p>
    <w:p w14:paraId="0A733821" w14:textId="2EEA3626" w:rsidR="00DA60A7" w:rsidRPr="000911FC" w:rsidRDefault="00DA60A7">
      <w:pPr>
        <w:pStyle w:val="ListParagraph"/>
        <w:numPr>
          <w:ilvl w:val="1"/>
          <w:numId w:val="49"/>
        </w:numPr>
        <w:spacing w:after="0" w:line="240" w:lineRule="auto"/>
        <w:rPr>
          <w:rFonts w:eastAsia="Century Gothic" w:cs="Century Gothic"/>
        </w:rPr>
      </w:pPr>
      <w:r>
        <w:rPr>
          <w:rFonts w:eastAsia="Century Gothic" w:cs="Century Gothic"/>
        </w:rPr>
        <w:t>. Move the sea level rise scale to the desired value (click on ‘use ft’ to switch the values to feet). The scale starts at 0.8ft, so if the first value is too small (like 0.1ft for 2020), use the value for the next desired timeframe. Smaller values are discussed in the next tool.</w:t>
      </w:r>
    </w:p>
    <w:p w14:paraId="1E7DD141" w14:textId="39946424" w:rsidR="00DA60A7" w:rsidRDefault="00DA60A7">
      <w:pPr>
        <w:pStyle w:val="ListParagraph"/>
        <w:numPr>
          <w:ilvl w:val="1"/>
          <w:numId w:val="49"/>
        </w:numPr>
        <w:spacing w:after="0" w:line="240" w:lineRule="auto"/>
        <w:rPr>
          <w:rFonts w:eastAsia="Century Gothic" w:cs="Century Gothic"/>
        </w:rPr>
      </w:pPr>
      <w:r>
        <w:rPr>
          <w:rFonts w:eastAsia="Century Gothic" w:cs="Century Gothic"/>
        </w:rPr>
        <w:t>Start on Flooding (the default scenario topic) and look at what the flood depth map will look like under various storm frequencies for the community.</w:t>
      </w:r>
    </w:p>
    <w:p w14:paraId="5BD17265" w14:textId="068EA535" w:rsidR="00DA60A7" w:rsidRDefault="00DA60A7">
      <w:pPr>
        <w:pStyle w:val="ListParagraph"/>
        <w:numPr>
          <w:ilvl w:val="1"/>
          <w:numId w:val="49"/>
        </w:numPr>
        <w:spacing w:after="0" w:line="240" w:lineRule="auto"/>
        <w:rPr>
          <w:rFonts w:eastAsia="Century Gothic" w:cs="Century Gothic"/>
        </w:rPr>
      </w:pPr>
      <w:r>
        <w:rPr>
          <w:rFonts w:eastAsia="Century Gothic" w:cs="Century Gothic"/>
        </w:rPr>
        <w:t>Take screenshots of the map when there is a significant impact. Look at some of the other scenarios and take screenshots whenever there is a significant impact.</w:t>
      </w:r>
    </w:p>
    <w:p w14:paraId="61DB60DC" w14:textId="2F8D372C" w:rsidR="00547CBD" w:rsidRDefault="00547CBD">
      <w:pPr>
        <w:pStyle w:val="ListParagraph"/>
        <w:numPr>
          <w:ilvl w:val="1"/>
          <w:numId w:val="49"/>
        </w:numPr>
        <w:spacing w:after="0" w:line="240" w:lineRule="auto"/>
        <w:rPr>
          <w:rFonts w:eastAsia="Century Gothic" w:cs="Century Gothic"/>
        </w:rPr>
      </w:pPr>
      <w:r>
        <w:rPr>
          <w:rFonts w:eastAsia="Century Gothic" w:cs="Century Gothic"/>
        </w:rPr>
        <w:t>Consider viewing the “Min/Max Flooding” scenario topic to get a better understanding of the range of potential flood extent for any given SLR/storm scenario.</w:t>
      </w:r>
    </w:p>
    <w:p w14:paraId="5CC57ADA" w14:textId="3129D8FA" w:rsidR="00D775E1" w:rsidRPr="002477A2" w:rsidRDefault="00D775E1">
      <w:pPr>
        <w:pStyle w:val="ListParagraph"/>
        <w:numPr>
          <w:ilvl w:val="0"/>
          <w:numId w:val="49"/>
        </w:numPr>
        <w:spacing w:after="0" w:line="240" w:lineRule="auto"/>
        <w:rPr>
          <w:rFonts w:eastAsia="Century Gothic" w:cs="Century Gothic"/>
        </w:rPr>
      </w:pPr>
      <w:r>
        <w:rPr>
          <w:rFonts w:eastAsia="Century Gothic" w:cs="Century Gothic"/>
        </w:rPr>
        <w:t>In addition to potential flooding resulting from rising seas, the tool shows changing erosion hazards with the Cliff Retreat and Shoreline Position scenario topics, as well as how the Groundwater table may rise and contribute to surface flooding or impact underground assets.</w:t>
      </w:r>
    </w:p>
    <w:p w14:paraId="1F06F11D" w14:textId="77777777" w:rsidR="00D775E1" w:rsidRPr="002477A2" w:rsidRDefault="00D775E1">
      <w:pPr>
        <w:pStyle w:val="ListParagraph"/>
        <w:numPr>
          <w:ilvl w:val="0"/>
          <w:numId w:val="49"/>
        </w:numPr>
        <w:spacing w:after="0" w:line="240" w:lineRule="auto"/>
        <w:rPr>
          <w:rFonts w:eastAsia="Century Gothic" w:cs="Century Gothic"/>
        </w:rPr>
      </w:pPr>
      <w:r>
        <w:rPr>
          <w:rFonts w:eastAsia="Century Gothic" w:cs="Century Gothic"/>
        </w:rPr>
        <w:t xml:space="preserve">Click on the “?” icons in the left panel of the Hazard Map for explanations, explore the Science and Modeling page for helpful context and background information, and explore the Case Studies for example applications. </w:t>
      </w:r>
    </w:p>
    <w:p w14:paraId="4570FF69" w14:textId="27B91661" w:rsidR="0066419B" w:rsidRPr="002477A2" w:rsidRDefault="00D775E1">
      <w:pPr>
        <w:pStyle w:val="ListParagraph"/>
        <w:numPr>
          <w:ilvl w:val="0"/>
          <w:numId w:val="49"/>
        </w:numPr>
        <w:spacing w:after="0" w:line="240" w:lineRule="auto"/>
        <w:rPr>
          <w:rFonts w:eastAsia="Century Gothic" w:cs="Century Gothic"/>
        </w:rPr>
      </w:pPr>
      <w:r>
        <w:rPr>
          <w:rFonts w:eastAsia="Century Gothic" w:cs="Century Gothic"/>
        </w:rPr>
        <w:t xml:space="preserve">Hazard maps are available for download as geospatial (GIS) products. See detailed instructions </w:t>
      </w:r>
      <w:hyperlink r:id="rId363" w:anchor="downloads" w:history="1">
        <w:r>
          <w:rPr>
            <w:rStyle w:val="Hyperlink"/>
            <w:rFonts w:eastAsia="Century Gothic" w:cs="Century Gothic"/>
          </w:rPr>
          <w:t>here</w:t>
        </w:r>
      </w:hyperlink>
      <w:r>
        <w:rPr>
          <w:rFonts w:eastAsia="Century Gothic" w:cs="Century Gothic"/>
        </w:rPr>
        <w:t>.</w:t>
      </w:r>
    </w:p>
    <w:p w14:paraId="5879C689" w14:textId="77777777" w:rsidR="00186FEC" w:rsidRPr="002477A2" w:rsidRDefault="00186FEC" w:rsidP="002477A2">
      <w:pPr>
        <w:spacing w:before="160"/>
        <w:rPr>
          <w:rFonts w:eastAsia="Century Gothic" w:cs="Century Gothic"/>
        </w:rPr>
      </w:pPr>
    </w:p>
    <w:p w14:paraId="6D1CFC8E" w14:textId="77777777" w:rsidR="00186FEC" w:rsidRDefault="00186FEC" w:rsidP="00186FEC">
      <w:pPr>
        <w:pStyle w:val="Heading3"/>
        <w:spacing w:after="160" w:line="240" w:lineRule="auto"/>
      </w:pPr>
      <w:bookmarkStart w:id="245" w:name="_Toc235802754"/>
      <w:r>
        <w:t>U.S. Geological Survey (USGS) Hazard Exposure Reporting and Analytics (HERA) Web Tool</w:t>
      </w:r>
      <w:bookmarkEnd w:id="245"/>
    </w:p>
    <w:p w14:paraId="0C11BF7C" w14:textId="77777777" w:rsidR="00186FEC" w:rsidRPr="00A04FB6" w:rsidDel="00AB159B" w:rsidRDefault="00186FEC" w:rsidP="00186FEC">
      <w:pPr>
        <w:spacing w:before="160" w:line="240" w:lineRule="auto"/>
        <w:rPr>
          <w:i/>
          <w:iCs/>
        </w:rPr>
      </w:pPr>
      <w:r>
        <w:rPr>
          <w:b/>
          <w:bCs/>
          <w:i/>
          <w:iCs/>
        </w:rPr>
        <w:t>APG Connection:</w:t>
      </w:r>
      <w:r>
        <w:rPr>
          <w:b/>
          <w:i/>
        </w:rPr>
        <w:t xml:space="preserve"> Steps</w:t>
      </w:r>
      <w:r>
        <w:rPr>
          <w:i/>
          <w:iCs/>
        </w:rPr>
        <w:t xml:space="preserve"> </w:t>
      </w:r>
      <w:r>
        <w:rPr>
          <w:b/>
          <w:i/>
        </w:rPr>
        <w:t>2.1C, 2.1D</w:t>
      </w:r>
    </w:p>
    <w:p w14:paraId="1FEBC11B" w14:textId="3FD880E4" w:rsidR="00186FEC" w:rsidRDefault="00186FEC" w:rsidP="00186FEC">
      <w:pPr>
        <w:spacing w:before="160" w:line="240" w:lineRule="auto"/>
        <w:rPr>
          <w:rFonts w:eastAsia="Century Gothic" w:cs="Century Gothic"/>
        </w:rPr>
      </w:pPr>
      <w:hyperlink r:id="rId364" w:history="1">
        <w:r>
          <w:rPr>
            <w:rStyle w:val="Hyperlink"/>
            <w:rFonts w:eastAsia="Century Gothic" w:cs="Century Gothic"/>
          </w:rPr>
          <w:t>USGS</w:t>
        </w:r>
        <w:r>
          <w:rPr>
            <w:rStyle w:val="Hyperlink"/>
          </w:rPr>
          <w:t xml:space="preserve"> Hazard Exposure Reporting and Analytics (HERA) web tool</w:t>
        </w:r>
      </w:hyperlink>
      <w:r>
        <w:t>:</w:t>
      </w:r>
      <w:r>
        <w:rPr>
          <w:rFonts w:eastAsia="Century Gothic" w:cs="Century Gothic"/>
        </w:rPr>
        <w:t xml:space="preserve"> This tool contains the same USGS </w:t>
      </w:r>
      <w:proofErr w:type="spellStart"/>
      <w:r>
        <w:rPr>
          <w:rFonts w:eastAsia="Century Gothic" w:cs="Century Gothic"/>
        </w:rPr>
        <w:t>CoSMoS</w:t>
      </w:r>
      <w:proofErr w:type="spellEnd"/>
      <w:r>
        <w:rPr>
          <w:rFonts w:eastAsia="Century Gothic" w:cs="Century Gothic"/>
        </w:rPr>
        <w:t xml:space="preserve"> hazard maps and scenarios as the OCOF viewer, but it provides exposure metrics for a variety of assets, summarized by community and county jurisdictions (Census Designated Place boundaries). For example, it can show how many miles of roads might be flooded under a given SLR/storm scenario. </w:t>
      </w:r>
    </w:p>
    <w:p w14:paraId="325BE01B" w14:textId="5156176E" w:rsidR="00186FEC" w:rsidRDefault="00186FEC">
      <w:pPr>
        <w:pStyle w:val="ListParagraph"/>
        <w:numPr>
          <w:ilvl w:val="0"/>
          <w:numId w:val="65"/>
        </w:numPr>
        <w:spacing w:after="0" w:line="240" w:lineRule="auto"/>
        <w:rPr>
          <w:rFonts w:eastAsia="Century Gothic" w:cs="Century Gothic"/>
        </w:rPr>
      </w:pPr>
      <w:r>
        <w:rPr>
          <w:rFonts w:eastAsia="Century Gothic" w:cs="Century Gothic"/>
        </w:rPr>
        <w:t xml:space="preserve">Determine what levels of sea level rise are most applicable for the community by following the same steps as #1 for the OCOF viewer. </w:t>
      </w:r>
    </w:p>
    <w:p w14:paraId="09B14799" w14:textId="77777777" w:rsidR="00186FEC" w:rsidRDefault="00186FEC">
      <w:pPr>
        <w:pStyle w:val="ListParagraph"/>
        <w:numPr>
          <w:ilvl w:val="0"/>
          <w:numId w:val="65"/>
        </w:numPr>
        <w:spacing w:after="0" w:line="240" w:lineRule="auto"/>
        <w:rPr>
          <w:rFonts w:eastAsia="Century Gothic" w:cs="Century Gothic"/>
        </w:rPr>
      </w:pPr>
      <w:r>
        <w:rPr>
          <w:rFonts w:eastAsia="Century Gothic" w:cs="Century Gothic"/>
        </w:rPr>
        <w:t>From the HERA website, look at flood exposure information by clicking “launch” for the Coastal Flood tool.</w:t>
      </w:r>
    </w:p>
    <w:p w14:paraId="71147F9D" w14:textId="1274B7BA" w:rsidR="00186FEC" w:rsidRDefault="00186FEC">
      <w:pPr>
        <w:pStyle w:val="ListParagraph"/>
        <w:numPr>
          <w:ilvl w:val="0"/>
          <w:numId w:val="65"/>
        </w:numPr>
        <w:spacing w:after="0" w:line="240" w:lineRule="auto"/>
        <w:rPr>
          <w:rFonts w:eastAsia="Century Gothic" w:cs="Century Gothic"/>
        </w:rPr>
      </w:pPr>
      <w:r>
        <w:rPr>
          <w:rFonts w:eastAsia="Century Gothic" w:cs="Century Gothic"/>
        </w:rPr>
        <w:t>Select the community or county of interest under “Choose Your Place(s)”</w:t>
      </w:r>
    </w:p>
    <w:p w14:paraId="3A708B5E" w14:textId="3F6C3914" w:rsidR="00186FEC" w:rsidRDefault="00186FEC">
      <w:pPr>
        <w:pStyle w:val="ListParagraph"/>
        <w:numPr>
          <w:ilvl w:val="0"/>
          <w:numId w:val="65"/>
        </w:numPr>
        <w:spacing w:after="0" w:line="240" w:lineRule="auto"/>
        <w:rPr>
          <w:rFonts w:eastAsia="Century Gothic" w:cs="Century Gothic"/>
        </w:rPr>
      </w:pPr>
      <w:r>
        <w:rPr>
          <w:rFonts w:eastAsia="Century Gothic" w:cs="Century Gothic"/>
        </w:rPr>
        <w:t>Select a sea level rise and storm scenario, and begin with the “most likely” flood hazard</w:t>
      </w:r>
    </w:p>
    <w:p w14:paraId="0A9F6D31" w14:textId="2BFDB39A" w:rsidR="00186FEC" w:rsidRDefault="00186FEC">
      <w:pPr>
        <w:pStyle w:val="ListParagraph"/>
        <w:numPr>
          <w:ilvl w:val="0"/>
          <w:numId w:val="65"/>
        </w:numPr>
        <w:spacing w:after="0" w:line="240" w:lineRule="auto"/>
        <w:rPr>
          <w:rFonts w:eastAsia="Century Gothic" w:cs="Century Gothic"/>
        </w:rPr>
      </w:pPr>
      <w:r>
        <w:rPr>
          <w:rFonts w:eastAsia="Century Gothic" w:cs="Century Gothic"/>
        </w:rPr>
        <w:t xml:space="preserve">Next, select a desired Asset: </w:t>
      </w:r>
    </w:p>
    <w:p w14:paraId="212CB4B0"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Residents (Total Residents, Housing Units)</w:t>
      </w:r>
    </w:p>
    <w:p w14:paraId="4B1C8D24"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Economy (Number of Employees, Parcel Values)</w:t>
      </w:r>
    </w:p>
    <w:p w14:paraId="215F89AD"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Land Type (e.g., forest, wetland, developed)</w:t>
      </w:r>
    </w:p>
    <w:p w14:paraId="69318564"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Transportation (Roads, Railroads)</w:t>
      </w:r>
    </w:p>
    <w:p w14:paraId="2BD73B79"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Critical Facilities (e.g., hospitals, schools, wastewater treatment facilities)</w:t>
      </w:r>
    </w:p>
    <w:p w14:paraId="7B116B3E" w14:textId="2C5F40F3" w:rsidR="00186FEC" w:rsidRDefault="00250857">
      <w:pPr>
        <w:pStyle w:val="ListParagraph"/>
        <w:numPr>
          <w:ilvl w:val="0"/>
          <w:numId w:val="65"/>
        </w:numPr>
        <w:spacing w:after="0" w:line="240" w:lineRule="auto"/>
        <w:rPr>
          <w:rFonts w:eastAsia="Century Gothic" w:cs="Century Gothic"/>
        </w:rPr>
      </w:pPr>
      <w:r>
        <w:rPr>
          <w:rFonts w:eastAsia="Century Gothic" w:cs="Century Gothic"/>
        </w:rPr>
        <w:t>An exposure dashboard should pop up in the lower right below the map. The dashboard can be maximized to see it better, and screenshots can be taken of the summary charts.</w:t>
      </w:r>
    </w:p>
    <w:p w14:paraId="664C2501" w14:textId="722A7191" w:rsidR="00186FEC" w:rsidRDefault="00186FEC">
      <w:pPr>
        <w:pStyle w:val="ListParagraph"/>
        <w:numPr>
          <w:ilvl w:val="1"/>
          <w:numId w:val="65"/>
        </w:numPr>
        <w:spacing w:after="0" w:line="240" w:lineRule="auto"/>
        <w:rPr>
          <w:rFonts w:eastAsia="Century Gothic" w:cs="Century Gothic"/>
        </w:rPr>
      </w:pPr>
      <w:r>
        <w:rPr>
          <w:rFonts w:eastAsia="Century Gothic" w:cs="Century Gothic"/>
        </w:rPr>
        <w:t>Next to “Scale” is a toggle between “Place” and “County” level summaries</w:t>
      </w:r>
    </w:p>
    <w:p w14:paraId="12347E65" w14:textId="77777777" w:rsidR="00186FEC" w:rsidRDefault="00186FEC">
      <w:pPr>
        <w:pStyle w:val="ListParagraph"/>
        <w:numPr>
          <w:ilvl w:val="1"/>
          <w:numId w:val="65"/>
        </w:numPr>
        <w:spacing w:after="0" w:line="240" w:lineRule="auto"/>
        <w:rPr>
          <w:rFonts w:eastAsia="Century Gothic" w:cs="Century Gothic"/>
        </w:rPr>
      </w:pPr>
      <w:r>
        <w:rPr>
          <w:rFonts w:eastAsia="Century Gothic" w:cs="Century Gothic"/>
        </w:rPr>
        <w:t>The View Summary tab summarizes exposure metrics with various charts</w:t>
      </w:r>
    </w:p>
    <w:p w14:paraId="02E192CE" w14:textId="0F12BF2C" w:rsidR="00186FEC" w:rsidRDefault="00186FEC">
      <w:pPr>
        <w:pStyle w:val="ListParagraph"/>
        <w:numPr>
          <w:ilvl w:val="1"/>
          <w:numId w:val="65"/>
        </w:numPr>
        <w:spacing w:after="0" w:line="240" w:lineRule="auto"/>
        <w:rPr>
          <w:rFonts w:eastAsia="Century Gothic" w:cs="Century Gothic"/>
        </w:rPr>
      </w:pPr>
      <w:r>
        <w:rPr>
          <w:rFonts w:eastAsia="Century Gothic" w:cs="Century Gothic"/>
        </w:rPr>
        <w:t>If more than one Place was selected, the Compare Places tab will compare their exposure metrics</w:t>
      </w:r>
    </w:p>
    <w:p w14:paraId="22C99F76" w14:textId="59313D2F" w:rsidR="00186FEC" w:rsidRDefault="00641469">
      <w:pPr>
        <w:pStyle w:val="ListParagraph"/>
        <w:numPr>
          <w:ilvl w:val="1"/>
          <w:numId w:val="65"/>
        </w:numPr>
        <w:spacing w:after="0" w:line="240" w:lineRule="auto"/>
        <w:rPr>
          <w:rFonts w:eastAsia="Century Gothic" w:cs="Century Gothic"/>
        </w:rPr>
      </w:pPr>
      <w:r>
        <w:rPr>
          <w:rFonts w:eastAsia="Century Gothic" w:cs="Century Gothic"/>
        </w:rPr>
        <w:t>View and download the exposure metrics under the View Data Table tab to personalize charts/tables.</w:t>
      </w:r>
    </w:p>
    <w:p w14:paraId="2BF7354E" w14:textId="77777777" w:rsidR="00186FEC" w:rsidRDefault="00186FEC">
      <w:pPr>
        <w:pStyle w:val="ListParagraph"/>
        <w:numPr>
          <w:ilvl w:val="0"/>
          <w:numId w:val="65"/>
        </w:numPr>
        <w:spacing w:after="0" w:line="240" w:lineRule="auto"/>
        <w:rPr>
          <w:rFonts w:eastAsia="Century Gothic" w:cs="Century Gothic"/>
        </w:rPr>
      </w:pPr>
      <w:r>
        <w:rPr>
          <w:rFonts w:eastAsia="Century Gothic" w:cs="Century Gothic"/>
        </w:rPr>
        <w:t>The Coastal Groundwater and Shoreline Change tools function in much the same way as the Coastal Flooding tool</w:t>
      </w:r>
    </w:p>
    <w:p w14:paraId="45C4CE19" w14:textId="77777777" w:rsidR="00186FEC" w:rsidRDefault="00186FEC">
      <w:pPr>
        <w:pStyle w:val="ListParagraph"/>
        <w:numPr>
          <w:ilvl w:val="0"/>
          <w:numId w:val="65"/>
        </w:numPr>
        <w:spacing w:after="0" w:line="240" w:lineRule="auto"/>
        <w:rPr>
          <w:rFonts w:eastAsia="Century Gothic" w:cs="Century Gothic"/>
        </w:rPr>
      </w:pPr>
      <w:r>
        <w:rPr>
          <w:rFonts w:eastAsia="Century Gothic" w:cs="Century Gothic"/>
        </w:rPr>
        <w:t>See the “Get Started” or “Help” tabs on the main menu above the map for more detailed tutorials and assistance</w:t>
      </w:r>
    </w:p>
    <w:p w14:paraId="2A2369FA" w14:textId="6298D45F" w:rsidR="00186FEC" w:rsidRPr="00732309" w:rsidRDefault="00186FEC">
      <w:pPr>
        <w:pStyle w:val="ListParagraph"/>
        <w:numPr>
          <w:ilvl w:val="0"/>
          <w:numId w:val="65"/>
        </w:numPr>
        <w:spacing w:after="0" w:line="240" w:lineRule="auto"/>
        <w:rPr>
          <w:rFonts w:eastAsia="Century Gothic" w:cs="Century Gothic"/>
        </w:rPr>
      </w:pPr>
      <w:r>
        <w:rPr>
          <w:rFonts w:eastAsia="Century Gothic" w:cs="Century Gothic"/>
        </w:rPr>
        <w:t>See the “About” for links to data sources that were used to develop the exposure metrics for specific geography</w:t>
      </w:r>
    </w:p>
    <w:p w14:paraId="0D1E727C" w14:textId="54D4D38F" w:rsidR="00F87F11" w:rsidRDefault="00F87F11" w:rsidP="00727989">
      <w:pPr>
        <w:spacing w:before="160"/>
        <w:rPr>
          <w:rFonts w:eastAsia="Century Gothic" w:cs="Century Gothic"/>
        </w:rPr>
      </w:pPr>
    </w:p>
    <w:p w14:paraId="641ABC7C" w14:textId="7C631762" w:rsidR="00DA60A7" w:rsidRDefault="00DA60A7" w:rsidP="007C3E3D">
      <w:pPr>
        <w:pStyle w:val="Heading3"/>
        <w:spacing w:after="160" w:line="240" w:lineRule="auto"/>
      </w:pPr>
      <w:bookmarkStart w:id="246" w:name="_Toc235802755"/>
      <w:r>
        <w:t>National Oceanic and Atmospheric Administration (NOAA) Sea Level Rise (SLR) Viewer</w:t>
      </w:r>
      <w:bookmarkEnd w:id="246"/>
    </w:p>
    <w:p w14:paraId="70BDDF26" w14:textId="4C369DA4" w:rsidR="00DA60A7" w:rsidRPr="00A04FB6" w:rsidDel="00AB159B" w:rsidRDefault="0072311C" w:rsidP="007C3E3D">
      <w:pPr>
        <w:spacing w:before="160" w:line="240" w:lineRule="auto"/>
        <w:rPr>
          <w:i/>
          <w:iCs/>
        </w:rPr>
      </w:pPr>
      <w:r>
        <w:rPr>
          <w:b/>
          <w:bCs/>
          <w:i/>
          <w:iCs/>
        </w:rPr>
        <w:t>APG Connection:</w:t>
      </w:r>
      <w:r>
        <w:rPr>
          <w:b/>
          <w:i/>
        </w:rPr>
        <w:t xml:space="preserve"> Steps</w:t>
      </w:r>
      <w:r>
        <w:rPr>
          <w:i/>
          <w:iCs/>
        </w:rPr>
        <w:t xml:space="preserve"> </w:t>
      </w:r>
      <w:r>
        <w:rPr>
          <w:b/>
          <w:i/>
        </w:rPr>
        <w:t>2.1C, 2.1D</w:t>
      </w:r>
    </w:p>
    <w:p w14:paraId="3F26A98B" w14:textId="6F1B681A" w:rsidR="00DA60A7" w:rsidRPr="00B6734E" w:rsidRDefault="00DA60A7" w:rsidP="007C3E3D">
      <w:pPr>
        <w:spacing w:before="160" w:line="240" w:lineRule="auto"/>
        <w:rPr>
          <w:rFonts w:eastAsia="Century Gothic" w:cs="Century Gothic"/>
        </w:rPr>
      </w:pPr>
      <w:hyperlink r:id="rId365" w:anchor="/layer/slr/0.5/-13154474.045543376/4003922.977270838/11.388/satellite/none/0.8/2050/interHigh/noAccretion/NOS_Minor">
        <w:r>
          <w:rPr>
            <w:rStyle w:val="Hyperlink"/>
            <w:rFonts w:eastAsia="Century Gothic" w:cs="Century Gothic"/>
            <w:color w:val="3333FF"/>
          </w:rPr>
          <w:t>National Oceanic and Atmospheric Administration (NOAA) SLR Viewer</w:t>
        </w:r>
      </w:hyperlink>
      <w:r>
        <w:t>:</w:t>
      </w:r>
      <w:r>
        <w:rPr>
          <w:rFonts w:eastAsia="Century Gothic" w:cs="Century Gothic"/>
        </w:rPr>
        <w:t xml:space="preserve"> This map is similar to the OCOF viewer, but it covers different scenarios, including marsh migration and high tide flooding.</w:t>
      </w:r>
    </w:p>
    <w:p w14:paraId="49431356" w14:textId="503CE87A" w:rsidR="00DA60A7" w:rsidRDefault="00DA60A7">
      <w:pPr>
        <w:pStyle w:val="ListParagraph"/>
        <w:numPr>
          <w:ilvl w:val="0"/>
          <w:numId w:val="54"/>
        </w:numPr>
        <w:spacing w:after="0" w:line="240" w:lineRule="auto"/>
        <w:rPr>
          <w:rFonts w:eastAsia="Century Gothic" w:cs="Century Gothic"/>
        </w:rPr>
      </w:pPr>
      <w:r>
        <w:rPr>
          <w:rFonts w:eastAsia="Century Gothic" w:cs="Century Gothic"/>
        </w:rPr>
        <w:t>Move the sea level rise scale to the desired value. This scale starts at 0.5ft so it can catch some of the smaller values.</w:t>
      </w:r>
    </w:p>
    <w:p w14:paraId="2D499BEA" w14:textId="055BE467" w:rsidR="00DA60A7" w:rsidRDefault="00DA60A7">
      <w:pPr>
        <w:pStyle w:val="ListParagraph"/>
        <w:numPr>
          <w:ilvl w:val="0"/>
          <w:numId w:val="54"/>
        </w:numPr>
        <w:spacing w:after="0" w:line="240" w:lineRule="auto"/>
        <w:rPr>
          <w:rFonts w:eastAsia="Century Gothic" w:cs="Century Gothic"/>
        </w:rPr>
      </w:pPr>
      <w:r>
        <w:rPr>
          <w:rFonts w:eastAsia="Century Gothic" w:cs="Century Gothic"/>
        </w:rPr>
        <w:t>Zoom to the community using the search bar at the top of the screen. Explore scenarios for Mapping Confidence, Marsh Migration, and High Tide flooding.</w:t>
      </w:r>
    </w:p>
    <w:p w14:paraId="7BEF3965" w14:textId="4B15938B" w:rsidR="00DA60A7" w:rsidRDefault="00DA60A7">
      <w:pPr>
        <w:pStyle w:val="ListParagraph"/>
        <w:numPr>
          <w:ilvl w:val="0"/>
          <w:numId w:val="54"/>
        </w:numPr>
        <w:spacing w:after="0" w:line="240" w:lineRule="auto"/>
        <w:rPr>
          <w:rFonts w:eastAsia="Century Gothic" w:cs="Century Gothic"/>
        </w:rPr>
      </w:pPr>
      <w:r>
        <w:rPr>
          <w:rFonts w:eastAsia="Century Gothic" w:cs="Century Gothic"/>
        </w:rPr>
        <w:t>Take screenshots of the map and record thoughts wherever there are significant impacts.</w:t>
      </w:r>
    </w:p>
    <w:p w14:paraId="01F46015" w14:textId="26D0588B" w:rsidR="00CE407C" w:rsidRDefault="00CE407C" w:rsidP="00F76FD3">
      <w:pPr>
        <w:spacing w:before="160"/>
        <w:rPr>
          <w:rFonts w:eastAsia="Century Gothic" w:cs="Century Gothic"/>
        </w:rPr>
      </w:pPr>
    </w:p>
    <w:p w14:paraId="6AA9F594" w14:textId="310DB41B" w:rsidR="00DA60A7" w:rsidRDefault="00DA60A7" w:rsidP="004F2336">
      <w:pPr>
        <w:pStyle w:val="Heading2"/>
        <w:spacing w:before="160" w:after="160" w:line="240" w:lineRule="auto"/>
        <w:rPr>
          <w:szCs w:val="36"/>
        </w:rPr>
      </w:pPr>
      <w:bookmarkStart w:id="247" w:name="_Toc235802756"/>
      <w:r>
        <w:rPr>
          <w:szCs w:val="36"/>
        </w:rPr>
        <w:t>Drought</w:t>
      </w:r>
      <w:bookmarkEnd w:id="247"/>
    </w:p>
    <w:p w14:paraId="153F1A37" w14:textId="56926965" w:rsidR="00DA60A7" w:rsidRDefault="00DA60A7" w:rsidP="004F2336">
      <w:pPr>
        <w:pStyle w:val="Heading3"/>
        <w:spacing w:after="160" w:line="240" w:lineRule="auto"/>
      </w:pPr>
      <w:bookmarkStart w:id="248" w:name="_Toc235802757"/>
      <w:r>
        <w:t>DWR Water Shortage Vulnerability Tool</w:t>
      </w:r>
      <w:bookmarkEnd w:id="248"/>
    </w:p>
    <w:p w14:paraId="30DD7597" w14:textId="00204A79" w:rsidR="00DA60A7" w:rsidRPr="00A04FB6" w:rsidDel="001952A0" w:rsidRDefault="0072311C" w:rsidP="004F2336">
      <w:pPr>
        <w:spacing w:before="160" w:line="240" w:lineRule="auto"/>
        <w:rPr>
          <w:i/>
          <w:iCs/>
        </w:rPr>
      </w:pPr>
      <w:r>
        <w:rPr>
          <w:b/>
          <w:bCs/>
          <w:i/>
          <w:iCs/>
        </w:rPr>
        <w:t>APG Connection:</w:t>
      </w:r>
      <w:r>
        <w:rPr>
          <w:i/>
          <w:iCs/>
        </w:rPr>
        <w:t xml:space="preserve"> </w:t>
      </w:r>
      <w:r>
        <w:rPr>
          <w:b/>
          <w:i/>
        </w:rPr>
        <w:t>Steps 2.1C, 2.1D, 2.2A</w:t>
      </w:r>
    </w:p>
    <w:p w14:paraId="3AF4F1E1" w14:textId="001567C4" w:rsidR="00DA60A7" w:rsidRPr="00257630" w:rsidRDefault="00DA60A7" w:rsidP="004F2336">
      <w:pPr>
        <w:spacing w:before="160" w:line="240" w:lineRule="auto"/>
        <w:rPr>
          <w:rFonts w:eastAsiaTheme="majorEastAsia" w:cstheme="majorBidi"/>
        </w:rPr>
      </w:pPr>
      <w:hyperlink r:id="rId366">
        <w:r>
          <w:rPr>
            <w:rStyle w:val="Hyperlink"/>
            <w:rFonts w:eastAsia="Century Gothic" w:cs="Century Gothic"/>
            <w:color w:val="3333FF"/>
          </w:rPr>
          <w:t>DWR Water Shortage Vulnerability Tool</w:t>
        </w:r>
      </w:hyperlink>
      <w:r>
        <w:t>:</w:t>
      </w:r>
      <w:r>
        <w:rPr>
          <w:rFonts w:eastAsia="Century Gothic"/>
          <w:i/>
          <w:iCs/>
        </w:rPr>
        <w:t xml:space="preserve"> </w:t>
      </w:r>
      <w:r>
        <w:rPr>
          <w:rFonts w:eastAsia="Century Gothic"/>
        </w:rPr>
        <w:t>This dashboard combines climate impacts, water infrastructure, and reported shortages data to paint a picture of water shortage vulnerability in an area. This type of vulnerability puts communities at especially high risk in the event of drought conditions.</w:t>
      </w:r>
    </w:p>
    <w:p w14:paraId="61F01E47" w14:textId="10FEE887" w:rsidR="00DA60A7" w:rsidRDefault="00DA60A7">
      <w:pPr>
        <w:pStyle w:val="ListParagraph"/>
        <w:numPr>
          <w:ilvl w:val="0"/>
          <w:numId w:val="48"/>
        </w:numPr>
        <w:spacing w:after="0" w:line="240" w:lineRule="auto"/>
        <w:rPr>
          <w:rFonts w:eastAsia="Century Gothic" w:cs="Century Gothic"/>
        </w:rPr>
      </w:pPr>
      <w:r>
        <w:rPr>
          <w:rFonts w:eastAsia="Century Gothic" w:cs="Century Gothic"/>
        </w:rPr>
        <w:t>First, select the county that the community is in using the top left search bar.</w:t>
      </w:r>
    </w:p>
    <w:p w14:paraId="53C665F4" w14:textId="1E2B4F1A" w:rsidR="00DA60A7" w:rsidRDefault="00DA60A7">
      <w:pPr>
        <w:pStyle w:val="ListParagraph"/>
        <w:numPr>
          <w:ilvl w:val="0"/>
          <w:numId w:val="48"/>
        </w:numPr>
        <w:spacing w:after="0" w:line="240" w:lineRule="auto"/>
        <w:rPr>
          <w:rFonts w:eastAsia="Century Gothic" w:cs="Century Gothic"/>
        </w:rPr>
      </w:pPr>
      <w:r>
        <w:rPr>
          <w:rFonts w:eastAsia="Century Gothic" w:cs="Century Gothic"/>
        </w:rPr>
        <w:t>The default layer turned on is the ‘Physical Vulnerability Index’. This is the combination of all the datasets in the dashboard.</w:t>
      </w:r>
    </w:p>
    <w:p w14:paraId="7D422B83" w14:textId="5373F323" w:rsidR="00DA60A7" w:rsidRDefault="00B07861">
      <w:pPr>
        <w:pStyle w:val="ListParagraph"/>
        <w:numPr>
          <w:ilvl w:val="0"/>
          <w:numId w:val="48"/>
        </w:numPr>
        <w:spacing w:after="0" w:line="240" w:lineRule="auto"/>
        <w:rPr>
          <w:rFonts w:eastAsia="Century Gothic" w:cs="Century Gothic"/>
        </w:rPr>
      </w:pPr>
      <w:r>
        <w:rPr>
          <w:rFonts w:eastAsia="Century Gothic" w:cs="Century Gothic"/>
        </w:rPr>
        <w:t>The bottom of the screen shows the number of State Small Water Systems, Domestic Wells, and the average Physical Vulnerability score. Record these numbers.</w:t>
      </w:r>
    </w:p>
    <w:p w14:paraId="6E8C33AD" w14:textId="1060A664" w:rsidR="00DA60A7" w:rsidRDefault="00DA60A7">
      <w:pPr>
        <w:pStyle w:val="ListParagraph"/>
        <w:numPr>
          <w:ilvl w:val="0"/>
          <w:numId w:val="48"/>
        </w:numPr>
        <w:spacing w:after="0" w:line="240" w:lineRule="auto"/>
        <w:rPr>
          <w:rFonts w:eastAsia="Century Gothic" w:cs="Century Gothic"/>
        </w:rPr>
      </w:pPr>
      <w:r>
        <w:rPr>
          <w:rFonts w:eastAsia="Century Gothic" w:cs="Century Gothic"/>
        </w:rPr>
        <w:t>State small water systems serve 5-14 connections; these in combination with domestic wells are often the most vulnerable water provider types. Use the specific layers in the layer legend on the right side of the screen to see exactly where these are located. Take a screenshot of these two maps if there is a significant number in the community.</w:t>
      </w:r>
    </w:p>
    <w:p w14:paraId="13A7740E" w14:textId="093432F2" w:rsidR="00DA60A7" w:rsidRDefault="00DA60A7">
      <w:pPr>
        <w:pStyle w:val="ListParagraph"/>
        <w:numPr>
          <w:ilvl w:val="0"/>
          <w:numId w:val="48"/>
        </w:numPr>
        <w:spacing w:after="0" w:line="240" w:lineRule="auto"/>
        <w:rPr>
          <w:rFonts w:eastAsia="Century Gothic" w:cs="Century Gothic"/>
        </w:rPr>
      </w:pPr>
      <w:r>
        <w:rPr>
          <w:rFonts w:eastAsia="Century Gothic" w:cs="Century Gothic"/>
        </w:rPr>
        <w:t>Look through the other layers and see which ones have interesting results in the area. Click on the list icon at the right side of a layer to see the legend for the layer to understand what the colors mean. Go to the tutorial page on the top left side of the screen for more details about what each layer means. Take a screenshot of the maps that are most important for the area and record observations. All of this information is also included in the Climate and Environmental Data Source page of the VCP.</w:t>
      </w:r>
    </w:p>
    <w:p w14:paraId="3BB223F4" w14:textId="5A98EADD" w:rsidR="00DA60A7" w:rsidRDefault="00DA60A7" w:rsidP="00BB5ACB">
      <w:pPr>
        <w:spacing w:line="240" w:lineRule="auto"/>
      </w:pPr>
    </w:p>
    <w:p w14:paraId="44420703" w14:textId="77777777" w:rsidR="00DE207B" w:rsidRDefault="00DE207B" w:rsidP="00BB5ACB">
      <w:pPr>
        <w:spacing w:line="240" w:lineRule="auto"/>
      </w:pPr>
    </w:p>
    <w:p w14:paraId="3413D9CE" w14:textId="3293230A" w:rsidR="000A603F" w:rsidRPr="003705ED" w:rsidRDefault="79225C82" w:rsidP="000A603F">
      <w:pPr>
        <w:pStyle w:val="Heading3"/>
        <w:spacing w:after="160" w:line="240" w:lineRule="auto"/>
      </w:pPr>
      <w:bookmarkStart w:id="249" w:name="_Toc235802758"/>
      <w:r>
        <w:t>LCI’s Climate Data Viewer</w:t>
      </w:r>
      <w:bookmarkEnd w:id="249"/>
    </w:p>
    <w:p w14:paraId="789773E6" w14:textId="431DE704" w:rsidR="000A603F" w:rsidRDefault="000A603F" w:rsidP="06425140">
      <w:pPr>
        <w:spacing w:before="160" w:line="240" w:lineRule="auto"/>
        <w:rPr>
          <w:rFonts w:eastAsia="Century Gothic"/>
        </w:rPr>
      </w:pPr>
      <w:r>
        <w:t>The Climate Data Viewer offers five drought metrics for current and future timeframes</w:t>
      </w:r>
      <w:r>
        <w:rPr>
          <w:rFonts w:eastAsia="Century Gothic"/>
        </w:rPr>
        <w:t>:</w:t>
      </w:r>
    </w:p>
    <w:p w14:paraId="65462401" w14:textId="163C880E" w:rsidR="000A603F" w:rsidRPr="003705ED" w:rsidRDefault="000A603F">
      <w:pPr>
        <w:pStyle w:val="ListParagraph"/>
        <w:numPr>
          <w:ilvl w:val="1"/>
          <w:numId w:val="63"/>
        </w:numPr>
        <w:tabs>
          <w:tab w:val="clear" w:pos="1440"/>
        </w:tabs>
        <w:spacing w:before="160" w:line="240" w:lineRule="auto"/>
        <w:ind w:left="720"/>
        <w:rPr>
          <w:rFonts w:eastAsia="Century Gothic" w:cs="Century Gothic"/>
        </w:rPr>
      </w:pPr>
      <w:r>
        <w:rPr>
          <w:rFonts w:eastAsia="Century Gothic"/>
        </w:rPr>
        <w:t>Select Drought from the climate hazard options across the top of the screen and follow the same steps as above in the Extreme Heat section (see pg. XXX).</w:t>
      </w:r>
    </w:p>
    <w:p w14:paraId="2D479EA1" w14:textId="77777777" w:rsidR="00DE207B" w:rsidRDefault="00DE207B" w:rsidP="00BB5ACB">
      <w:pPr>
        <w:spacing w:line="240" w:lineRule="auto"/>
      </w:pPr>
    </w:p>
    <w:p w14:paraId="4B909C7A" w14:textId="77777777" w:rsidR="00B75986" w:rsidRDefault="00B75986" w:rsidP="00BB5ACB">
      <w:pPr>
        <w:spacing w:line="240" w:lineRule="auto"/>
      </w:pPr>
    </w:p>
    <w:p w14:paraId="461742FC" w14:textId="77777777" w:rsidR="00B75986" w:rsidRDefault="00B75986" w:rsidP="00BB5ACB">
      <w:pPr>
        <w:spacing w:line="240" w:lineRule="auto"/>
      </w:pPr>
    </w:p>
    <w:p w14:paraId="5255B36E" w14:textId="77777777" w:rsidR="00B75986" w:rsidRDefault="00B75986" w:rsidP="00B75986">
      <w:pPr>
        <w:spacing w:line="240" w:lineRule="auto"/>
        <w:sectPr w:rsidR="00B75986" w:rsidSect="00B75986">
          <w:pgSz w:w="12240" w:h="15840"/>
          <w:pgMar w:top="1440" w:right="1440" w:bottom="1440" w:left="1440" w:header="720" w:footer="720" w:gutter="0"/>
          <w:cols w:space="720"/>
          <w:docGrid w:linePitch="360"/>
        </w:sectPr>
      </w:pPr>
    </w:p>
    <w:p w14:paraId="3CD15216" w14:textId="77777777" w:rsidR="00B75986" w:rsidRDefault="00B75986" w:rsidP="00B75986">
      <w:pPr>
        <w:pStyle w:val="Heading1"/>
      </w:pPr>
      <w:bookmarkStart w:id="250" w:name="_Toc235802759"/>
      <w:r>
        <w:t>APPENDIX C: WORKSHEETS</w:t>
      </w:r>
      <w:bookmarkEnd w:id="250"/>
    </w:p>
    <w:p w14:paraId="4546E8A3" w14:textId="77777777" w:rsidR="00B75986" w:rsidRDefault="00B75986" w:rsidP="00B75986">
      <w:pPr>
        <w:pStyle w:val="BodyText"/>
        <w:spacing w:line="240" w:lineRule="auto"/>
      </w:pPr>
    </w:p>
    <w:tbl>
      <w:tblPr>
        <w:tblStyle w:val="TableGrid"/>
        <w:tblW w:w="0" w:type="auto"/>
        <w:jc w:val="center"/>
        <w:tblLook w:val="04A0" w:firstRow="1" w:lastRow="0" w:firstColumn="1" w:lastColumn="0" w:noHBand="0" w:noVBand="1"/>
      </w:tblPr>
      <w:tblGrid>
        <w:gridCol w:w="10440"/>
      </w:tblGrid>
      <w:tr w:rsidR="00B75986" w:rsidRPr="00157F24" w14:paraId="581A669B" w14:textId="77777777">
        <w:trPr>
          <w:trHeight w:val="576"/>
          <w:jc w:val="center"/>
        </w:trPr>
        <w:tc>
          <w:tcPr>
            <w:tcW w:w="10440" w:type="dxa"/>
            <w:tcBorders>
              <w:top w:val="nil"/>
              <w:left w:val="nil"/>
              <w:bottom w:val="nil"/>
              <w:right w:val="nil"/>
            </w:tcBorders>
            <w:shd w:val="clear" w:color="auto" w:fill="14581C"/>
            <w:vAlign w:val="center"/>
          </w:tcPr>
          <w:p w14:paraId="4C579C77" w14:textId="77777777" w:rsidR="00B75986" w:rsidRPr="00157F24" w:rsidRDefault="00B75986">
            <w:pPr>
              <w:rPr>
                <w:b/>
                <w:bCs/>
                <w:color w:val="FFFFFF" w:themeColor="background1"/>
              </w:rPr>
            </w:pPr>
            <w:r>
              <w:rPr>
                <w:b/>
                <w:bCs/>
                <w:color w:val="FFFFFF" w:themeColor="background1"/>
              </w:rPr>
              <w:t>How to Use This Appendix</w:t>
            </w:r>
          </w:p>
        </w:tc>
      </w:tr>
      <w:tr w:rsidR="00B75986" w14:paraId="0995522E" w14:textId="77777777">
        <w:trPr>
          <w:jc w:val="center"/>
        </w:trPr>
        <w:tc>
          <w:tcPr>
            <w:tcW w:w="10440" w:type="dxa"/>
            <w:tcBorders>
              <w:top w:val="nil"/>
              <w:left w:val="nil"/>
              <w:bottom w:val="nil"/>
              <w:right w:val="nil"/>
            </w:tcBorders>
            <w:shd w:val="clear" w:color="auto" w:fill="C2F1C8"/>
          </w:tcPr>
          <w:p w14:paraId="07DF3F4C" w14:textId="77777777" w:rsidR="00B75986" w:rsidRPr="00B73914" w:rsidRDefault="00B75986">
            <w:pPr>
              <w:spacing w:before="120" w:after="160"/>
              <w:jc w:val="center"/>
            </w:pPr>
            <w:r>
              <w:t>This Appendix contains all optional worksheets referenced throughout Phases 1-4. Each worksheet is labeled with a reference to the step.</w:t>
            </w:r>
          </w:p>
          <w:p w14:paraId="1A8C0B2C" w14:textId="21A6F3E9" w:rsidR="00B75986" w:rsidRDefault="00B75986">
            <w:pPr>
              <w:spacing w:before="160" w:after="120"/>
              <w:jc w:val="center"/>
            </w:pPr>
            <w:r>
              <w:t>Print the relevant worksheets when working through each phase, or complete them digitally. They are designed to be filled in directly.</w:t>
            </w:r>
          </w:p>
        </w:tc>
      </w:tr>
    </w:tbl>
    <w:p w14:paraId="407E7538" w14:textId="77777777" w:rsidR="00B75986" w:rsidRDefault="00B75986" w:rsidP="00B75986">
      <w:pPr>
        <w:pStyle w:val="BodyText"/>
        <w:spacing w:line="240" w:lineRule="auto"/>
      </w:pPr>
    </w:p>
    <w:p w14:paraId="4E63BC43" w14:textId="77777777" w:rsidR="00B75986" w:rsidRDefault="00B75986" w:rsidP="00B75986">
      <w:pPr>
        <w:spacing w:line="240" w:lineRule="auto"/>
      </w:pPr>
      <w:r>
        <w:br w:type="page"/>
      </w:r>
    </w:p>
    <w:p w14:paraId="633A24CA" w14:textId="624ED3EF" w:rsidR="00B75986" w:rsidRPr="00EE4F23" w:rsidRDefault="007A42DA" w:rsidP="00B75986">
      <w:pPr>
        <w:pStyle w:val="Heading2"/>
        <w:spacing w:before="160" w:after="160" w:line="240" w:lineRule="auto"/>
        <w:rPr>
          <w:rFonts w:eastAsia="Century Gothic"/>
          <w:i/>
          <w:iCs/>
        </w:rPr>
      </w:pPr>
      <w:bookmarkStart w:id="251" w:name="_Ref230248798"/>
      <w:bookmarkStart w:id="252" w:name="_Ref230248930"/>
      <w:bookmarkStart w:id="253" w:name="_Ref230255891"/>
      <w:bookmarkStart w:id="254" w:name="_Toc235802760"/>
      <w:r>
        <w:rPr>
          <w:rFonts w:eastAsia="Century Gothic"/>
        </w:rPr>
        <w:t>Partner Mapping</w:t>
      </w:r>
      <w:bookmarkEnd w:id="251"/>
      <w:bookmarkEnd w:id="252"/>
      <w:bookmarkEnd w:id="253"/>
      <w:bookmarkEnd w:id="254"/>
    </w:p>
    <w:p w14:paraId="48A23A0A" w14:textId="77777777" w:rsidR="00B75986" w:rsidRPr="00294A5E" w:rsidRDefault="00B75986" w:rsidP="00B75986">
      <w:pPr>
        <w:spacing w:before="160" w:line="240" w:lineRule="auto"/>
        <w:rPr>
          <w:b/>
          <w:i/>
        </w:rPr>
      </w:pPr>
      <w:r>
        <w:rPr>
          <w:b/>
          <w:i/>
        </w:rPr>
        <w:t>Used in Step 1.3A</w:t>
      </w:r>
    </w:p>
    <w:p w14:paraId="1299779D" w14:textId="3356D7BB" w:rsidR="00B75986" w:rsidRPr="000C724C" w:rsidRDefault="00B75986" w:rsidP="00B75986">
      <w:pPr>
        <w:spacing w:before="160" w:line="240" w:lineRule="auto"/>
      </w:pPr>
      <w:r>
        <w:t>For each partner organization, record their interest in the plan, intended role, preferred engagement format, and frequency.</w:t>
      </w:r>
    </w:p>
    <w:tbl>
      <w:tblPr>
        <w:tblW w:w="12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stakeholder mapping"/>
        <w:tblDescription w:val="fillable table to record and track your own stakeholder groups "/>
      </w:tblPr>
      <w:tblGrid>
        <w:gridCol w:w="2477"/>
        <w:gridCol w:w="2558"/>
        <w:gridCol w:w="3330"/>
        <w:gridCol w:w="1980"/>
        <w:gridCol w:w="2048"/>
      </w:tblGrid>
      <w:tr w:rsidR="00B75986" w:rsidRPr="00EE4F23" w14:paraId="491F7015" w14:textId="77777777">
        <w:tc>
          <w:tcPr>
            <w:tcW w:w="2477" w:type="dxa"/>
            <w:tcMar>
              <w:top w:w="80" w:type="dxa"/>
              <w:left w:w="120" w:type="dxa"/>
              <w:bottom w:w="80" w:type="dxa"/>
              <w:right w:w="120" w:type="dxa"/>
            </w:tcMar>
            <w:vAlign w:val="center"/>
          </w:tcPr>
          <w:p w14:paraId="248E7DAE" w14:textId="663D8F9A" w:rsidR="00B75986" w:rsidRPr="00EE4F23" w:rsidRDefault="007A42DA">
            <w:pPr>
              <w:spacing w:after="0" w:line="240" w:lineRule="auto"/>
              <w:jc w:val="center"/>
            </w:pPr>
            <w:r>
              <w:rPr>
                <w:b/>
                <w:bCs/>
              </w:rPr>
              <w:t>Partner Organization</w:t>
            </w:r>
          </w:p>
        </w:tc>
        <w:tc>
          <w:tcPr>
            <w:tcW w:w="2558" w:type="dxa"/>
            <w:tcMar>
              <w:top w:w="80" w:type="dxa"/>
              <w:left w:w="120" w:type="dxa"/>
              <w:bottom w:w="80" w:type="dxa"/>
              <w:right w:w="120" w:type="dxa"/>
            </w:tcMar>
            <w:vAlign w:val="center"/>
          </w:tcPr>
          <w:p w14:paraId="0978462B" w14:textId="77777777" w:rsidR="00B75986" w:rsidRPr="00EE4F23" w:rsidRDefault="00B75986">
            <w:pPr>
              <w:spacing w:after="0" w:line="240" w:lineRule="auto"/>
              <w:jc w:val="center"/>
            </w:pPr>
            <w:r>
              <w:rPr>
                <w:b/>
                <w:bCs/>
              </w:rPr>
              <w:t>Interest/ Connection to Plan</w:t>
            </w:r>
          </w:p>
        </w:tc>
        <w:tc>
          <w:tcPr>
            <w:tcW w:w="3330" w:type="dxa"/>
            <w:tcMar>
              <w:top w:w="80" w:type="dxa"/>
              <w:left w:w="120" w:type="dxa"/>
              <w:bottom w:w="80" w:type="dxa"/>
              <w:right w:w="120" w:type="dxa"/>
            </w:tcMar>
            <w:vAlign w:val="center"/>
          </w:tcPr>
          <w:p w14:paraId="66289DCF" w14:textId="77777777" w:rsidR="00B75986" w:rsidRPr="00EE4F23" w:rsidRDefault="00B75986">
            <w:pPr>
              <w:spacing w:after="0" w:line="240" w:lineRule="auto"/>
              <w:jc w:val="center"/>
            </w:pPr>
            <w:r>
              <w:rPr>
                <w:b/>
                <w:bCs/>
              </w:rPr>
              <w:t>Role (Informant/ Reviewer/Co-Developer)</w:t>
            </w:r>
          </w:p>
        </w:tc>
        <w:tc>
          <w:tcPr>
            <w:tcW w:w="1980" w:type="dxa"/>
            <w:tcMar>
              <w:top w:w="80" w:type="dxa"/>
              <w:left w:w="120" w:type="dxa"/>
              <w:bottom w:w="80" w:type="dxa"/>
              <w:right w:w="120" w:type="dxa"/>
            </w:tcMar>
            <w:vAlign w:val="center"/>
          </w:tcPr>
          <w:p w14:paraId="3F3B0543" w14:textId="77777777" w:rsidR="00B75986" w:rsidRPr="00EE4F23" w:rsidRDefault="00B75986">
            <w:pPr>
              <w:spacing w:after="0" w:line="240" w:lineRule="auto"/>
              <w:jc w:val="center"/>
            </w:pPr>
            <w:r>
              <w:rPr>
                <w:b/>
                <w:bCs/>
              </w:rPr>
              <w:t>Preferred Format</w:t>
            </w:r>
          </w:p>
        </w:tc>
        <w:tc>
          <w:tcPr>
            <w:tcW w:w="2048" w:type="dxa"/>
            <w:tcMar>
              <w:top w:w="80" w:type="dxa"/>
              <w:left w:w="120" w:type="dxa"/>
              <w:bottom w:w="80" w:type="dxa"/>
              <w:right w:w="120" w:type="dxa"/>
            </w:tcMar>
            <w:vAlign w:val="center"/>
          </w:tcPr>
          <w:p w14:paraId="5645A6DE" w14:textId="77777777" w:rsidR="00B75986" w:rsidRPr="00EE4F23" w:rsidRDefault="00B75986">
            <w:pPr>
              <w:spacing w:after="0" w:line="240" w:lineRule="auto"/>
              <w:jc w:val="center"/>
            </w:pPr>
            <w:r>
              <w:rPr>
                <w:b/>
                <w:bCs/>
              </w:rPr>
              <w:t>Frequency</w:t>
            </w:r>
          </w:p>
        </w:tc>
      </w:tr>
      <w:tr w:rsidR="00B75986" w:rsidRPr="00EE4F23" w14:paraId="6851B029" w14:textId="77777777">
        <w:tc>
          <w:tcPr>
            <w:tcW w:w="2477" w:type="dxa"/>
            <w:tcMar>
              <w:top w:w="200" w:type="dxa"/>
              <w:left w:w="120" w:type="dxa"/>
              <w:bottom w:w="200" w:type="dxa"/>
              <w:right w:w="120" w:type="dxa"/>
            </w:tcMar>
          </w:tcPr>
          <w:p w14:paraId="561BC2E0" w14:textId="77777777" w:rsidR="00B75986" w:rsidRPr="00EE4F23" w:rsidRDefault="00B75986">
            <w:pPr>
              <w:spacing w:line="240" w:lineRule="auto"/>
            </w:pPr>
          </w:p>
        </w:tc>
        <w:tc>
          <w:tcPr>
            <w:tcW w:w="2558" w:type="dxa"/>
            <w:tcMar>
              <w:top w:w="200" w:type="dxa"/>
              <w:left w:w="120" w:type="dxa"/>
              <w:bottom w:w="200" w:type="dxa"/>
              <w:right w:w="120" w:type="dxa"/>
            </w:tcMar>
          </w:tcPr>
          <w:p w14:paraId="020FDEC6" w14:textId="77777777" w:rsidR="00B75986" w:rsidRPr="00EE4F23" w:rsidRDefault="00B75986">
            <w:pPr>
              <w:spacing w:line="240" w:lineRule="auto"/>
            </w:pPr>
          </w:p>
        </w:tc>
        <w:tc>
          <w:tcPr>
            <w:tcW w:w="3330" w:type="dxa"/>
            <w:tcMar>
              <w:top w:w="200" w:type="dxa"/>
              <w:left w:w="120" w:type="dxa"/>
              <w:bottom w:w="200" w:type="dxa"/>
              <w:right w:w="120" w:type="dxa"/>
            </w:tcMar>
          </w:tcPr>
          <w:p w14:paraId="35E20BC6" w14:textId="77777777" w:rsidR="00B75986" w:rsidRPr="00EE4F23" w:rsidRDefault="00B75986">
            <w:pPr>
              <w:spacing w:line="240" w:lineRule="auto"/>
            </w:pPr>
          </w:p>
        </w:tc>
        <w:tc>
          <w:tcPr>
            <w:tcW w:w="1980" w:type="dxa"/>
            <w:tcMar>
              <w:top w:w="200" w:type="dxa"/>
              <w:left w:w="120" w:type="dxa"/>
              <w:bottom w:w="200" w:type="dxa"/>
              <w:right w:w="120" w:type="dxa"/>
            </w:tcMar>
          </w:tcPr>
          <w:p w14:paraId="3BEA8D77" w14:textId="77777777" w:rsidR="00B75986" w:rsidRPr="00EE4F23" w:rsidRDefault="00B75986">
            <w:pPr>
              <w:spacing w:line="240" w:lineRule="auto"/>
            </w:pPr>
          </w:p>
        </w:tc>
        <w:tc>
          <w:tcPr>
            <w:tcW w:w="2048" w:type="dxa"/>
            <w:tcMar>
              <w:top w:w="200" w:type="dxa"/>
              <w:left w:w="120" w:type="dxa"/>
              <w:bottom w:w="200" w:type="dxa"/>
              <w:right w:w="120" w:type="dxa"/>
            </w:tcMar>
          </w:tcPr>
          <w:p w14:paraId="3041D33E" w14:textId="77777777" w:rsidR="00B75986" w:rsidRPr="00EE4F23" w:rsidRDefault="00B75986">
            <w:pPr>
              <w:spacing w:line="240" w:lineRule="auto"/>
            </w:pPr>
          </w:p>
        </w:tc>
      </w:tr>
      <w:tr w:rsidR="00B75986" w:rsidRPr="00EE4F23" w14:paraId="0DEFFC43" w14:textId="77777777">
        <w:tc>
          <w:tcPr>
            <w:tcW w:w="2477" w:type="dxa"/>
            <w:tcMar>
              <w:top w:w="200" w:type="dxa"/>
              <w:left w:w="120" w:type="dxa"/>
              <w:bottom w:w="200" w:type="dxa"/>
              <w:right w:w="120" w:type="dxa"/>
            </w:tcMar>
          </w:tcPr>
          <w:p w14:paraId="20E00F68" w14:textId="77777777" w:rsidR="00B75986" w:rsidRPr="00EE4F23" w:rsidRDefault="00B75986">
            <w:pPr>
              <w:spacing w:line="240" w:lineRule="auto"/>
            </w:pPr>
          </w:p>
        </w:tc>
        <w:tc>
          <w:tcPr>
            <w:tcW w:w="2558" w:type="dxa"/>
            <w:tcMar>
              <w:top w:w="200" w:type="dxa"/>
              <w:left w:w="120" w:type="dxa"/>
              <w:bottom w:w="200" w:type="dxa"/>
              <w:right w:w="120" w:type="dxa"/>
            </w:tcMar>
          </w:tcPr>
          <w:p w14:paraId="4EBBBB95" w14:textId="77777777" w:rsidR="00B75986" w:rsidRPr="00EE4F23" w:rsidRDefault="00B75986">
            <w:pPr>
              <w:spacing w:line="240" w:lineRule="auto"/>
            </w:pPr>
          </w:p>
        </w:tc>
        <w:tc>
          <w:tcPr>
            <w:tcW w:w="3330" w:type="dxa"/>
            <w:tcMar>
              <w:top w:w="200" w:type="dxa"/>
              <w:left w:w="120" w:type="dxa"/>
              <w:bottom w:w="200" w:type="dxa"/>
              <w:right w:w="120" w:type="dxa"/>
            </w:tcMar>
          </w:tcPr>
          <w:p w14:paraId="131822D1" w14:textId="77777777" w:rsidR="00B75986" w:rsidRPr="00EE4F23" w:rsidRDefault="00B75986">
            <w:pPr>
              <w:spacing w:line="240" w:lineRule="auto"/>
            </w:pPr>
          </w:p>
        </w:tc>
        <w:tc>
          <w:tcPr>
            <w:tcW w:w="1980" w:type="dxa"/>
            <w:tcMar>
              <w:top w:w="200" w:type="dxa"/>
              <w:left w:w="120" w:type="dxa"/>
              <w:bottom w:w="200" w:type="dxa"/>
              <w:right w:w="120" w:type="dxa"/>
            </w:tcMar>
          </w:tcPr>
          <w:p w14:paraId="1FFC5DAE" w14:textId="77777777" w:rsidR="00B75986" w:rsidRPr="00EE4F23" w:rsidRDefault="00B75986">
            <w:pPr>
              <w:spacing w:line="240" w:lineRule="auto"/>
            </w:pPr>
          </w:p>
        </w:tc>
        <w:tc>
          <w:tcPr>
            <w:tcW w:w="2048" w:type="dxa"/>
            <w:tcMar>
              <w:top w:w="200" w:type="dxa"/>
              <w:left w:w="120" w:type="dxa"/>
              <w:bottom w:w="200" w:type="dxa"/>
              <w:right w:w="120" w:type="dxa"/>
            </w:tcMar>
          </w:tcPr>
          <w:p w14:paraId="2FA2A711" w14:textId="77777777" w:rsidR="00B75986" w:rsidRPr="00EE4F23" w:rsidRDefault="00B75986">
            <w:pPr>
              <w:spacing w:line="240" w:lineRule="auto"/>
            </w:pPr>
          </w:p>
        </w:tc>
      </w:tr>
      <w:tr w:rsidR="00B75986" w:rsidRPr="00EE4F23" w14:paraId="5DFE70E4" w14:textId="77777777">
        <w:tc>
          <w:tcPr>
            <w:tcW w:w="2477" w:type="dxa"/>
            <w:tcMar>
              <w:top w:w="200" w:type="dxa"/>
              <w:left w:w="120" w:type="dxa"/>
              <w:bottom w:w="200" w:type="dxa"/>
              <w:right w:w="120" w:type="dxa"/>
            </w:tcMar>
          </w:tcPr>
          <w:p w14:paraId="4AAD5BF3" w14:textId="77777777" w:rsidR="00B75986" w:rsidRPr="00EE4F23" w:rsidRDefault="00B75986">
            <w:pPr>
              <w:spacing w:line="240" w:lineRule="auto"/>
            </w:pPr>
          </w:p>
        </w:tc>
        <w:tc>
          <w:tcPr>
            <w:tcW w:w="2558" w:type="dxa"/>
            <w:tcMar>
              <w:top w:w="200" w:type="dxa"/>
              <w:left w:w="120" w:type="dxa"/>
              <w:bottom w:w="200" w:type="dxa"/>
              <w:right w:w="120" w:type="dxa"/>
            </w:tcMar>
          </w:tcPr>
          <w:p w14:paraId="77AD494C" w14:textId="77777777" w:rsidR="00B75986" w:rsidRPr="00EE4F23" w:rsidRDefault="00B75986">
            <w:pPr>
              <w:spacing w:line="240" w:lineRule="auto"/>
            </w:pPr>
          </w:p>
        </w:tc>
        <w:tc>
          <w:tcPr>
            <w:tcW w:w="3330" w:type="dxa"/>
            <w:tcMar>
              <w:top w:w="200" w:type="dxa"/>
              <w:left w:w="120" w:type="dxa"/>
              <w:bottom w:w="200" w:type="dxa"/>
              <w:right w:w="120" w:type="dxa"/>
            </w:tcMar>
          </w:tcPr>
          <w:p w14:paraId="4DE1E883" w14:textId="77777777" w:rsidR="00B75986" w:rsidRPr="00EE4F23" w:rsidRDefault="00B75986">
            <w:pPr>
              <w:spacing w:line="240" w:lineRule="auto"/>
            </w:pPr>
          </w:p>
        </w:tc>
        <w:tc>
          <w:tcPr>
            <w:tcW w:w="1980" w:type="dxa"/>
            <w:tcMar>
              <w:top w:w="200" w:type="dxa"/>
              <w:left w:w="120" w:type="dxa"/>
              <w:bottom w:w="200" w:type="dxa"/>
              <w:right w:w="120" w:type="dxa"/>
            </w:tcMar>
          </w:tcPr>
          <w:p w14:paraId="6EA1C5D3" w14:textId="77777777" w:rsidR="00B75986" w:rsidRPr="00EE4F23" w:rsidRDefault="00B75986">
            <w:pPr>
              <w:spacing w:line="240" w:lineRule="auto"/>
            </w:pPr>
          </w:p>
        </w:tc>
        <w:tc>
          <w:tcPr>
            <w:tcW w:w="2048" w:type="dxa"/>
            <w:tcMar>
              <w:top w:w="200" w:type="dxa"/>
              <w:left w:w="120" w:type="dxa"/>
              <w:bottom w:w="200" w:type="dxa"/>
              <w:right w:w="120" w:type="dxa"/>
            </w:tcMar>
          </w:tcPr>
          <w:p w14:paraId="4F2F207E" w14:textId="77777777" w:rsidR="00B75986" w:rsidRPr="00EE4F23" w:rsidRDefault="00B75986">
            <w:pPr>
              <w:spacing w:line="240" w:lineRule="auto"/>
            </w:pPr>
          </w:p>
        </w:tc>
      </w:tr>
      <w:tr w:rsidR="00B75986" w:rsidRPr="00EE4F23" w14:paraId="43B29650" w14:textId="77777777">
        <w:tc>
          <w:tcPr>
            <w:tcW w:w="2477" w:type="dxa"/>
            <w:tcMar>
              <w:top w:w="200" w:type="dxa"/>
              <w:left w:w="120" w:type="dxa"/>
              <w:bottom w:w="200" w:type="dxa"/>
              <w:right w:w="120" w:type="dxa"/>
            </w:tcMar>
          </w:tcPr>
          <w:p w14:paraId="053DC2FB" w14:textId="77777777" w:rsidR="00B75986" w:rsidRPr="00EE4F23" w:rsidRDefault="00B75986">
            <w:pPr>
              <w:spacing w:line="240" w:lineRule="auto"/>
            </w:pPr>
          </w:p>
        </w:tc>
        <w:tc>
          <w:tcPr>
            <w:tcW w:w="2558" w:type="dxa"/>
            <w:tcMar>
              <w:top w:w="200" w:type="dxa"/>
              <w:left w:w="120" w:type="dxa"/>
              <w:bottom w:w="200" w:type="dxa"/>
              <w:right w:w="120" w:type="dxa"/>
            </w:tcMar>
          </w:tcPr>
          <w:p w14:paraId="2D6DDD18" w14:textId="77777777" w:rsidR="00B75986" w:rsidRPr="00EE4F23" w:rsidRDefault="00B75986">
            <w:pPr>
              <w:spacing w:line="240" w:lineRule="auto"/>
            </w:pPr>
          </w:p>
        </w:tc>
        <w:tc>
          <w:tcPr>
            <w:tcW w:w="3330" w:type="dxa"/>
            <w:tcMar>
              <w:top w:w="200" w:type="dxa"/>
              <w:left w:w="120" w:type="dxa"/>
              <w:bottom w:w="200" w:type="dxa"/>
              <w:right w:w="120" w:type="dxa"/>
            </w:tcMar>
          </w:tcPr>
          <w:p w14:paraId="6AC7A740" w14:textId="77777777" w:rsidR="00B75986" w:rsidRPr="00EE4F23" w:rsidRDefault="00B75986">
            <w:pPr>
              <w:spacing w:line="240" w:lineRule="auto"/>
            </w:pPr>
          </w:p>
        </w:tc>
        <w:tc>
          <w:tcPr>
            <w:tcW w:w="1980" w:type="dxa"/>
            <w:tcMar>
              <w:top w:w="200" w:type="dxa"/>
              <w:left w:w="120" w:type="dxa"/>
              <w:bottom w:w="200" w:type="dxa"/>
              <w:right w:w="120" w:type="dxa"/>
            </w:tcMar>
          </w:tcPr>
          <w:p w14:paraId="086831AC" w14:textId="77777777" w:rsidR="00B75986" w:rsidRPr="00EE4F23" w:rsidRDefault="00B75986">
            <w:pPr>
              <w:spacing w:line="240" w:lineRule="auto"/>
            </w:pPr>
          </w:p>
        </w:tc>
        <w:tc>
          <w:tcPr>
            <w:tcW w:w="2048" w:type="dxa"/>
            <w:tcMar>
              <w:top w:w="200" w:type="dxa"/>
              <w:left w:w="120" w:type="dxa"/>
              <w:bottom w:w="200" w:type="dxa"/>
              <w:right w:w="120" w:type="dxa"/>
            </w:tcMar>
          </w:tcPr>
          <w:p w14:paraId="20464ADC" w14:textId="77777777" w:rsidR="00B75986" w:rsidRPr="00EE4F23" w:rsidRDefault="00B75986">
            <w:pPr>
              <w:spacing w:line="240" w:lineRule="auto"/>
            </w:pPr>
          </w:p>
        </w:tc>
      </w:tr>
      <w:tr w:rsidR="00B75986" w:rsidRPr="00EE4F23" w14:paraId="4FC92097" w14:textId="77777777">
        <w:tc>
          <w:tcPr>
            <w:tcW w:w="2477" w:type="dxa"/>
            <w:tcMar>
              <w:top w:w="200" w:type="dxa"/>
              <w:left w:w="120" w:type="dxa"/>
              <w:bottom w:w="200" w:type="dxa"/>
              <w:right w:w="120" w:type="dxa"/>
            </w:tcMar>
          </w:tcPr>
          <w:p w14:paraId="353D6456" w14:textId="77777777" w:rsidR="00B75986" w:rsidRPr="00EE4F23" w:rsidRDefault="00B75986">
            <w:pPr>
              <w:spacing w:line="240" w:lineRule="auto"/>
            </w:pPr>
          </w:p>
        </w:tc>
        <w:tc>
          <w:tcPr>
            <w:tcW w:w="2558" w:type="dxa"/>
            <w:tcMar>
              <w:top w:w="200" w:type="dxa"/>
              <w:left w:w="120" w:type="dxa"/>
              <w:bottom w:w="200" w:type="dxa"/>
              <w:right w:w="120" w:type="dxa"/>
            </w:tcMar>
          </w:tcPr>
          <w:p w14:paraId="0F3F18F4" w14:textId="77777777" w:rsidR="00B75986" w:rsidRPr="00EE4F23" w:rsidRDefault="00B75986">
            <w:pPr>
              <w:spacing w:line="240" w:lineRule="auto"/>
            </w:pPr>
          </w:p>
        </w:tc>
        <w:tc>
          <w:tcPr>
            <w:tcW w:w="3330" w:type="dxa"/>
            <w:tcMar>
              <w:top w:w="200" w:type="dxa"/>
              <w:left w:w="120" w:type="dxa"/>
              <w:bottom w:w="200" w:type="dxa"/>
              <w:right w:w="120" w:type="dxa"/>
            </w:tcMar>
          </w:tcPr>
          <w:p w14:paraId="02ACF6BA" w14:textId="77777777" w:rsidR="00B75986" w:rsidRPr="00EE4F23" w:rsidRDefault="00B75986">
            <w:pPr>
              <w:spacing w:line="240" w:lineRule="auto"/>
            </w:pPr>
          </w:p>
        </w:tc>
        <w:tc>
          <w:tcPr>
            <w:tcW w:w="1980" w:type="dxa"/>
            <w:tcMar>
              <w:top w:w="200" w:type="dxa"/>
              <w:left w:w="120" w:type="dxa"/>
              <w:bottom w:w="200" w:type="dxa"/>
              <w:right w:w="120" w:type="dxa"/>
            </w:tcMar>
          </w:tcPr>
          <w:p w14:paraId="4081E5E2" w14:textId="77777777" w:rsidR="00B75986" w:rsidRPr="00EE4F23" w:rsidRDefault="00B75986">
            <w:pPr>
              <w:spacing w:line="240" w:lineRule="auto"/>
            </w:pPr>
          </w:p>
        </w:tc>
        <w:tc>
          <w:tcPr>
            <w:tcW w:w="2048" w:type="dxa"/>
            <w:tcMar>
              <w:top w:w="200" w:type="dxa"/>
              <w:left w:w="120" w:type="dxa"/>
              <w:bottom w:w="200" w:type="dxa"/>
              <w:right w:w="120" w:type="dxa"/>
            </w:tcMar>
          </w:tcPr>
          <w:p w14:paraId="525CDE4D" w14:textId="77777777" w:rsidR="00B75986" w:rsidRPr="00EE4F23" w:rsidRDefault="00B75986">
            <w:pPr>
              <w:spacing w:line="240" w:lineRule="auto"/>
            </w:pPr>
          </w:p>
        </w:tc>
      </w:tr>
      <w:tr w:rsidR="00B75986" w:rsidRPr="00EE4F23" w14:paraId="536E7CB7" w14:textId="77777777">
        <w:tc>
          <w:tcPr>
            <w:tcW w:w="2477" w:type="dxa"/>
            <w:tcMar>
              <w:top w:w="200" w:type="dxa"/>
              <w:left w:w="120" w:type="dxa"/>
              <w:bottom w:w="200" w:type="dxa"/>
              <w:right w:w="120" w:type="dxa"/>
            </w:tcMar>
          </w:tcPr>
          <w:p w14:paraId="71F41AEB" w14:textId="77777777" w:rsidR="00B75986" w:rsidRPr="00EE4F23" w:rsidRDefault="00B75986">
            <w:pPr>
              <w:spacing w:line="240" w:lineRule="auto"/>
            </w:pPr>
          </w:p>
        </w:tc>
        <w:tc>
          <w:tcPr>
            <w:tcW w:w="2558" w:type="dxa"/>
            <w:tcMar>
              <w:top w:w="200" w:type="dxa"/>
              <w:left w:w="120" w:type="dxa"/>
              <w:bottom w:w="200" w:type="dxa"/>
              <w:right w:w="120" w:type="dxa"/>
            </w:tcMar>
          </w:tcPr>
          <w:p w14:paraId="3CB98FF3" w14:textId="77777777" w:rsidR="00B75986" w:rsidRPr="00EE4F23" w:rsidRDefault="00B75986">
            <w:pPr>
              <w:spacing w:line="240" w:lineRule="auto"/>
            </w:pPr>
          </w:p>
        </w:tc>
        <w:tc>
          <w:tcPr>
            <w:tcW w:w="3330" w:type="dxa"/>
            <w:tcMar>
              <w:top w:w="200" w:type="dxa"/>
              <w:left w:w="120" w:type="dxa"/>
              <w:bottom w:w="200" w:type="dxa"/>
              <w:right w:w="120" w:type="dxa"/>
            </w:tcMar>
          </w:tcPr>
          <w:p w14:paraId="35D42A61" w14:textId="77777777" w:rsidR="00B75986" w:rsidRPr="00EE4F23" w:rsidRDefault="00B75986">
            <w:pPr>
              <w:spacing w:line="240" w:lineRule="auto"/>
            </w:pPr>
          </w:p>
        </w:tc>
        <w:tc>
          <w:tcPr>
            <w:tcW w:w="1980" w:type="dxa"/>
            <w:tcMar>
              <w:top w:w="200" w:type="dxa"/>
              <w:left w:w="120" w:type="dxa"/>
              <w:bottom w:w="200" w:type="dxa"/>
              <w:right w:w="120" w:type="dxa"/>
            </w:tcMar>
          </w:tcPr>
          <w:p w14:paraId="276AA18F" w14:textId="77777777" w:rsidR="00B75986" w:rsidRPr="00EE4F23" w:rsidRDefault="00B75986">
            <w:pPr>
              <w:spacing w:line="240" w:lineRule="auto"/>
            </w:pPr>
          </w:p>
        </w:tc>
        <w:tc>
          <w:tcPr>
            <w:tcW w:w="2048" w:type="dxa"/>
            <w:tcMar>
              <w:top w:w="200" w:type="dxa"/>
              <w:left w:w="120" w:type="dxa"/>
              <w:bottom w:w="200" w:type="dxa"/>
              <w:right w:w="120" w:type="dxa"/>
            </w:tcMar>
          </w:tcPr>
          <w:p w14:paraId="40C4A804" w14:textId="77777777" w:rsidR="00B75986" w:rsidRPr="00EE4F23" w:rsidRDefault="00B75986">
            <w:pPr>
              <w:spacing w:line="240" w:lineRule="auto"/>
            </w:pPr>
          </w:p>
        </w:tc>
      </w:tr>
      <w:tr w:rsidR="00B75986" w:rsidRPr="00EE4F23" w14:paraId="0A4B4582" w14:textId="77777777">
        <w:tc>
          <w:tcPr>
            <w:tcW w:w="2477" w:type="dxa"/>
            <w:tcMar>
              <w:top w:w="200" w:type="dxa"/>
              <w:left w:w="120" w:type="dxa"/>
              <w:bottom w:w="200" w:type="dxa"/>
              <w:right w:w="120" w:type="dxa"/>
            </w:tcMar>
          </w:tcPr>
          <w:p w14:paraId="50B35B76" w14:textId="77777777" w:rsidR="00B75986" w:rsidRPr="00EE4F23" w:rsidRDefault="00B75986">
            <w:pPr>
              <w:spacing w:line="240" w:lineRule="auto"/>
            </w:pPr>
          </w:p>
        </w:tc>
        <w:tc>
          <w:tcPr>
            <w:tcW w:w="2558" w:type="dxa"/>
            <w:tcMar>
              <w:top w:w="200" w:type="dxa"/>
              <w:left w:w="120" w:type="dxa"/>
              <w:bottom w:w="200" w:type="dxa"/>
              <w:right w:w="120" w:type="dxa"/>
            </w:tcMar>
          </w:tcPr>
          <w:p w14:paraId="0BC895B0" w14:textId="77777777" w:rsidR="00B75986" w:rsidRPr="00EE4F23" w:rsidRDefault="00B75986">
            <w:pPr>
              <w:spacing w:line="240" w:lineRule="auto"/>
            </w:pPr>
          </w:p>
        </w:tc>
        <w:tc>
          <w:tcPr>
            <w:tcW w:w="3330" w:type="dxa"/>
            <w:tcMar>
              <w:top w:w="200" w:type="dxa"/>
              <w:left w:w="120" w:type="dxa"/>
              <w:bottom w:w="200" w:type="dxa"/>
              <w:right w:w="120" w:type="dxa"/>
            </w:tcMar>
          </w:tcPr>
          <w:p w14:paraId="29232FEB" w14:textId="77777777" w:rsidR="00B75986" w:rsidRPr="00EE4F23" w:rsidRDefault="00B75986">
            <w:pPr>
              <w:spacing w:line="240" w:lineRule="auto"/>
            </w:pPr>
          </w:p>
        </w:tc>
        <w:tc>
          <w:tcPr>
            <w:tcW w:w="1980" w:type="dxa"/>
            <w:tcMar>
              <w:top w:w="200" w:type="dxa"/>
              <w:left w:w="120" w:type="dxa"/>
              <w:bottom w:w="200" w:type="dxa"/>
              <w:right w:w="120" w:type="dxa"/>
            </w:tcMar>
          </w:tcPr>
          <w:p w14:paraId="45F21FF0" w14:textId="77777777" w:rsidR="00B75986" w:rsidRPr="00EE4F23" w:rsidRDefault="00B75986">
            <w:pPr>
              <w:spacing w:line="240" w:lineRule="auto"/>
            </w:pPr>
          </w:p>
        </w:tc>
        <w:tc>
          <w:tcPr>
            <w:tcW w:w="2048" w:type="dxa"/>
            <w:tcMar>
              <w:top w:w="200" w:type="dxa"/>
              <w:left w:w="120" w:type="dxa"/>
              <w:bottom w:w="200" w:type="dxa"/>
              <w:right w:w="120" w:type="dxa"/>
            </w:tcMar>
          </w:tcPr>
          <w:p w14:paraId="74C024A8" w14:textId="77777777" w:rsidR="00B75986" w:rsidRPr="00EE4F23" w:rsidRDefault="00B75986">
            <w:pPr>
              <w:spacing w:line="240" w:lineRule="auto"/>
            </w:pPr>
          </w:p>
        </w:tc>
      </w:tr>
    </w:tbl>
    <w:p w14:paraId="04B6451A" w14:textId="77777777" w:rsidR="00B75986" w:rsidRDefault="00B75986" w:rsidP="00B75986">
      <w:bookmarkStart w:id="255" w:name="_Ref230248611"/>
      <w:r>
        <w:br w:type="page"/>
      </w:r>
    </w:p>
    <w:p w14:paraId="5F85A4C0" w14:textId="77777777" w:rsidR="00B75986" w:rsidRPr="00C8209F" w:rsidRDefault="00B75986" w:rsidP="00B75986">
      <w:pPr>
        <w:pStyle w:val="Heading2"/>
        <w:spacing w:before="160" w:after="160" w:line="240" w:lineRule="auto"/>
      </w:pPr>
      <w:bookmarkStart w:id="256" w:name="_Ref230265946"/>
      <w:bookmarkStart w:id="257" w:name="_Toc235802761"/>
      <w:r>
        <w:t>Review Existing Documents</w:t>
      </w:r>
      <w:bookmarkEnd w:id="255"/>
      <w:bookmarkEnd w:id="256"/>
      <w:bookmarkEnd w:id="257"/>
    </w:p>
    <w:p w14:paraId="250E3D55" w14:textId="77777777" w:rsidR="00B75986" w:rsidRPr="00294A5E" w:rsidRDefault="00B75986" w:rsidP="00B75986">
      <w:pPr>
        <w:spacing w:before="160" w:line="240" w:lineRule="auto"/>
        <w:rPr>
          <w:rFonts w:eastAsia="Century Gothic" w:cs="Century Gothic"/>
          <w:b/>
          <w:i/>
          <w:color w:val="000000" w:themeColor="text1"/>
        </w:rPr>
      </w:pPr>
      <w:r>
        <w:rPr>
          <w:rFonts w:eastAsia="Century Gothic" w:cs="Century Gothic"/>
          <w:b/>
          <w:i/>
          <w:color w:val="000000" w:themeColor="text1"/>
        </w:rPr>
        <w:t>Used in Step 2.1A</w:t>
      </w:r>
    </w:p>
    <w:p w14:paraId="2E53A8B7" w14:textId="0B07FD00" w:rsidR="00B75986"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Use the table below to organize and inventory reports that have information about climate hazards, vulnerable populations, and anticipated risks in the area.</w:t>
      </w:r>
    </w:p>
    <w:tbl>
      <w:tblPr>
        <w:tblStyle w:val="TableGrid"/>
        <w:tblW w:w="13045" w:type="dxa"/>
        <w:tblLook w:val="04A0" w:firstRow="1" w:lastRow="0" w:firstColumn="1" w:lastColumn="0" w:noHBand="0" w:noVBand="1"/>
        <w:tblCaption w:val="Existing documents on climate hazards, vulnerable populations, and anticipated risks"/>
        <w:tblDescription w:val="Fillable table to track reports that you can use in your planning process"/>
      </w:tblPr>
      <w:tblGrid>
        <w:gridCol w:w="5575"/>
        <w:gridCol w:w="7470"/>
      </w:tblGrid>
      <w:tr w:rsidR="00B75986" w14:paraId="5BBB8BF1" w14:textId="77777777">
        <w:trPr>
          <w:trHeight w:val="285"/>
        </w:trPr>
        <w:tc>
          <w:tcPr>
            <w:tcW w:w="5575" w:type="dxa"/>
            <w:tcMar>
              <w:left w:w="90" w:type="dxa"/>
              <w:right w:w="90" w:type="dxa"/>
            </w:tcMar>
          </w:tcPr>
          <w:p w14:paraId="5A7C4F38" w14:textId="77777777" w:rsidR="00B75986" w:rsidRDefault="00B75986">
            <w:pPr>
              <w:rPr>
                <w:rFonts w:eastAsia="Century Gothic" w:cs="Century Gothic"/>
              </w:rPr>
            </w:pPr>
            <w:r>
              <w:rPr>
                <w:rFonts w:eastAsia="Century Gothic" w:cs="Century Gothic"/>
                <w:b/>
                <w:bCs/>
              </w:rPr>
              <w:t>Report Name and Link</w:t>
            </w:r>
          </w:p>
        </w:tc>
        <w:tc>
          <w:tcPr>
            <w:tcW w:w="7470" w:type="dxa"/>
            <w:tcMar>
              <w:left w:w="90" w:type="dxa"/>
              <w:right w:w="90" w:type="dxa"/>
            </w:tcMar>
          </w:tcPr>
          <w:p w14:paraId="6DF7EFE8" w14:textId="77777777" w:rsidR="00B75986" w:rsidRDefault="00B75986">
            <w:pPr>
              <w:rPr>
                <w:rFonts w:eastAsia="Century Gothic" w:cs="Century Gothic"/>
              </w:rPr>
            </w:pPr>
            <w:r>
              <w:rPr>
                <w:rFonts w:eastAsia="Century Gothic" w:cs="Century Gothic"/>
                <w:b/>
                <w:bCs/>
              </w:rPr>
              <w:t>Key Findings and Notes</w:t>
            </w:r>
          </w:p>
        </w:tc>
      </w:tr>
      <w:tr w:rsidR="00B75986" w14:paraId="4CC23BB0" w14:textId="77777777">
        <w:trPr>
          <w:trHeight w:val="576"/>
        </w:trPr>
        <w:tc>
          <w:tcPr>
            <w:tcW w:w="5575" w:type="dxa"/>
            <w:tcMar>
              <w:left w:w="90" w:type="dxa"/>
              <w:right w:w="90" w:type="dxa"/>
            </w:tcMar>
          </w:tcPr>
          <w:p w14:paraId="44F495B6" w14:textId="77777777" w:rsidR="00B75986" w:rsidRDefault="00B75986">
            <w:pPr>
              <w:rPr>
                <w:rFonts w:eastAsia="Century Gothic" w:cs="Century Gothic"/>
              </w:rPr>
            </w:pPr>
          </w:p>
        </w:tc>
        <w:tc>
          <w:tcPr>
            <w:tcW w:w="7470" w:type="dxa"/>
            <w:tcMar>
              <w:left w:w="90" w:type="dxa"/>
              <w:right w:w="90" w:type="dxa"/>
            </w:tcMar>
          </w:tcPr>
          <w:p w14:paraId="762035F0" w14:textId="77777777" w:rsidR="00B75986" w:rsidRDefault="00B75986">
            <w:pPr>
              <w:rPr>
                <w:rFonts w:eastAsia="Century Gothic" w:cs="Century Gothic"/>
              </w:rPr>
            </w:pPr>
          </w:p>
        </w:tc>
      </w:tr>
      <w:tr w:rsidR="00B75986" w14:paraId="3BD6A85E" w14:textId="77777777">
        <w:trPr>
          <w:trHeight w:val="576"/>
        </w:trPr>
        <w:tc>
          <w:tcPr>
            <w:tcW w:w="5575" w:type="dxa"/>
            <w:tcMar>
              <w:left w:w="90" w:type="dxa"/>
              <w:right w:w="90" w:type="dxa"/>
            </w:tcMar>
          </w:tcPr>
          <w:p w14:paraId="5278A062" w14:textId="77777777" w:rsidR="00B75986" w:rsidRDefault="00B75986">
            <w:pPr>
              <w:rPr>
                <w:rFonts w:eastAsia="Century Gothic" w:cs="Century Gothic"/>
              </w:rPr>
            </w:pPr>
          </w:p>
        </w:tc>
        <w:tc>
          <w:tcPr>
            <w:tcW w:w="7470" w:type="dxa"/>
            <w:tcMar>
              <w:left w:w="90" w:type="dxa"/>
              <w:right w:w="90" w:type="dxa"/>
            </w:tcMar>
          </w:tcPr>
          <w:p w14:paraId="78ADBA72" w14:textId="77777777" w:rsidR="00B75986" w:rsidRDefault="00B75986">
            <w:pPr>
              <w:rPr>
                <w:rFonts w:eastAsia="Century Gothic" w:cs="Century Gothic"/>
              </w:rPr>
            </w:pPr>
          </w:p>
        </w:tc>
      </w:tr>
      <w:tr w:rsidR="00B75986" w14:paraId="52CD7D9B" w14:textId="77777777">
        <w:trPr>
          <w:trHeight w:val="576"/>
        </w:trPr>
        <w:tc>
          <w:tcPr>
            <w:tcW w:w="5575" w:type="dxa"/>
            <w:tcMar>
              <w:left w:w="90" w:type="dxa"/>
              <w:right w:w="90" w:type="dxa"/>
            </w:tcMar>
          </w:tcPr>
          <w:p w14:paraId="3505E8DA" w14:textId="77777777" w:rsidR="00B75986" w:rsidRDefault="00B75986">
            <w:pPr>
              <w:rPr>
                <w:rFonts w:eastAsia="Century Gothic" w:cs="Century Gothic"/>
              </w:rPr>
            </w:pPr>
          </w:p>
        </w:tc>
        <w:tc>
          <w:tcPr>
            <w:tcW w:w="7470" w:type="dxa"/>
            <w:tcMar>
              <w:left w:w="90" w:type="dxa"/>
              <w:right w:w="90" w:type="dxa"/>
            </w:tcMar>
          </w:tcPr>
          <w:p w14:paraId="3EC2D0B5" w14:textId="77777777" w:rsidR="00B75986" w:rsidRDefault="00B75986">
            <w:pPr>
              <w:rPr>
                <w:rFonts w:eastAsia="Century Gothic" w:cs="Century Gothic"/>
              </w:rPr>
            </w:pPr>
          </w:p>
        </w:tc>
      </w:tr>
      <w:tr w:rsidR="00B75986" w14:paraId="00458B21" w14:textId="77777777">
        <w:trPr>
          <w:trHeight w:val="576"/>
        </w:trPr>
        <w:tc>
          <w:tcPr>
            <w:tcW w:w="5575" w:type="dxa"/>
            <w:tcMar>
              <w:left w:w="90" w:type="dxa"/>
              <w:right w:w="90" w:type="dxa"/>
            </w:tcMar>
          </w:tcPr>
          <w:p w14:paraId="30587296" w14:textId="77777777" w:rsidR="00B75986" w:rsidRDefault="00B75986">
            <w:pPr>
              <w:rPr>
                <w:rFonts w:eastAsia="Century Gothic" w:cs="Century Gothic"/>
              </w:rPr>
            </w:pPr>
          </w:p>
        </w:tc>
        <w:tc>
          <w:tcPr>
            <w:tcW w:w="7470" w:type="dxa"/>
            <w:tcMar>
              <w:left w:w="90" w:type="dxa"/>
              <w:right w:w="90" w:type="dxa"/>
            </w:tcMar>
          </w:tcPr>
          <w:p w14:paraId="4C309EB6" w14:textId="77777777" w:rsidR="00B75986" w:rsidRDefault="00B75986">
            <w:pPr>
              <w:rPr>
                <w:rFonts w:eastAsia="Century Gothic" w:cs="Century Gothic"/>
              </w:rPr>
            </w:pPr>
          </w:p>
        </w:tc>
      </w:tr>
      <w:tr w:rsidR="00B75986" w14:paraId="70B0EDC0" w14:textId="77777777">
        <w:trPr>
          <w:trHeight w:val="576"/>
        </w:trPr>
        <w:tc>
          <w:tcPr>
            <w:tcW w:w="5575" w:type="dxa"/>
            <w:tcMar>
              <w:left w:w="90" w:type="dxa"/>
              <w:right w:w="90" w:type="dxa"/>
            </w:tcMar>
          </w:tcPr>
          <w:p w14:paraId="06F730C2" w14:textId="77777777" w:rsidR="00B75986" w:rsidRDefault="00B75986">
            <w:pPr>
              <w:rPr>
                <w:rFonts w:eastAsia="Century Gothic" w:cs="Century Gothic"/>
              </w:rPr>
            </w:pPr>
          </w:p>
        </w:tc>
        <w:tc>
          <w:tcPr>
            <w:tcW w:w="7470" w:type="dxa"/>
            <w:tcMar>
              <w:left w:w="90" w:type="dxa"/>
              <w:right w:w="90" w:type="dxa"/>
            </w:tcMar>
          </w:tcPr>
          <w:p w14:paraId="541625B2" w14:textId="77777777" w:rsidR="00B75986" w:rsidRDefault="00B75986">
            <w:pPr>
              <w:rPr>
                <w:rFonts w:eastAsia="Century Gothic" w:cs="Century Gothic"/>
              </w:rPr>
            </w:pPr>
          </w:p>
        </w:tc>
      </w:tr>
      <w:tr w:rsidR="00B75986" w14:paraId="2FCD2D07" w14:textId="77777777">
        <w:trPr>
          <w:trHeight w:val="576"/>
        </w:trPr>
        <w:tc>
          <w:tcPr>
            <w:tcW w:w="5575" w:type="dxa"/>
            <w:tcMar>
              <w:left w:w="90" w:type="dxa"/>
              <w:right w:w="90" w:type="dxa"/>
            </w:tcMar>
          </w:tcPr>
          <w:p w14:paraId="4E9DD656" w14:textId="77777777" w:rsidR="00B75986" w:rsidRDefault="00B75986">
            <w:pPr>
              <w:rPr>
                <w:rFonts w:eastAsia="Century Gothic" w:cs="Century Gothic"/>
              </w:rPr>
            </w:pPr>
          </w:p>
        </w:tc>
        <w:tc>
          <w:tcPr>
            <w:tcW w:w="7470" w:type="dxa"/>
            <w:tcMar>
              <w:left w:w="90" w:type="dxa"/>
              <w:right w:w="90" w:type="dxa"/>
            </w:tcMar>
          </w:tcPr>
          <w:p w14:paraId="18347730" w14:textId="77777777" w:rsidR="00B75986" w:rsidRDefault="00B75986">
            <w:pPr>
              <w:rPr>
                <w:rFonts w:eastAsia="Century Gothic" w:cs="Century Gothic"/>
              </w:rPr>
            </w:pPr>
          </w:p>
        </w:tc>
      </w:tr>
      <w:tr w:rsidR="00B75986" w14:paraId="0D267EA8" w14:textId="77777777">
        <w:trPr>
          <w:trHeight w:val="576"/>
        </w:trPr>
        <w:tc>
          <w:tcPr>
            <w:tcW w:w="5575" w:type="dxa"/>
            <w:tcMar>
              <w:left w:w="90" w:type="dxa"/>
              <w:right w:w="90" w:type="dxa"/>
            </w:tcMar>
          </w:tcPr>
          <w:p w14:paraId="6D452F0C" w14:textId="77777777" w:rsidR="00B75986" w:rsidRDefault="00B75986">
            <w:pPr>
              <w:rPr>
                <w:rFonts w:eastAsia="Century Gothic" w:cs="Century Gothic"/>
              </w:rPr>
            </w:pPr>
          </w:p>
        </w:tc>
        <w:tc>
          <w:tcPr>
            <w:tcW w:w="7470" w:type="dxa"/>
            <w:tcMar>
              <w:left w:w="90" w:type="dxa"/>
              <w:right w:w="90" w:type="dxa"/>
            </w:tcMar>
          </w:tcPr>
          <w:p w14:paraId="122AC078" w14:textId="77777777" w:rsidR="00B75986" w:rsidRDefault="00B75986">
            <w:pPr>
              <w:rPr>
                <w:rFonts w:eastAsia="Century Gothic" w:cs="Century Gothic"/>
              </w:rPr>
            </w:pPr>
          </w:p>
        </w:tc>
      </w:tr>
      <w:tr w:rsidR="00B75986" w14:paraId="308AA121" w14:textId="77777777">
        <w:trPr>
          <w:trHeight w:val="576"/>
        </w:trPr>
        <w:tc>
          <w:tcPr>
            <w:tcW w:w="5575" w:type="dxa"/>
            <w:tcMar>
              <w:left w:w="90" w:type="dxa"/>
              <w:right w:w="90" w:type="dxa"/>
            </w:tcMar>
          </w:tcPr>
          <w:p w14:paraId="18D5BC50" w14:textId="77777777" w:rsidR="00B75986" w:rsidRDefault="00B75986">
            <w:pPr>
              <w:rPr>
                <w:rFonts w:eastAsia="Century Gothic" w:cs="Century Gothic"/>
              </w:rPr>
            </w:pPr>
          </w:p>
        </w:tc>
        <w:tc>
          <w:tcPr>
            <w:tcW w:w="7470" w:type="dxa"/>
            <w:tcMar>
              <w:left w:w="90" w:type="dxa"/>
              <w:right w:w="90" w:type="dxa"/>
            </w:tcMar>
          </w:tcPr>
          <w:p w14:paraId="5AA61543" w14:textId="77777777" w:rsidR="00B75986" w:rsidRDefault="00B75986">
            <w:pPr>
              <w:rPr>
                <w:rFonts w:eastAsia="Century Gothic" w:cs="Century Gothic"/>
              </w:rPr>
            </w:pPr>
          </w:p>
        </w:tc>
      </w:tr>
      <w:tr w:rsidR="00B75986" w14:paraId="3C08A122" w14:textId="77777777">
        <w:trPr>
          <w:trHeight w:val="576"/>
        </w:trPr>
        <w:tc>
          <w:tcPr>
            <w:tcW w:w="5575" w:type="dxa"/>
            <w:tcMar>
              <w:left w:w="90" w:type="dxa"/>
              <w:right w:w="90" w:type="dxa"/>
            </w:tcMar>
          </w:tcPr>
          <w:p w14:paraId="51543725" w14:textId="77777777" w:rsidR="00B75986" w:rsidRDefault="00B75986">
            <w:pPr>
              <w:rPr>
                <w:rFonts w:eastAsia="Century Gothic" w:cs="Century Gothic"/>
              </w:rPr>
            </w:pPr>
          </w:p>
        </w:tc>
        <w:tc>
          <w:tcPr>
            <w:tcW w:w="7470" w:type="dxa"/>
            <w:tcMar>
              <w:left w:w="90" w:type="dxa"/>
              <w:right w:w="90" w:type="dxa"/>
            </w:tcMar>
          </w:tcPr>
          <w:p w14:paraId="26D45D36" w14:textId="77777777" w:rsidR="00B75986" w:rsidRDefault="00B75986">
            <w:pPr>
              <w:rPr>
                <w:rFonts w:eastAsia="Century Gothic" w:cs="Century Gothic"/>
              </w:rPr>
            </w:pPr>
          </w:p>
        </w:tc>
      </w:tr>
      <w:tr w:rsidR="00B75986" w14:paraId="23B1635A" w14:textId="77777777">
        <w:trPr>
          <w:trHeight w:val="576"/>
        </w:trPr>
        <w:tc>
          <w:tcPr>
            <w:tcW w:w="5575" w:type="dxa"/>
            <w:tcMar>
              <w:left w:w="90" w:type="dxa"/>
              <w:right w:w="90" w:type="dxa"/>
            </w:tcMar>
          </w:tcPr>
          <w:p w14:paraId="321A57E4" w14:textId="77777777" w:rsidR="00B75986" w:rsidRDefault="00B75986">
            <w:pPr>
              <w:rPr>
                <w:rFonts w:eastAsia="Century Gothic" w:cs="Century Gothic"/>
              </w:rPr>
            </w:pPr>
          </w:p>
        </w:tc>
        <w:tc>
          <w:tcPr>
            <w:tcW w:w="7470" w:type="dxa"/>
            <w:tcMar>
              <w:left w:w="90" w:type="dxa"/>
              <w:right w:w="90" w:type="dxa"/>
            </w:tcMar>
          </w:tcPr>
          <w:p w14:paraId="37AA84B2" w14:textId="77777777" w:rsidR="00B75986" w:rsidRDefault="00B75986">
            <w:pPr>
              <w:rPr>
                <w:rFonts w:eastAsia="Century Gothic" w:cs="Century Gothic"/>
              </w:rPr>
            </w:pPr>
          </w:p>
        </w:tc>
      </w:tr>
      <w:tr w:rsidR="00B75986" w14:paraId="398F9977" w14:textId="77777777">
        <w:trPr>
          <w:trHeight w:val="576"/>
        </w:trPr>
        <w:tc>
          <w:tcPr>
            <w:tcW w:w="5575" w:type="dxa"/>
            <w:tcMar>
              <w:left w:w="90" w:type="dxa"/>
              <w:right w:w="90" w:type="dxa"/>
            </w:tcMar>
          </w:tcPr>
          <w:p w14:paraId="673D407F" w14:textId="77777777" w:rsidR="00B75986" w:rsidRDefault="00B75986">
            <w:pPr>
              <w:rPr>
                <w:rFonts w:eastAsia="Century Gothic" w:cs="Century Gothic"/>
              </w:rPr>
            </w:pPr>
          </w:p>
        </w:tc>
        <w:tc>
          <w:tcPr>
            <w:tcW w:w="7470" w:type="dxa"/>
            <w:tcMar>
              <w:left w:w="90" w:type="dxa"/>
              <w:right w:w="90" w:type="dxa"/>
            </w:tcMar>
          </w:tcPr>
          <w:p w14:paraId="33E028F2" w14:textId="77777777" w:rsidR="00B75986" w:rsidRDefault="00B75986">
            <w:pPr>
              <w:rPr>
                <w:rFonts w:eastAsia="Century Gothic" w:cs="Century Gothic"/>
              </w:rPr>
            </w:pPr>
          </w:p>
        </w:tc>
      </w:tr>
    </w:tbl>
    <w:p w14:paraId="54FF43FE" w14:textId="77777777" w:rsidR="00B75986" w:rsidRDefault="00B75986" w:rsidP="00B75986">
      <w:pPr>
        <w:rPr>
          <w:rFonts w:ascii="Aptos" w:eastAsia="Aptos" w:hAnsi="Aptos" w:cs="Aptos"/>
          <w:color w:val="000000" w:themeColor="text1"/>
        </w:rPr>
      </w:pPr>
      <w:r>
        <w:rPr>
          <w:rFonts w:ascii="Aptos" w:eastAsia="Aptos" w:hAnsi="Aptos" w:cs="Aptos"/>
          <w:color w:val="000000" w:themeColor="text1"/>
        </w:rPr>
        <w:br w:type="page"/>
      </w:r>
    </w:p>
    <w:p w14:paraId="5FE05857" w14:textId="77777777" w:rsidR="00B75986" w:rsidRDefault="00B75986" w:rsidP="00B75986">
      <w:pPr>
        <w:pStyle w:val="Heading2"/>
        <w:spacing w:before="160" w:after="160" w:line="240" w:lineRule="auto"/>
      </w:pPr>
      <w:bookmarkStart w:id="258" w:name="_Ref230248531"/>
      <w:bookmarkStart w:id="259" w:name="_Toc235802762"/>
      <w:r>
        <w:t>Determine Historical Hazards</w:t>
      </w:r>
      <w:bookmarkEnd w:id="258"/>
      <w:bookmarkEnd w:id="259"/>
    </w:p>
    <w:p w14:paraId="3CA9DF1E" w14:textId="77777777" w:rsidR="00B75986" w:rsidRPr="00294A5E" w:rsidRDefault="00B75986" w:rsidP="00B75986">
      <w:pPr>
        <w:spacing w:before="160" w:line="240" w:lineRule="auto"/>
        <w:rPr>
          <w:rFonts w:eastAsia="Century Gothic" w:cs="Century Gothic"/>
          <w:b/>
          <w:i/>
          <w:color w:val="000000" w:themeColor="text1"/>
        </w:rPr>
      </w:pPr>
      <w:r>
        <w:rPr>
          <w:rFonts w:eastAsia="Century Gothic" w:cs="Century Gothic"/>
          <w:b/>
          <w:i/>
          <w:color w:val="000000" w:themeColor="text1"/>
        </w:rPr>
        <w:t>Used in Step 2.1B</w:t>
      </w:r>
    </w:p>
    <w:p w14:paraId="5BE14FBF" w14:textId="385A1D31" w:rsidR="00B75986" w:rsidRPr="000C724C"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Record findings about historical hazard events that the community has experienced in the table below.</w:t>
      </w:r>
    </w:p>
    <w:tbl>
      <w:tblPr>
        <w:tblStyle w:val="TableGrid"/>
        <w:tblW w:w="0" w:type="auto"/>
        <w:tblLook w:val="04A0" w:firstRow="1" w:lastRow="0" w:firstColumn="1" w:lastColumn="0" w:noHBand="0" w:noVBand="1"/>
        <w:tblCaption w:val="historical hazard events and their impacts"/>
        <w:tblDescription w:val="Fillable table to record your jurisdiction's historical hazards"/>
      </w:tblPr>
      <w:tblGrid>
        <w:gridCol w:w="1782"/>
        <w:gridCol w:w="1622"/>
        <w:gridCol w:w="2083"/>
        <w:gridCol w:w="1919"/>
        <w:gridCol w:w="2665"/>
        <w:gridCol w:w="2873"/>
      </w:tblGrid>
      <w:tr w:rsidR="00B75986" w14:paraId="2F10CABC" w14:textId="77777777">
        <w:trPr>
          <w:trHeight w:val="300"/>
        </w:trPr>
        <w:tc>
          <w:tcPr>
            <w:tcW w:w="1782" w:type="dxa"/>
            <w:tcMar>
              <w:left w:w="105" w:type="dxa"/>
              <w:right w:w="105" w:type="dxa"/>
            </w:tcMar>
            <w:vAlign w:val="center"/>
          </w:tcPr>
          <w:p w14:paraId="6DBD4806" w14:textId="77777777" w:rsidR="00B75986" w:rsidRDefault="00B75986">
            <w:pPr>
              <w:jc w:val="center"/>
              <w:rPr>
                <w:rFonts w:eastAsia="Century Gothic" w:cs="Century Gothic"/>
              </w:rPr>
            </w:pPr>
            <w:r>
              <w:rPr>
                <w:rFonts w:eastAsia="Century Gothic" w:cs="Century Gothic"/>
                <w:b/>
                <w:bCs/>
              </w:rPr>
              <w:t>Event Name and Date</w:t>
            </w:r>
          </w:p>
        </w:tc>
        <w:tc>
          <w:tcPr>
            <w:tcW w:w="1622" w:type="dxa"/>
            <w:tcMar>
              <w:left w:w="105" w:type="dxa"/>
              <w:right w:w="105" w:type="dxa"/>
            </w:tcMar>
            <w:vAlign w:val="center"/>
          </w:tcPr>
          <w:p w14:paraId="1180EEC4" w14:textId="77777777" w:rsidR="00B75986" w:rsidRDefault="00B75986">
            <w:pPr>
              <w:jc w:val="center"/>
              <w:rPr>
                <w:rFonts w:eastAsia="Century Gothic" w:cs="Century Gothic"/>
              </w:rPr>
            </w:pPr>
            <w:r>
              <w:rPr>
                <w:rFonts w:eastAsia="Century Gothic" w:cs="Century Gothic"/>
                <w:b/>
                <w:bCs/>
              </w:rPr>
              <w:t>Hazard Type</w:t>
            </w:r>
          </w:p>
        </w:tc>
        <w:tc>
          <w:tcPr>
            <w:tcW w:w="2083" w:type="dxa"/>
            <w:tcMar>
              <w:left w:w="105" w:type="dxa"/>
              <w:right w:w="105" w:type="dxa"/>
            </w:tcMar>
            <w:vAlign w:val="center"/>
          </w:tcPr>
          <w:p w14:paraId="1A548DED" w14:textId="77777777" w:rsidR="00B75986" w:rsidRDefault="00B75986">
            <w:pPr>
              <w:jc w:val="center"/>
              <w:rPr>
                <w:rFonts w:eastAsia="Century Gothic" w:cs="Century Gothic"/>
              </w:rPr>
            </w:pPr>
            <w:r>
              <w:rPr>
                <w:rFonts w:eastAsia="Century Gothic" w:cs="Century Gothic"/>
                <w:b/>
                <w:bCs/>
              </w:rPr>
              <w:t>Neighborhoods or Regions Affected</w:t>
            </w:r>
          </w:p>
        </w:tc>
        <w:tc>
          <w:tcPr>
            <w:tcW w:w="1919" w:type="dxa"/>
            <w:tcMar>
              <w:left w:w="105" w:type="dxa"/>
              <w:right w:w="105" w:type="dxa"/>
            </w:tcMar>
            <w:vAlign w:val="center"/>
          </w:tcPr>
          <w:p w14:paraId="38D583D5" w14:textId="77777777" w:rsidR="00B75986" w:rsidRDefault="00B75986">
            <w:pPr>
              <w:jc w:val="center"/>
              <w:rPr>
                <w:rFonts w:eastAsia="Century Gothic" w:cs="Century Gothic"/>
              </w:rPr>
            </w:pPr>
            <w:r>
              <w:rPr>
                <w:rFonts w:eastAsia="Century Gothic" w:cs="Century Gothic"/>
                <w:b/>
                <w:bCs/>
              </w:rPr>
              <w:t>Human Impacts</w:t>
            </w:r>
          </w:p>
        </w:tc>
        <w:tc>
          <w:tcPr>
            <w:tcW w:w="2665" w:type="dxa"/>
            <w:tcMar>
              <w:left w:w="105" w:type="dxa"/>
              <w:right w:w="105" w:type="dxa"/>
            </w:tcMar>
            <w:vAlign w:val="center"/>
          </w:tcPr>
          <w:p w14:paraId="722F47D6" w14:textId="77777777" w:rsidR="00B75986" w:rsidRDefault="00B75986">
            <w:pPr>
              <w:jc w:val="center"/>
              <w:rPr>
                <w:rFonts w:eastAsia="Century Gothic" w:cs="Century Gothic"/>
              </w:rPr>
            </w:pPr>
            <w:r>
              <w:rPr>
                <w:rFonts w:eastAsia="Century Gothic" w:cs="Century Gothic"/>
                <w:b/>
                <w:bCs/>
              </w:rPr>
              <w:t>Infrastructure Impacts</w:t>
            </w:r>
          </w:p>
        </w:tc>
        <w:tc>
          <w:tcPr>
            <w:tcW w:w="2873" w:type="dxa"/>
            <w:tcMar>
              <w:left w:w="105" w:type="dxa"/>
              <w:right w:w="105" w:type="dxa"/>
            </w:tcMar>
            <w:vAlign w:val="center"/>
          </w:tcPr>
          <w:p w14:paraId="1AE3C532" w14:textId="77777777" w:rsidR="00B75986" w:rsidRDefault="00B75986">
            <w:pPr>
              <w:jc w:val="center"/>
              <w:rPr>
                <w:rFonts w:eastAsia="Century Gothic" w:cs="Century Gothic"/>
              </w:rPr>
            </w:pPr>
            <w:r>
              <w:rPr>
                <w:rFonts w:eastAsia="Century Gothic" w:cs="Century Gothic"/>
                <w:b/>
                <w:bCs/>
              </w:rPr>
              <w:t>Environmental Impacts</w:t>
            </w:r>
          </w:p>
        </w:tc>
      </w:tr>
      <w:tr w:rsidR="00B75986" w14:paraId="22FDB48E" w14:textId="77777777">
        <w:trPr>
          <w:trHeight w:val="576"/>
        </w:trPr>
        <w:tc>
          <w:tcPr>
            <w:tcW w:w="1782" w:type="dxa"/>
            <w:tcMar>
              <w:left w:w="105" w:type="dxa"/>
              <w:right w:w="105" w:type="dxa"/>
            </w:tcMar>
          </w:tcPr>
          <w:p w14:paraId="323E5149" w14:textId="77777777" w:rsidR="00B75986" w:rsidRDefault="00B75986">
            <w:pPr>
              <w:rPr>
                <w:rFonts w:eastAsia="Century Gothic" w:cs="Century Gothic"/>
              </w:rPr>
            </w:pPr>
          </w:p>
        </w:tc>
        <w:tc>
          <w:tcPr>
            <w:tcW w:w="1622" w:type="dxa"/>
            <w:tcMar>
              <w:left w:w="105" w:type="dxa"/>
              <w:right w:w="105" w:type="dxa"/>
            </w:tcMar>
          </w:tcPr>
          <w:p w14:paraId="1BC11FD5" w14:textId="77777777" w:rsidR="00B75986" w:rsidRDefault="00B75986">
            <w:pPr>
              <w:rPr>
                <w:rFonts w:eastAsia="Century Gothic" w:cs="Century Gothic"/>
              </w:rPr>
            </w:pPr>
          </w:p>
        </w:tc>
        <w:tc>
          <w:tcPr>
            <w:tcW w:w="2083" w:type="dxa"/>
            <w:tcMar>
              <w:left w:w="105" w:type="dxa"/>
              <w:right w:w="105" w:type="dxa"/>
            </w:tcMar>
          </w:tcPr>
          <w:p w14:paraId="5AEEFEB3" w14:textId="77777777" w:rsidR="00B75986" w:rsidRDefault="00B75986">
            <w:pPr>
              <w:rPr>
                <w:rFonts w:eastAsia="Century Gothic" w:cs="Century Gothic"/>
              </w:rPr>
            </w:pPr>
          </w:p>
        </w:tc>
        <w:tc>
          <w:tcPr>
            <w:tcW w:w="1919" w:type="dxa"/>
            <w:tcMar>
              <w:left w:w="105" w:type="dxa"/>
              <w:right w:w="105" w:type="dxa"/>
            </w:tcMar>
          </w:tcPr>
          <w:p w14:paraId="1DAE0E71" w14:textId="77777777" w:rsidR="00B75986" w:rsidRDefault="00B75986">
            <w:pPr>
              <w:rPr>
                <w:rFonts w:eastAsia="Century Gothic" w:cs="Century Gothic"/>
              </w:rPr>
            </w:pPr>
          </w:p>
        </w:tc>
        <w:tc>
          <w:tcPr>
            <w:tcW w:w="2665" w:type="dxa"/>
            <w:tcMar>
              <w:left w:w="105" w:type="dxa"/>
              <w:right w:w="105" w:type="dxa"/>
            </w:tcMar>
          </w:tcPr>
          <w:p w14:paraId="396CD0BB" w14:textId="77777777" w:rsidR="00B75986" w:rsidRDefault="00B75986">
            <w:pPr>
              <w:rPr>
                <w:rFonts w:eastAsia="Century Gothic" w:cs="Century Gothic"/>
              </w:rPr>
            </w:pPr>
          </w:p>
        </w:tc>
        <w:tc>
          <w:tcPr>
            <w:tcW w:w="2873" w:type="dxa"/>
            <w:tcMar>
              <w:left w:w="105" w:type="dxa"/>
              <w:right w:w="105" w:type="dxa"/>
            </w:tcMar>
          </w:tcPr>
          <w:p w14:paraId="1E905AF2" w14:textId="77777777" w:rsidR="00B75986" w:rsidRDefault="00B75986">
            <w:pPr>
              <w:rPr>
                <w:rFonts w:eastAsia="Century Gothic" w:cs="Century Gothic"/>
              </w:rPr>
            </w:pPr>
          </w:p>
        </w:tc>
      </w:tr>
      <w:tr w:rsidR="00B75986" w14:paraId="736642E3" w14:textId="77777777">
        <w:trPr>
          <w:trHeight w:val="576"/>
        </w:trPr>
        <w:tc>
          <w:tcPr>
            <w:tcW w:w="1782" w:type="dxa"/>
            <w:tcMar>
              <w:left w:w="105" w:type="dxa"/>
              <w:right w:w="105" w:type="dxa"/>
            </w:tcMar>
          </w:tcPr>
          <w:p w14:paraId="7A047FBA" w14:textId="77777777" w:rsidR="00B75986" w:rsidRDefault="00B75986">
            <w:pPr>
              <w:rPr>
                <w:rFonts w:eastAsia="Century Gothic" w:cs="Century Gothic"/>
              </w:rPr>
            </w:pPr>
          </w:p>
        </w:tc>
        <w:tc>
          <w:tcPr>
            <w:tcW w:w="1622" w:type="dxa"/>
            <w:tcMar>
              <w:left w:w="105" w:type="dxa"/>
              <w:right w:w="105" w:type="dxa"/>
            </w:tcMar>
          </w:tcPr>
          <w:p w14:paraId="19A5021A" w14:textId="77777777" w:rsidR="00B75986" w:rsidRDefault="00B75986">
            <w:pPr>
              <w:rPr>
                <w:rFonts w:eastAsia="Century Gothic" w:cs="Century Gothic"/>
              </w:rPr>
            </w:pPr>
          </w:p>
        </w:tc>
        <w:tc>
          <w:tcPr>
            <w:tcW w:w="2083" w:type="dxa"/>
            <w:tcMar>
              <w:left w:w="105" w:type="dxa"/>
              <w:right w:w="105" w:type="dxa"/>
            </w:tcMar>
          </w:tcPr>
          <w:p w14:paraId="6A4E58EA" w14:textId="77777777" w:rsidR="00B75986" w:rsidRDefault="00B75986">
            <w:pPr>
              <w:rPr>
                <w:rFonts w:eastAsia="Century Gothic" w:cs="Century Gothic"/>
              </w:rPr>
            </w:pPr>
          </w:p>
        </w:tc>
        <w:tc>
          <w:tcPr>
            <w:tcW w:w="1919" w:type="dxa"/>
            <w:tcMar>
              <w:left w:w="105" w:type="dxa"/>
              <w:right w:w="105" w:type="dxa"/>
            </w:tcMar>
          </w:tcPr>
          <w:p w14:paraId="5AB5EF0F" w14:textId="77777777" w:rsidR="00B75986" w:rsidRDefault="00B75986">
            <w:pPr>
              <w:rPr>
                <w:rFonts w:eastAsia="Century Gothic" w:cs="Century Gothic"/>
              </w:rPr>
            </w:pPr>
          </w:p>
        </w:tc>
        <w:tc>
          <w:tcPr>
            <w:tcW w:w="2665" w:type="dxa"/>
            <w:tcMar>
              <w:left w:w="105" w:type="dxa"/>
              <w:right w:w="105" w:type="dxa"/>
            </w:tcMar>
          </w:tcPr>
          <w:p w14:paraId="10A0FB6D" w14:textId="77777777" w:rsidR="00B75986" w:rsidRDefault="00B75986">
            <w:pPr>
              <w:rPr>
                <w:rFonts w:eastAsia="Century Gothic" w:cs="Century Gothic"/>
              </w:rPr>
            </w:pPr>
          </w:p>
        </w:tc>
        <w:tc>
          <w:tcPr>
            <w:tcW w:w="2873" w:type="dxa"/>
            <w:tcMar>
              <w:left w:w="105" w:type="dxa"/>
              <w:right w:w="105" w:type="dxa"/>
            </w:tcMar>
          </w:tcPr>
          <w:p w14:paraId="0ADA4A6F" w14:textId="77777777" w:rsidR="00B75986" w:rsidRDefault="00B75986">
            <w:pPr>
              <w:rPr>
                <w:rFonts w:eastAsia="Century Gothic" w:cs="Century Gothic"/>
              </w:rPr>
            </w:pPr>
          </w:p>
        </w:tc>
      </w:tr>
      <w:tr w:rsidR="00B75986" w14:paraId="7C2DEC8B" w14:textId="77777777">
        <w:trPr>
          <w:trHeight w:val="576"/>
        </w:trPr>
        <w:tc>
          <w:tcPr>
            <w:tcW w:w="1782" w:type="dxa"/>
            <w:tcMar>
              <w:left w:w="105" w:type="dxa"/>
              <w:right w:w="105" w:type="dxa"/>
            </w:tcMar>
          </w:tcPr>
          <w:p w14:paraId="3520F201" w14:textId="77777777" w:rsidR="00B75986" w:rsidRDefault="00B75986">
            <w:pPr>
              <w:rPr>
                <w:rFonts w:eastAsia="Century Gothic" w:cs="Century Gothic"/>
              </w:rPr>
            </w:pPr>
          </w:p>
        </w:tc>
        <w:tc>
          <w:tcPr>
            <w:tcW w:w="1622" w:type="dxa"/>
            <w:tcMar>
              <w:left w:w="105" w:type="dxa"/>
              <w:right w:w="105" w:type="dxa"/>
            </w:tcMar>
          </w:tcPr>
          <w:p w14:paraId="4BF0EDCC" w14:textId="77777777" w:rsidR="00B75986" w:rsidRDefault="00B75986">
            <w:pPr>
              <w:rPr>
                <w:rFonts w:eastAsia="Century Gothic" w:cs="Century Gothic"/>
              </w:rPr>
            </w:pPr>
          </w:p>
        </w:tc>
        <w:tc>
          <w:tcPr>
            <w:tcW w:w="2083" w:type="dxa"/>
            <w:tcMar>
              <w:left w:w="105" w:type="dxa"/>
              <w:right w:w="105" w:type="dxa"/>
            </w:tcMar>
          </w:tcPr>
          <w:p w14:paraId="74DF985A" w14:textId="77777777" w:rsidR="00B75986" w:rsidRDefault="00B75986">
            <w:pPr>
              <w:rPr>
                <w:rFonts w:eastAsia="Century Gothic" w:cs="Century Gothic"/>
              </w:rPr>
            </w:pPr>
          </w:p>
        </w:tc>
        <w:tc>
          <w:tcPr>
            <w:tcW w:w="1919" w:type="dxa"/>
            <w:tcMar>
              <w:left w:w="105" w:type="dxa"/>
              <w:right w:w="105" w:type="dxa"/>
            </w:tcMar>
          </w:tcPr>
          <w:p w14:paraId="40E4AE74" w14:textId="77777777" w:rsidR="00B75986" w:rsidRDefault="00B75986">
            <w:pPr>
              <w:rPr>
                <w:rFonts w:eastAsia="Century Gothic" w:cs="Century Gothic"/>
              </w:rPr>
            </w:pPr>
          </w:p>
        </w:tc>
        <w:tc>
          <w:tcPr>
            <w:tcW w:w="2665" w:type="dxa"/>
            <w:tcMar>
              <w:left w:w="105" w:type="dxa"/>
              <w:right w:w="105" w:type="dxa"/>
            </w:tcMar>
          </w:tcPr>
          <w:p w14:paraId="2005786D" w14:textId="77777777" w:rsidR="00B75986" w:rsidRDefault="00B75986">
            <w:pPr>
              <w:rPr>
                <w:rFonts w:eastAsia="Century Gothic" w:cs="Century Gothic"/>
              </w:rPr>
            </w:pPr>
          </w:p>
        </w:tc>
        <w:tc>
          <w:tcPr>
            <w:tcW w:w="2873" w:type="dxa"/>
            <w:tcMar>
              <w:left w:w="105" w:type="dxa"/>
              <w:right w:w="105" w:type="dxa"/>
            </w:tcMar>
          </w:tcPr>
          <w:p w14:paraId="0CE9B0BD" w14:textId="77777777" w:rsidR="00B75986" w:rsidRDefault="00B75986">
            <w:pPr>
              <w:rPr>
                <w:rFonts w:eastAsia="Century Gothic" w:cs="Century Gothic"/>
              </w:rPr>
            </w:pPr>
          </w:p>
        </w:tc>
      </w:tr>
      <w:tr w:rsidR="00B75986" w14:paraId="74B8DB56" w14:textId="77777777">
        <w:trPr>
          <w:trHeight w:val="576"/>
        </w:trPr>
        <w:tc>
          <w:tcPr>
            <w:tcW w:w="1782" w:type="dxa"/>
            <w:tcMar>
              <w:left w:w="105" w:type="dxa"/>
              <w:right w:w="105" w:type="dxa"/>
            </w:tcMar>
          </w:tcPr>
          <w:p w14:paraId="08D87EF2" w14:textId="77777777" w:rsidR="00B75986" w:rsidRDefault="00B75986">
            <w:pPr>
              <w:rPr>
                <w:rFonts w:eastAsia="Century Gothic" w:cs="Century Gothic"/>
              </w:rPr>
            </w:pPr>
          </w:p>
        </w:tc>
        <w:tc>
          <w:tcPr>
            <w:tcW w:w="1622" w:type="dxa"/>
            <w:tcMar>
              <w:left w:w="105" w:type="dxa"/>
              <w:right w:w="105" w:type="dxa"/>
            </w:tcMar>
          </w:tcPr>
          <w:p w14:paraId="748AB37F" w14:textId="77777777" w:rsidR="00B75986" w:rsidRDefault="00B75986">
            <w:pPr>
              <w:rPr>
                <w:rFonts w:eastAsia="Century Gothic" w:cs="Century Gothic"/>
              </w:rPr>
            </w:pPr>
          </w:p>
        </w:tc>
        <w:tc>
          <w:tcPr>
            <w:tcW w:w="2083" w:type="dxa"/>
            <w:tcMar>
              <w:left w:w="105" w:type="dxa"/>
              <w:right w:w="105" w:type="dxa"/>
            </w:tcMar>
          </w:tcPr>
          <w:p w14:paraId="08150813" w14:textId="77777777" w:rsidR="00B75986" w:rsidRDefault="00B75986">
            <w:pPr>
              <w:rPr>
                <w:rFonts w:eastAsia="Century Gothic" w:cs="Century Gothic"/>
              </w:rPr>
            </w:pPr>
          </w:p>
        </w:tc>
        <w:tc>
          <w:tcPr>
            <w:tcW w:w="1919" w:type="dxa"/>
            <w:tcMar>
              <w:left w:w="105" w:type="dxa"/>
              <w:right w:w="105" w:type="dxa"/>
            </w:tcMar>
          </w:tcPr>
          <w:p w14:paraId="29E37AF9" w14:textId="77777777" w:rsidR="00B75986" w:rsidRDefault="00B75986">
            <w:pPr>
              <w:rPr>
                <w:rFonts w:eastAsia="Century Gothic" w:cs="Century Gothic"/>
              </w:rPr>
            </w:pPr>
          </w:p>
        </w:tc>
        <w:tc>
          <w:tcPr>
            <w:tcW w:w="2665" w:type="dxa"/>
            <w:tcMar>
              <w:left w:w="105" w:type="dxa"/>
              <w:right w:w="105" w:type="dxa"/>
            </w:tcMar>
          </w:tcPr>
          <w:p w14:paraId="16F17388" w14:textId="77777777" w:rsidR="00B75986" w:rsidRDefault="00B75986">
            <w:pPr>
              <w:rPr>
                <w:rFonts w:eastAsia="Century Gothic" w:cs="Century Gothic"/>
              </w:rPr>
            </w:pPr>
          </w:p>
        </w:tc>
        <w:tc>
          <w:tcPr>
            <w:tcW w:w="2873" w:type="dxa"/>
            <w:tcMar>
              <w:left w:w="105" w:type="dxa"/>
              <w:right w:w="105" w:type="dxa"/>
            </w:tcMar>
          </w:tcPr>
          <w:p w14:paraId="47E9F06A" w14:textId="77777777" w:rsidR="00B75986" w:rsidRDefault="00B75986">
            <w:pPr>
              <w:rPr>
                <w:rFonts w:eastAsia="Century Gothic" w:cs="Century Gothic"/>
              </w:rPr>
            </w:pPr>
          </w:p>
        </w:tc>
      </w:tr>
      <w:tr w:rsidR="00B75986" w14:paraId="2BAEAC4F" w14:textId="77777777">
        <w:trPr>
          <w:trHeight w:val="576"/>
        </w:trPr>
        <w:tc>
          <w:tcPr>
            <w:tcW w:w="1782" w:type="dxa"/>
            <w:tcMar>
              <w:left w:w="105" w:type="dxa"/>
              <w:right w:w="105" w:type="dxa"/>
            </w:tcMar>
          </w:tcPr>
          <w:p w14:paraId="72C3615C" w14:textId="77777777" w:rsidR="00B75986" w:rsidRDefault="00B75986">
            <w:pPr>
              <w:rPr>
                <w:rFonts w:eastAsia="Century Gothic" w:cs="Century Gothic"/>
              </w:rPr>
            </w:pPr>
          </w:p>
        </w:tc>
        <w:tc>
          <w:tcPr>
            <w:tcW w:w="1622" w:type="dxa"/>
            <w:tcMar>
              <w:left w:w="105" w:type="dxa"/>
              <w:right w:w="105" w:type="dxa"/>
            </w:tcMar>
          </w:tcPr>
          <w:p w14:paraId="4C7AEEA6" w14:textId="77777777" w:rsidR="00B75986" w:rsidRDefault="00B75986">
            <w:pPr>
              <w:rPr>
                <w:rFonts w:eastAsia="Century Gothic" w:cs="Century Gothic"/>
              </w:rPr>
            </w:pPr>
          </w:p>
        </w:tc>
        <w:tc>
          <w:tcPr>
            <w:tcW w:w="2083" w:type="dxa"/>
            <w:tcMar>
              <w:left w:w="105" w:type="dxa"/>
              <w:right w:w="105" w:type="dxa"/>
            </w:tcMar>
          </w:tcPr>
          <w:p w14:paraId="23222342" w14:textId="77777777" w:rsidR="00B75986" w:rsidRDefault="00B75986">
            <w:pPr>
              <w:rPr>
                <w:rFonts w:eastAsia="Century Gothic" w:cs="Century Gothic"/>
              </w:rPr>
            </w:pPr>
          </w:p>
        </w:tc>
        <w:tc>
          <w:tcPr>
            <w:tcW w:w="1919" w:type="dxa"/>
            <w:tcMar>
              <w:left w:w="105" w:type="dxa"/>
              <w:right w:w="105" w:type="dxa"/>
            </w:tcMar>
          </w:tcPr>
          <w:p w14:paraId="6FAF635B" w14:textId="77777777" w:rsidR="00B75986" w:rsidRDefault="00B75986">
            <w:pPr>
              <w:rPr>
                <w:rFonts w:eastAsia="Century Gothic" w:cs="Century Gothic"/>
              </w:rPr>
            </w:pPr>
          </w:p>
        </w:tc>
        <w:tc>
          <w:tcPr>
            <w:tcW w:w="2665" w:type="dxa"/>
            <w:tcMar>
              <w:left w:w="105" w:type="dxa"/>
              <w:right w:w="105" w:type="dxa"/>
            </w:tcMar>
          </w:tcPr>
          <w:p w14:paraId="368385BB" w14:textId="77777777" w:rsidR="00B75986" w:rsidRDefault="00B75986">
            <w:pPr>
              <w:rPr>
                <w:rFonts w:eastAsia="Century Gothic" w:cs="Century Gothic"/>
              </w:rPr>
            </w:pPr>
          </w:p>
        </w:tc>
        <w:tc>
          <w:tcPr>
            <w:tcW w:w="2873" w:type="dxa"/>
            <w:tcMar>
              <w:left w:w="105" w:type="dxa"/>
              <w:right w:w="105" w:type="dxa"/>
            </w:tcMar>
          </w:tcPr>
          <w:p w14:paraId="6EAE3185" w14:textId="77777777" w:rsidR="00B75986" w:rsidRDefault="00B75986">
            <w:pPr>
              <w:rPr>
                <w:rFonts w:eastAsia="Century Gothic" w:cs="Century Gothic"/>
              </w:rPr>
            </w:pPr>
          </w:p>
        </w:tc>
      </w:tr>
      <w:tr w:rsidR="00B75986" w14:paraId="65358677" w14:textId="77777777">
        <w:trPr>
          <w:trHeight w:val="576"/>
        </w:trPr>
        <w:tc>
          <w:tcPr>
            <w:tcW w:w="1782" w:type="dxa"/>
            <w:tcMar>
              <w:left w:w="105" w:type="dxa"/>
              <w:right w:w="105" w:type="dxa"/>
            </w:tcMar>
          </w:tcPr>
          <w:p w14:paraId="6715293D" w14:textId="77777777" w:rsidR="00B75986" w:rsidRDefault="00B75986">
            <w:pPr>
              <w:rPr>
                <w:rFonts w:eastAsia="Century Gothic" w:cs="Century Gothic"/>
              </w:rPr>
            </w:pPr>
          </w:p>
        </w:tc>
        <w:tc>
          <w:tcPr>
            <w:tcW w:w="1622" w:type="dxa"/>
            <w:tcMar>
              <w:left w:w="105" w:type="dxa"/>
              <w:right w:w="105" w:type="dxa"/>
            </w:tcMar>
          </w:tcPr>
          <w:p w14:paraId="31DC017F" w14:textId="77777777" w:rsidR="00B75986" w:rsidRDefault="00B75986">
            <w:pPr>
              <w:rPr>
                <w:rFonts w:eastAsia="Century Gothic" w:cs="Century Gothic"/>
              </w:rPr>
            </w:pPr>
          </w:p>
        </w:tc>
        <w:tc>
          <w:tcPr>
            <w:tcW w:w="2083" w:type="dxa"/>
            <w:tcMar>
              <w:left w:w="105" w:type="dxa"/>
              <w:right w:w="105" w:type="dxa"/>
            </w:tcMar>
          </w:tcPr>
          <w:p w14:paraId="60323409" w14:textId="77777777" w:rsidR="00B75986" w:rsidRDefault="00B75986">
            <w:pPr>
              <w:rPr>
                <w:rFonts w:eastAsia="Century Gothic" w:cs="Century Gothic"/>
              </w:rPr>
            </w:pPr>
          </w:p>
        </w:tc>
        <w:tc>
          <w:tcPr>
            <w:tcW w:w="1919" w:type="dxa"/>
            <w:tcMar>
              <w:left w:w="105" w:type="dxa"/>
              <w:right w:w="105" w:type="dxa"/>
            </w:tcMar>
          </w:tcPr>
          <w:p w14:paraId="01032161" w14:textId="77777777" w:rsidR="00B75986" w:rsidRDefault="00B75986">
            <w:pPr>
              <w:rPr>
                <w:rFonts w:eastAsia="Century Gothic" w:cs="Century Gothic"/>
              </w:rPr>
            </w:pPr>
          </w:p>
        </w:tc>
        <w:tc>
          <w:tcPr>
            <w:tcW w:w="2665" w:type="dxa"/>
            <w:tcMar>
              <w:left w:w="105" w:type="dxa"/>
              <w:right w:w="105" w:type="dxa"/>
            </w:tcMar>
          </w:tcPr>
          <w:p w14:paraId="70242D20" w14:textId="77777777" w:rsidR="00B75986" w:rsidRDefault="00B75986">
            <w:pPr>
              <w:rPr>
                <w:rFonts w:eastAsia="Century Gothic" w:cs="Century Gothic"/>
              </w:rPr>
            </w:pPr>
          </w:p>
        </w:tc>
        <w:tc>
          <w:tcPr>
            <w:tcW w:w="2873" w:type="dxa"/>
            <w:tcMar>
              <w:left w:w="105" w:type="dxa"/>
              <w:right w:w="105" w:type="dxa"/>
            </w:tcMar>
          </w:tcPr>
          <w:p w14:paraId="36E408E2" w14:textId="77777777" w:rsidR="00B75986" w:rsidRDefault="00B75986">
            <w:pPr>
              <w:rPr>
                <w:rFonts w:eastAsia="Century Gothic" w:cs="Century Gothic"/>
              </w:rPr>
            </w:pPr>
          </w:p>
        </w:tc>
      </w:tr>
      <w:tr w:rsidR="00B75986" w14:paraId="02A66B37" w14:textId="77777777">
        <w:trPr>
          <w:trHeight w:val="576"/>
        </w:trPr>
        <w:tc>
          <w:tcPr>
            <w:tcW w:w="1782" w:type="dxa"/>
            <w:tcMar>
              <w:left w:w="105" w:type="dxa"/>
              <w:right w:w="105" w:type="dxa"/>
            </w:tcMar>
          </w:tcPr>
          <w:p w14:paraId="51745E31" w14:textId="77777777" w:rsidR="00B75986" w:rsidRDefault="00B75986">
            <w:pPr>
              <w:rPr>
                <w:rFonts w:eastAsia="Century Gothic" w:cs="Century Gothic"/>
              </w:rPr>
            </w:pPr>
          </w:p>
        </w:tc>
        <w:tc>
          <w:tcPr>
            <w:tcW w:w="1622" w:type="dxa"/>
            <w:tcMar>
              <w:left w:w="105" w:type="dxa"/>
              <w:right w:w="105" w:type="dxa"/>
            </w:tcMar>
          </w:tcPr>
          <w:p w14:paraId="784E6B45" w14:textId="77777777" w:rsidR="00B75986" w:rsidRDefault="00B75986">
            <w:pPr>
              <w:rPr>
                <w:rFonts w:eastAsia="Century Gothic" w:cs="Century Gothic"/>
              </w:rPr>
            </w:pPr>
          </w:p>
        </w:tc>
        <w:tc>
          <w:tcPr>
            <w:tcW w:w="2083" w:type="dxa"/>
            <w:tcMar>
              <w:left w:w="105" w:type="dxa"/>
              <w:right w:w="105" w:type="dxa"/>
            </w:tcMar>
          </w:tcPr>
          <w:p w14:paraId="73761E5D" w14:textId="77777777" w:rsidR="00B75986" w:rsidRDefault="00B75986">
            <w:pPr>
              <w:rPr>
                <w:rFonts w:eastAsia="Century Gothic" w:cs="Century Gothic"/>
              </w:rPr>
            </w:pPr>
          </w:p>
        </w:tc>
        <w:tc>
          <w:tcPr>
            <w:tcW w:w="1919" w:type="dxa"/>
            <w:tcMar>
              <w:left w:w="105" w:type="dxa"/>
              <w:right w:w="105" w:type="dxa"/>
            </w:tcMar>
          </w:tcPr>
          <w:p w14:paraId="1577CFFF" w14:textId="77777777" w:rsidR="00B75986" w:rsidRDefault="00B75986">
            <w:pPr>
              <w:rPr>
                <w:rFonts w:eastAsia="Century Gothic" w:cs="Century Gothic"/>
              </w:rPr>
            </w:pPr>
          </w:p>
        </w:tc>
        <w:tc>
          <w:tcPr>
            <w:tcW w:w="2665" w:type="dxa"/>
            <w:tcMar>
              <w:left w:w="105" w:type="dxa"/>
              <w:right w:w="105" w:type="dxa"/>
            </w:tcMar>
          </w:tcPr>
          <w:p w14:paraId="30732701" w14:textId="77777777" w:rsidR="00B75986" w:rsidRDefault="00B75986">
            <w:pPr>
              <w:rPr>
                <w:rFonts w:eastAsia="Century Gothic" w:cs="Century Gothic"/>
              </w:rPr>
            </w:pPr>
          </w:p>
        </w:tc>
        <w:tc>
          <w:tcPr>
            <w:tcW w:w="2873" w:type="dxa"/>
            <w:tcMar>
              <w:left w:w="105" w:type="dxa"/>
              <w:right w:w="105" w:type="dxa"/>
            </w:tcMar>
          </w:tcPr>
          <w:p w14:paraId="4CAC2223" w14:textId="77777777" w:rsidR="00B75986" w:rsidRDefault="00B75986">
            <w:pPr>
              <w:rPr>
                <w:rFonts w:eastAsia="Century Gothic" w:cs="Century Gothic"/>
              </w:rPr>
            </w:pPr>
          </w:p>
        </w:tc>
      </w:tr>
      <w:tr w:rsidR="00B75986" w14:paraId="2AD37906" w14:textId="77777777">
        <w:trPr>
          <w:trHeight w:val="576"/>
        </w:trPr>
        <w:tc>
          <w:tcPr>
            <w:tcW w:w="1782" w:type="dxa"/>
            <w:tcMar>
              <w:left w:w="105" w:type="dxa"/>
              <w:right w:w="105" w:type="dxa"/>
            </w:tcMar>
          </w:tcPr>
          <w:p w14:paraId="456BCFEF" w14:textId="77777777" w:rsidR="00B75986" w:rsidRDefault="00B75986">
            <w:pPr>
              <w:rPr>
                <w:rFonts w:eastAsia="Century Gothic" w:cs="Century Gothic"/>
              </w:rPr>
            </w:pPr>
          </w:p>
        </w:tc>
        <w:tc>
          <w:tcPr>
            <w:tcW w:w="1622" w:type="dxa"/>
            <w:tcMar>
              <w:left w:w="105" w:type="dxa"/>
              <w:right w:w="105" w:type="dxa"/>
            </w:tcMar>
          </w:tcPr>
          <w:p w14:paraId="5414CB15" w14:textId="77777777" w:rsidR="00B75986" w:rsidRDefault="00B75986">
            <w:pPr>
              <w:rPr>
                <w:rFonts w:eastAsia="Century Gothic" w:cs="Century Gothic"/>
              </w:rPr>
            </w:pPr>
          </w:p>
        </w:tc>
        <w:tc>
          <w:tcPr>
            <w:tcW w:w="2083" w:type="dxa"/>
            <w:tcMar>
              <w:left w:w="105" w:type="dxa"/>
              <w:right w:w="105" w:type="dxa"/>
            </w:tcMar>
          </w:tcPr>
          <w:p w14:paraId="3CBFCB82" w14:textId="77777777" w:rsidR="00B75986" w:rsidRDefault="00B75986">
            <w:pPr>
              <w:rPr>
                <w:rFonts w:eastAsia="Century Gothic" w:cs="Century Gothic"/>
              </w:rPr>
            </w:pPr>
          </w:p>
        </w:tc>
        <w:tc>
          <w:tcPr>
            <w:tcW w:w="1919" w:type="dxa"/>
            <w:tcMar>
              <w:left w:w="105" w:type="dxa"/>
              <w:right w:w="105" w:type="dxa"/>
            </w:tcMar>
          </w:tcPr>
          <w:p w14:paraId="24EEFCC4" w14:textId="77777777" w:rsidR="00B75986" w:rsidRDefault="00B75986">
            <w:pPr>
              <w:rPr>
                <w:rFonts w:eastAsia="Century Gothic" w:cs="Century Gothic"/>
              </w:rPr>
            </w:pPr>
          </w:p>
        </w:tc>
        <w:tc>
          <w:tcPr>
            <w:tcW w:w="2665" w:type="dxa"/>
            <w:tcMar>
              <w:left w:w="105" w:type="dxa"/>
              <w:right w:w="105" w:type="dxa"/>
            </w:tcMar>
          </w:tcPr>
          <w:p w14:paraId="7F63AA10" w14:textId="77777777" w:rsidR="00B75986" w:rsidRDefault="00B75986">
            <w:pPr>
              <w:rPr>
                <w:rFonts w:eastAsia="Century Gothic" w:cs="Century Gothic"/>
              </w:rPr>
            </w:pPr>
          </w:p>
        </w:tc>
        <w:tc>
          <w:tcPr>
            <w:tcW w:w="2873" w:type="dxa"/>
            <w:tcMar>
              <w:left w:w="105" w:type="dxa"/>
              <w:right w:w="105" w:type="dxa"/>
            </w:tcMar>
          </w:tcPr>
          <w:p w14:paraId="2D80373A" w14:textId="77777777" w:rsidR="00B75986" w:rsidRDefault="00B75986">
            <w:pPr>
              <w:rPr>
                <w:rFonts w:eastAsia="Century Gothic" w:cs="Century Gothic"/>
              </w:rPr>
            </w:pPr>
          </w:p>
        </w:tc>
      </w:tr>
      <w:tr w:rsidR="00B75986" w14:paraId="7C4CADF5" w14:textId="77777777">
        <w:trPr>
          <w:trHeight w:val="576"/>
        </w:trPr>
        <w:tc>
          <w:tcPr>
            <w:tcW w:w="1782" w:type="dxa"/>
            <w:tcMar>
              <w:left w:w="105" w:type="dxa"/>
              <w:right w:w="105" w:type="dxa"/>
            </w:tcMar>
          </w:tcPr>
          <w:p w14:paraId="0DD6A390" w14:textId="77777777" w:rsidR="00B75986" w:rsidRDefault="00B75986">
            <w:pPr>
              <w:rPr>
                <w:rFonts w:eastAsia="Century Gothic" w:cs="Century Gothic"/>
              </w:rPr>
            </w:pPr>
          </w:p>
        </w:tc>
        <w:tc>
          <w:tcPr>
            <w:tcW w:w="1622" w:type="dxa"/>
            <w:tcMar>
              <w:left w:w="105" w:type="dxa"/>
              <w:right w:w="105" w:type="dxa"/>
            </w:tcMar>
          </w:tcPr>
          <w:p w14:paraId="7E4D909E" w14:textId="77777777" w:rsidR="00B75986" w:rsidRDefault="00B75986">
            <w:pPr>
              <w:rPr>
                <w:rFonts w:eastAsia="Century Gothic" w:cs="Century Gothic"/>
              </w:rPr>
            </w:pPr>
          </w:p>
        </w:tc>
        <w:tc>
          <w:tcPr>
            <w:tcW w:w="2083" w:type="dxa"/>
            <w:tcMar>
              <w:left w:w="105" w:type="dxa"/>
              <w:right w:w="105" w:type="dxa"/>
            </w:tcMar>
          </w:tcPr>
          <w:p w14:paraId="00B1FE47" w14:textId="77777777" w:rsidR="00B75986" w:rsidRDefault="00B75986">
            <w:pPr>
              <w:rPr>
                <w:rFonts w:eastAsia="Century Gothic" w:cs="Century Gothic"/>
              </w:rPr>
            </w:pPr>
          </w:p>
        </w:tc>
        <w:tc>
          <w:tcPr>
            <w:tcW w:w="1919" w:type="dxa"/>
            <w:tcMar>
              <w:left w:w="105" w:type="dxa"/>
              <w:right w:w="105" w:type="dxa"/>
            </w:tcMar>
          </w:tcPr>
          <w:p w14:paraId="4774AD74" w14:textId="77777777" w:rsidR="00B75986" w:rsidRDefault="00B75986">
            <w:pPr>
              <w:rPr>
                <w:rFonts w:eastAsia="Century Gothic" w:cs="Century Gothic"/>
              </w:rPr>
            </w:pPr>
          </w:p>
        </w:tc>
        <w:tc>
          <w:tcPr>
            <w:tcW w:w="2665" w:type="dxa"/>
            <w:tcMar>
              <w:left w:w="105" w:type="dxa"/>
              <w:right w:w="105" w:type="dxa"/>
            </w:tcMar>
          </w:tcPr>
          <w:p w14:paraId="622F15CE" w14:textId="77777777" w:rsidR="00B75986" w:rsidRDefault="00B75986">
            <w:pPr>
              <w:rPr>
                <w:rFonts w:eastAsia="Century Gothic" w:cs="Century Gothic"/>
              </w:rPr>
            </w:pPr>
          </w:p>
        </w:tc>
        <w:tc>
          <w:tcPr>
            <w:tcW w:w="2873" w:type="dxa"/>
            <w:tcMar>
              <w:left w:w="105" w:type="dxa"/>
              <w:right w:w="105" w:type="dxa"/>
            </w:tcMar>
          </w:tcPr>
          <w:p w14:paraId="43645CE6" w14:textId="77777777" w:rsidR="00B75986" w:rsidRDefault="00B75986">
            <w:pPr>
              <w:rPr>
                <w:rFonts w:eastAsia="Century Gothic" w:cs="Century Gothic"/>
              </w:rPr>
            </w:pPr>
          </w:p>
        </w:tc>
      </w:tr>
      <w:tr w:rsidR="00B75986" w14:paraId="3390BB88" w14:textId="77777777">
        <w:trPr>
          <w:trHeight w:val="576"/>
        </w:trPr>
        <w:tc>
          <w:tcPr>
            <w:tcW w:w="1782" w:type="dxa"/>
            <w:tcMar>
              <w:left w:w="105" w:type="dxa"/>
              <w:right w:w="105" w:type="dxa"/>
            </w:tcMar>
          </w:tcPr>
          <w:p w14:paraId="24BA7802" w14:textId="77777777" w:rsidR="00B75986" w:rsidRDefault="00B75986">
            <w:pPr>
              <w:rPr>
                <w:rFonts w:eastAsia="Century Gothic" w:cs="Century Gothic"/>
              </w:rPr>
            </w:pPr>
          </w:p>
        </w:tc>
        <w:tc>
          <w:tcPr>
            <w:tcW w:w="1622" w:type="dxa"/>
            <w:tcMar>
              <w:left w:w="105" w:type="dxa"/>
              <w:right w:w="105" w:type="dxa"/>
            </w:tcMar>
          </w:tcPr>
          <w:p w14:paraId="209A9CB3" w14:textId="77777777" w:rsidR="00B75986" w:rsidRDefault="00B75986">
            <w:pPr>
              <w:rPr>
                <w:rFonts w:eastAsia="Century Gothic" w:cs="Century Gothic"/>
              </w:rPr>
            </w:pPr>
          </w:p>
        </w:tc>
        <w:tc>
          <w:tcPr>
            <w:tcW w:w="2083" w:type="dxa"/>
            <w:tcMar>
              <w:left w:w="105" w:type="dxa"/>
              <w:right w:w="105" w:type="dxa"/>
            </w:tcMar>
          </w:tcPr>
          <w:p w14:paraId="667A4CCD" w14:textId="77777777" w:rsidR="00B75986" w:rsidRDefault="00B75986">
            <w:pPr>
              <w:rPr>
                <w:rFonts w:eastAsia="Century Gothic" w:cs="Century Gothic"/>
              </w:rPr>
            </w:pPr>
          </w:p>
        </w:tc>
        <w:tc>
          <w:tcPr>
            <w:tcW w:w="1919" w:type="dxa"/>
            <w:tcMar>
              <w:left w:w="105" w:type="dxa"/>
              <w:right w:w="105" w:type="dxa"/>
            </w:tcMar>
          </w:tcPr>
          <w:p w14:paraId="7CE14323" w14:textId="77777777" w:rsidR="00B75986" w:rsidRDefault="00B75986">
            <w:pPr>
              <w:rPr>
                <w:rFonts w:eastAsia="Century Gothic" w:cs="Century Gothic"/>
              </w:rPr>
            </w:pPr>
          </w:p>
        </w:tc>
        <w:tc>
          <w:tcPr>
            <w:tcW w:w="2665" w:type="dxa"/>
            <w:tcMar>
              <w:left w:w="105" w:type="dxa"/>
              <w:right w:w="105" w:type="dxa"/>
            </w:tcMar>
          </w:tcPr>
          <w:p w14:paraId="68D9A0C8" w14:textId="77777777" w:rsidR="00B75986" w:rsidRDefault="00B75986">
            <w:pPr>
              <w:rPr>
                <w:rFonts w:eastAsia="Century Gothic" w:cs="Century Gothic"/>
              </w:rPr>
            </w:pPr>
          </w:p>
        </w:tc>
        <w:tc>
          <w:tcPr>
            <w:tcW w:w="2873" w:type="dxa"/>
            <w:tcMar>
              <w:left w:w="105" w:type="dxa"/>
              <w:right w:w="105" w:type="dxa"/>
            </w:tcMar>
          </w:tcPr>
          <w:p w14:paraId="7FF9F749" w14:textId="77777777" w:rsidR="00B75986" w:rsidRDefault="00B75986">
            <w:pPr>
              <w:rPr>
                <w:rFonts w:eastAsia="Century Gothic" w:cs="Century Gothic"/>
              </w:rPr>
            </w:pPr>
          </w:p>
        </w:tc>
      </w:tr>
      <w:tr w:rsidR="00B75986" w14:paraId="0B6161AB" w14:textId="77777777">
        <w:trPr>
          <w:trHeight w:val="576"/>
        </w:trPr>
        <w:tc>
          <w:tcPr>
            <w:tcW w:w="1782" w:type="dxa"/>
            <w:tcMar>
              <w:left w:w="105" w:type="dxa"/>
              <w:right w:w="105" w:type="dxa"/>
            </w:tcMar>
          </w:tcPr>
          <w:p w14:paraId="52772EBD" w14:textId="77777777" w:rsidR="00B75986" w:rsidRDefault="00B75986">
            <w:pPr>
              <w:rPr>
                <w:rFonts w:eastAsia="Century Gothic" w:cs="Century Gothic"/>
              </w:rPr>
            </w:pPr>
          </w:p>
        </w:tc>
        <w:tc>
          <w:tcPr>
            <w:tcW w:w="1622" w:type="dxa"/>
            <w:tcMar>
              <w:left w:w="105" w:type="dxa"/>
              <w:right w:w="105" w:type="dxa"/>
            </w:tcMar>
          </w:tcPr>
          <w:p w14:paraId="4148FCCD" w14:textId="77777777" w:rsidR="00B75986" w:rsidRDefault="00B75986">
            <w:pPr>
              <w:rPr>
                <w:rFonts w:eastAsia="Century Gothic" w:cs="Century Gothic"/>
              </w:rPr>
            </w:pPr>
          </w:p>
        </w:tc>
        <w:tc>
          <w:tcPr>
            <w:tcW w:w="2083" w:type="dxa"/>
            <w:tcMar>
              <w:left w:w="105" w:type="dxa"/>
              <w:right w:w="105" w:type="dxa"/>
            </w:tcMar>
          </w:tcPr>
          <w:p w14:paraId="28170CC8" w14:textId="77777777" w:rsidR="00B75986" w:rsidRDefault="00B75986">
            <w:pPr>
              <w:rPr>
                <w:rFonts w:eastAsia="Century Gothic" w:cs="Century Gothic"/>
              </w:rPr>
            </w:pPr>
          </w:p>
        </w:tc>
        <w:tc>
          <w:tcPr>
            <w:tcW w:w="1919" w:type="dxa"/>
            <w:tcMar>
              <w:left w:w="105" w:type="dxa"/>
              <w:right w:w="105" w:type="dxa"/>
            </w:tcMar>
          </w:tcPr>
          <w:p w14:paraId="17521300" w14:textId="77777777" w:rsidR="00B75986" w:rsidRDefault="00B75986">
            <w:pPr>
              <w:rPr>
                <w:rFonts w:eastAsia="Century Gothic" w:cs="Century Gothic"/>
              </w:rPr>
            </w:pPr>
          </w:p>
        </w:tc>
        <w:tc>
          <w:tcPr>
            <w:tcW w:w="2665" w:type="dxa"/>
            <w:tcMar>
              <w:left w:w="105" w:type="dxa"/>
              <w:right w:w="105" w:type="dxa"/>
            </w:tcMar>
          </w:tcPr>
          <w:p w14:paraId="42AF9F45" w14:textId="77777777" w:rsidR="00B75986" w:rsidRDefault="00B75986">
            <w:pPr>
              <w:rPr>
                <w:rFonts w:eastAsia="Century Gothic" w:cs="Century Gothic"/>
              </w:rPr>
            </w:pPr>
          </w:p>
        </w:tc>
        <w:tc>
          <w:tcPr>
            <w:tcW w:w="2873" w:type="dxa"/>
            <w:tcMar>
              <w:left w:w="105" w:type="dxa"/>
              <w:right w:w="105" w:type="dxa"/>
            </w:tcMar>
          </w:tcPr>
          <w:p w14:paraId="667E03B7" w14:textId="77777777" w:rsidR="00B75986" w:rsidRDefault="00B75986">
            <w:pPr>
              <w:rPr>
                <w:rFonts w:eastAsia="Century Gothic" w:cs="Century Gothic"/>
              </w:rPr>
            </w:pPr>
          </w:p>
        </w:tc>
      </w:tr>
    </w:tbl>
    <w:p w14:paraId="31EC9CF6" w14:textId="77777777" w:rsidR="00B75986" w:rsidRDefault="00B75986" w:rsidP="00B75986">
      <w:pPr>
        <w:rPr>
          <w:rFonts w:eastAsia="Century Gothic" w:cs="Century Gothic"/>
          <w:color w:val="000000" w:themeColor="text1"/>
        </w:rPr>
      </w:pPr>
      <w:bookmarkStart w:id="260" w:name="_Ref230248148"/>
      <w:bookmarkStart w:id="261" w:name="_Ref230248224"/>
      <w:r>
        <w:rPr>
          <w:rFonts w:eastAsia="Century Gothic" w:cs="Century Gothic"/>
          <w:color w:val="000000" w:themeColor="text1"/>
        </w:rPr>
        <w:br w:type="page"/>
      </w:r>
    </w:p>
    <w:p w14:paraId="5D4E59EA" w14:textId="77777777" w:rsidR="005F158A" w:rsidRDefault="005F158A" w:rsidP="005F158A">
      <w:pPr>
        <w:pStyle w:val="Heading2"/>
        <w:spacing w:before="160" w:after="160" w:line="240" w:lineRule="auto"/>
      </w:pPr>
      <w:bookmarkStart w:id="262" w:name="_Toc235802763"/>
      <w:bookmarkStart w:id="263" w:name="_Ref230247844"/>
      <w:bookmarkEnd w:id="260"/>
      <w:bookmarkEnd w:id="261"/>
      <w:r>
        <w:t>Identifying and Analyzing Primary Climate Hazards</w:t>
      </w:r>
      <w:bookmarkEnd w:id="262"/>
    </w:p>
    <w:p w14:paraId="21DC49F7" w14:textId="77777777" w:rsidR="005F158A" w:rsidRPr="004E75A7" w:rsidRDefault="005F158A" w:rsidP="005F158A">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Steps 2.1C, 2.1D, 2.2A</w:t>
      </w:r>
    </w:p>
    <w:p w14:paraId="1B0E480C" w14:textId="22210A95" w:rsidR="005F158A" w:rsidRDefault="005F158A" w:rsidP="005F158A">
      <w:pPr>
        <w:spacing w:before="160" w:line="240" w:lineRule="auto"/>
        <w:rPr>
          <w:rFonts w:eastAsia="Century Gothic" w:cs="Century Gothic"/>
          <w:color w:val="000000" w:themeColor="text1"/>
        </w:rPr>
      </w:pPr>
      <w:r>
        <w:rPr>
          <w:rFonts w:eastAsia="Century Gothic" w:cs="Century Gothic"/>
          <w:color w:val="000000" w:themeColor="text1"/>
        </w:rPr>
        <w:t xml:space="preserve">Use the table below to document and organize an initial assessment of the community’s vulnerabilities. Fill in the observations and insights based on the VCP’s </w:t>
      </w:r>
      <w:hyperlink r:id="rId367" w:history="1">
        <w:r>
          <w:rPr>
            <w:rStyle w:val="Hyperlink"/>
            <w:rFonts w:eastAsia="Century Gothic" w:cs="Century Gothic"/>
          </w:rPr>
          <w:t>Climate Vulnerability Map</w:t>
        </w:r>
      </w:hyperlink>
      <w:r>
        <w:rPr>
          <w:rFonts w:eastAsia="Century Gothic" w:cs="Century Gothic"/>
          <w:color w:val="000000" w:themeColor="text1"/>
        </w:rPr>
        <w:t>. The key below describes where to look to find the information to fill in each row of the table.</w:t>
      </w:r>
    </w:p>
    <w:p w14:paraId="0942E8D4" w14:textId="7B73C7AE" w:rsidR="005F158A" w:rsidRDefault="005F158A" w:rsidP="005F158A">
      <w:pPr>
        <w:spacing w:before="160" w:line="240" w:lineRule="auto"/>
        <w:rPr>
          <w:rFonts w:eastAsia="Century Gothic" w:cs="Century Gothic"/>
          <w:color w:val="000000" w:themeColor="text1"/>
        </w:rPr>
      </w:pPr>
      <w:r>
        <w:rPr>
          <w:rFonts w:eastAsia="Century Gothic" w:cs="Century Gothic"/>
          <w:b/>
          <w:bCs/>
          <w:color w:val="000000" w:themeColor="text1"/>
        </w:rPr>
        <w:t>#1.</w:t>
      </w:r>
      <w:r>
        <w:rPr>
          <w:rFonts w:eastAsia="Century Gothic" w:cs="Century Gothic"/>
          <w:color w:val="000000" w:themeColor="text1"/>
        </w:rPr>
        <w:t xml:space="preserve"> Look at the map for each hazard to assess if there is vulnerability present and where it is located.</w:t>
      </w:r>
    </w:p>
    <w:p w14:paraId="66EAD52B" w14:textId="32E95973" w:rsidR="005F158A" w:rsidRDefault="005F158A" w:rsidP="005F158A">
      <w:pPr>
        <w:spacing w:before="160" w:line="240" w:lineRule="auto"/>
        <w:rPr>
          <w:rFonts w:eastAsia="Century Gothic" w:cs="Century Gothic"/>
          <w:color w:val="000000" w:themeColor="text1"/>
        </w:rPr>
      </w:pPr>
      <w:r>
        <w:rPr>
          <w:rFonts w:eastAsia="Century Gothic" w:cs="Century Gothic"/>
          <w:b/>
          <w:bCs/>
          <w:color w:val="000000" w:themeColor="text1"/>
        </w:rPr>
        <w:t>#2.</w:t>
      </w:r>
      <w:r>
        <w:rPr>
          <w:rFonts w:eastAsia="Century Gothic" w:cs="Century Gothic"/>
          <w:color w:val="000000" w:themeColor="text1"/>
        </w:rPr>
        <w:t xml:space="preserve"> Look at the Pop-ups for a quick ‘report card’ of the clicked block group that includes its High/Med/Low designation for each hazard.</w:t>
      </w:r>
    </w:p>
    <w:p w14:paraId="5A00CFC0" w14:textId="3D197076" w:rsidR="005F158A" w:rsidRDefault="005F158A" w:rsidP="005F158A">
      <w:pPr>
        <w:spacing w:before="160" w:line="240" w:lineRule="auto"/>
        <w:rPr>
          <w:rFonts w:eastAsia="Century Gothic" w:cs="Century Gothic"/>
          <w:color w:val="000000" w:themeColor="text1"/>
        </w:rPr>
      </w:pPr>
      <w:r>
        <w:rPr>
          <w:rFonts w:eastAsia="Century Gothic" w:cs="Century Gothic"/>
          <w:b/>
          <w:bCs/>
          <w:color w:val="000000" w:themeColor="text1"/>
        </w:rPr>
        <w:t>#3</w:t>
      </w:r>
      <w:r>
        <w:rPr>
          <w:rFonts w:eastAsia="Century Gothic" w:cs="Century Gothic"/>
          <w:color w:val="000000" w:themeColor="text1"/>
        </w:rPr>
        <w:t>. Use the ‘Compare Tool’ – found in the top right corner of the page – to compare hazards across the Now timeframe and the 2050 timeframe.</w:t>
      </w:r>
    </w:p>
    <w:p w14:paraId="2191B545" w14:textId="364426CE" w:rsidR="005F158A" w:rsidRDefault="005F158A" w:rsidP="005F158A">
      <w:pPr>
        <w:spacing w:before="160" w:line="240" w:lineRule="auto"/>
        <w:rPr>
          <w:rFonts w:eastAsia="Century Gothic" w:cs="Century Gothic"/>
          <w:color w:val="000000" w:themeColor="text1"/>
        </w:rPr>
      </w:pPr>
      <w:r>
        <w:rPr>
          <w:rFonts w:eastAsia="Century Gothic" w:cs="Century Gothic"/>
          <w:b/>
          <w:bCs/>
          <w:color w:val="000000" w:themeColor="text1"/>
        </w:rPr>
        <w:t xml:space="preserve">#4. </w:t>
      </w:r>
      <w:r>
        <w:rPr>
          <w:rFonts w:eastAsia="Century Gothic" w:cs="Century Gothic"/>
          <w:color w:val="000000" w:themeColor="text1"/>
        </w:rPr>
        <w:t>Use the ‘Individual Indicators’ tab – found in the top right of the page – to select specific individual indicators of vulnerability from the left side menu.</w:t>
      </w:r>
    </w:p>
    <w:tbl>
      <w:tblPr>
        <w:tblStyle w:val="TableGrid"/>
        <w:tblW w:w="12793" w:type="dxa"/>
        <w:tblLook w:val="04A0" w:firstRow="1" w:lastRow="0" w:firstColumn="1" w:lastColumn="0" w:noHBand="0" w:noVBand="1"/>
        <w:tblCaption w:val="Assessment of climate hazards and vulnerabilities from the VCP"/>
        <w:tblDescription w:val="Fillable table with 4 questions per hazard to do an initial assessment of climate-related hazards."/>
      </w:tblPr>
      <w:tblGrid>
        <w:gridCol w:w="4945"/>
        <w:gridCol w:w="1800"/>
        <w:gridCol w:w="1512"/>
        <w:gridCol w:w="1512"/>
        <w:gridCol w:w="1512"/>
        <w:gridCol w:w="1512"/>
      </w:tblGrid>
      <w:tr w:rsidR="005F158A" w14:paraId="6578AD82" w14:textId="77777777" w:rsidTr="00C36E1D">
        <w:trPr>
          <w:trHeight w:val="300"/>
        </w:trPr>
        <w:tc>
          <w:tcPr>
            <w:tcW w:w="4945" w:type="dxa"/>
            <w:tcMar>
              <w:left w:w="105" w:type="dxa"/>
              <w:right w:w="105" w:type="dxa"/>
            </w:tcMar>
          </w:tcPr>
          <w:p w14:paraId="6DE3E949" w14:textId="77777777" w:rsidR="005F158A" w:rsidRDefault="005F158A">
            <w:pPr>
              <w:rPr>
                <w:rFonts w:eastAsia="Century Gothic" w:cs="Century Gothic"/>
              </w:rPr>
            </w:pPr>
          </w:p>
        </w:tc>
        <w:tc>
          <w:tcPr>
            <w:tcW w:w="1800" w:type="dxa"/>
            <w:tcMar>
              <w:left w:w="105" w:type="dxa"/>
              <w:right w:w="105" w:type="dxa"/>
            </w:tcMar>
            <w:vAlign w:val="center"/>
          </w:tcPr>
          <w:p w14:paraId="5B7991D3" w14:textId="77777777" w:rsidR="005F158A" w:rsidRDefault="005F158A">
            <w:pPr>
              <w:jc w:val="center"/>
              <w:rPr>
                <w:rFonts w:eastAsia="Century Gothic" w:cs="Century Gothic"/>
              </w:rPr>
            </w:pPr>
            <w:r>
              <w:rPr>
                <w:rFonts w:eastAsia="Century Gothic" w:cs="Century Gothic"/>
                <w:b/>
                <w:bCs/>
              </w:rPr>
              <w:t>Extreme Heat</w:t>
            </w:r>
          </w:p>
        </w:tc>
        <w:tc>
          <w:tcPr>
            <w:tcW w:w="1512" w:type="dxa"/>
            <w:tcMar>
              <w:left w:w="105" w:type="dxa"/>
              <w:right w:w="105" w:type="dxa"/>
            </w:tcMar>
            <w:vAlign w:val="center"/>
          </w:tcPr>
          <w:p w14:paraId="61DC32AD" w14:textId="77777777" w:rsidR="005F158A" w:rsidRDefault="005F158A">
            <w:pPr>
              <w:jc w:val="center"/>
              <w:rPr>
                <w:rFonts w:eastAsia="Century Gothic" w:cs="Century Gothic"/>
              </w:rPr>
            </w:pPr>
            <w:r>
              <w:rPr>
                <w:rFonts w:eastAsia="Century Gothic" w:cs="Century Gothic"/>
                <w:b/>
                <w:bCs/>
              </w:rPr>
              <w:t>Flood</w:t>
            </w:r>
          </w:p>
        </w:tc>
        <w:tc>
          <w:tcPr>
            <w:tcW w:w="1512" w:type="dxa"/>
            <w:tcMar>
              <w:left w:w="105" w:type="dxa"/>
              <w:right w:w="105" w:type="dxa"/>
            </w:tcMar>
            <w:vAlign w:val="center"/>
          </w:tcPr>
          <w:p w14:paraId="57910DAF" w14:textId="77777777" w:rsidR="005F158A" w:rsidRDefault="005F158A">
            <w:pPr>
              <w:jc w:val="center"/>
              <w:rPr>
                <w:rFonts w:eastAsia="Century Gothic" w:cs="Century Gothic"/>
              </w:rPr>
            </w:pPr>
            <w:r>
              <w:rPr>
                <w:rFonts w:eastAsia="Century Gothic" w:cs="Century Gothic"/>
                <w:b/>
                <w:bCs/>
              </w:rPr>
              <w:t>SLR</w:t>
            </w:r>
          </w:p>
        </w:tc>
        <w:tc>
          <w:tcPr>
            <w:tcW w:w="1512" w:type="dxa"/>
            <w:tcMar>
              <w:left w:w="105" w:type="dxa"/>
              <w:right w:w="105" w:type="dxa"/>
            </w:tcMar>
            <w:vAlign w:val="center"/>
          </w:tcPr>
          <w:p w14:paraId="72C6CF8F" w14:textId="77777777" w:rsidR="005F158A" w:rsidRDefault="005F158A">
            <w:pPr>
              <w:jc w:val="center"/>
              <w:rPr>
                <w:rFonts w:eastAsia="Century Gothic" w:cs="Century Gothic"/>
              </w:rPr>
            </w:pPr>
            <w:r>
              <w:rPr>
                <w:rFonts w:eastAsia="Century Gothic" w:cs="Century Gothic"/>
                <w:b/>
                <w:bCs/>
              </w:rPr>
              <w:t>Drought</w:t>
            </w:r>
          </w:p>
        </w:tc>
        <w:tc>
          <w:tcPr>
            <w:tcW w:w="1512" w:type="dxa"/>
            <w:tcMar>
              <w:left w:w="105" w:type="dxa"/>
              <w:right w:w="105" w:type="dxa"/>
            </w:tcMar>
            <w:vAlign w:val="center"/>
          </w:tcPr>
          <w:p w14:paraId="50158ABF" w14:textId="77777777" w:rsidR="005F158A" w:rsidRDefault="005F158A">
            <w:pPr>
              <w:jc w:val="center"/>
              <w:rPr>
                <w:rFonts w:eastAsia="Century Gothic" w:cs="Century Gothic"/>
              </w:rPr>
            </w:pPr>
            <w:r>
              <w:rPr>
                <w:rFonts w:eastAsia="Century Gothic" w:cs="Century Gothic"/>
                <w:b/>
                <w:bCs/>
              </w:rPr>
              <w:t>Wildfire</w:t>
            </w:r>
          </w:p>
        </w:tc>
      </w:tr>
      <w:tr w:rsidR="005F158A" w14:paraId="56ACA066" w14:textId="77777777" w:rsidTr="00C36E1D">
        <w:trPr>
          <w:trHeight w:val="300"/>
        </w:trPr>
        <w:tc>
          <w:tcPr>
            <w:tcW w:w="4945" w:type="dxa"/>
            <w:tcMar>
              <w:left w:w="105" w:type="dxa"/>
              <w:right w:w="105" w:type="dxa"/>
            </w:tcMar>
          </w:tcPr>
          <w:p w14:paraId="61A5322F" w14:textId="5C6011A8" w:rsidR="005F158A" w:rsidRDefault="005F158A">
            <w:pPr>
              <w:rPr>
                <w:rFonts w:eastAsia="Century Gothic" w:cs="Century Gothic"/>
              </w:rPr>
            </w:pPr>
            <w:r>
              <w:rPr>
                <w:b/>
                <w:bCs/>
              </w:rPr>
              <w:t>A</w:t>
            </w:r>
            <w:r>
              <w:t xml:space="preserve">. Is this climate hazard present in the area of interest (Yes/No) now or in 2050? </w:t>
            </w:r>
            <w:r>
              <w:rPr>
                <w:b/>
              </w:rPr>
              <w:t>(#1)</w:t>
            </w:r>
          </w:p>
        </w:tc>
        <w:tc>
          <w:tcPr>
            <w:tcW w:w="1800" w:type="dxa"/>
            <w:tcMar>
              <w:left w:w="105" w:type="dxa"/>
              <w:right w:w="105" w:type="dxa"/>
            </w:tcMar>
          </w:tcPr>
          <w:p w14:paraId="19832CBD" w14:textId="77777777" w:rsidR="005F158A" w:rsidRDefault="005F158A">
            <w:pPr>
              <w:rPr>
                <w:rFonts w:eastAsia="Century Gothic" w:cs="Century Gothic"/>
              </w:rPr>
            </w:pPr>
          </w:p>
        </w:tc>
        <w:tc>
          <w:tcPr>
            <w:tcW w:w="1512" w:type="dxa"/>
            <w:tcMar>
              <w:left w:w="105" w:type="dxa"/>
              <w:right w:w="105" w:type="dxa"/>
            </w:tcMar>
          </w:tcPr>
          <w:p w14:paraId="58580535" w14:textId="77777777" w:rsidR="005F158A" w:rsidRDefault="005F158A">
            <w:pPr>
              <w:rPr>
                <w:rFonts w:eastAsia="Century Gothic" w:cs="Century Gothic"/>
              </w:rPr>
            </w:pPr>
          </w:p>
        </w:tc>
        <w:tc>
          <w:tcPr>
            <w:tcW w:w="1512" w:type="dxa"/>
            <w:tcMar>
              <w:left w:w="105" w:type="dxa"/>
              <w:right w:w="105" w:type="dxa"/>
            </w:tcMar>
          </w:tcPr>
          <w:p w14:paraId="43CCA516" w14:textId="77777777" w:rsidR="005F158A" w:rsidRDefault="005F158A">
            <w:pPr>
              <w:rPr>
                <w:rFonts w:eastAsia="Century Gothic" w:cs="Century Gothic"/>
              </w:rPr>
            </w:pPr>
          </w:p>
        </w:tc>
        <w:tc>
          <w:tcPr>
            <w:tcW w:w="1512" w:type="dxa"/>
            <w:tcMar>
              <w:left w:w="105" w:type="dxa"/>
              <w:right w:w="105" w:type="dxa"/>
            </w:tcMar>
          </w:tcPr>
          <w:p w14:paraId="1CE606E0" w14:textId="77777777" w:rsidR="005F158A" w:rsidRDefault="005F158A">
            <w:pPr>
              <w:rPr>
                <w:rFonts w:eastAsia="Century Gothic" w:cs="Century Gothic"/>
              </w:rPr>
            </w:pPr>
          </w:p>
        </w:tc>
        <w:tc>
          <w:tcPr>
            <w:tcW w:w="1512" w:type="dxa"/>
            <w:tcMar>
              <w:left w:w="105" w:type="dxa"/>
              <w:right w:w="105" w:type="dxa"/>
            </w:tcMar>
          </w:tcPr>
          <w:p w14:paraId="3FA27699" w14:textId="77777777" w:rsidR="005F158A" w:rsidRDefault="005F158A">
            <w:pPr>
              <w:rPr>
                <w:rFonts w:eastAsia="Century Gothic" w:cs="Century Gothic"/>
              </w:rPr>
            </w:pPr>
          </w:p>
        </w:tc>
      </w:tr>
      <w:tr w:rsidR="005F158A" w14:paraId="1A0BD16C" w14:textId="77777777" w:rsidTr="00C36E1D">
        <w:trPr>
          <w:trHeight w:val="300"/>
        </w:trPr>
        <w:tc>
          <w:tcPr>
            <w:tcW w:w="4945" w:type="dxa"/>
            <w:tcMar>
              <w:left w:w="105" w:type="dxa"/>
              <w:right w:w="105" w:type="dxa"/>
            </w:tcMar>
          </w:tcPr>
          <w:p w14:paraId="37925A92" w14:textId="77777777" w:rsidR="005F158A" w:rsidRDefault="005F158A">
            <w:pPr>
              <w:rPr>
                <w:rFonts w:eastAsia="Century Gothic" w:cs="Century Gothic"/>
              </w:rPr>
            </w:pPr>
            <w:r>
              <w:rPr>
                <w:b/>
                <w:bCs/>
              </w:rPr>
              <w:t>B</w:t>
            </w:r>
            <w:r>
              <w:t xml:space="preserve">. What specific neighborhoods are affected in the current timeframe? </w:t>
            </w:r>
            <w:r>
              <w:rPr>
                <w:b/>
              </w:rPr>
              <w:t>(#1,#2)</w:t>
            </w:r>
          </w:p>
        </w:tc>
        <w:tc>
          <w:tcPr>
            <w:tcW w:w="1800" w:type="dxa"/>
            <w:tcMar>
              <w:left w:w="105" w:type="dxa"/>
              <w:right w:w="105" w:type="dxa"/>
            </w:tcMar>
          </w:tcPr>
          <w:p w14:paraId="04A97400" w14:textId="77777777" w:rsidR="005F158A" w:rsidRDefault="005F158A">
            <w:pPr>
              <w:rPr>
                <w:rFonts w:eastAsia="Century Gothic" w:cs="Century Gothic"/>
              </w:rPr>
            </w:pPr>
          </w:p>
        </w:tc>
        <w:tc>
          <w:tcPr>
            <w:tcW w:w="1512" w:type="dxa"/>
            <w:tcMar>
              <w:left w:w="105" w:type="dxa"/>
              <w:right w:w="105" w:type="dxa"/>
            </w:tcMar>
          </w:tcPr>
          <w:p w14:paraId="73D3D91F" w14:textId="77777777" w:rsidR="005F158A" w:rsidRDefault="005F158A">
            <w:pPr>
              <w:rPr>
                <w:rFonts w:eastAsia="Century Gothic" w:cs="Century Gothic"/>
              </w:rPr>
            </w:pPr>
          </w:p>
        </w:tc>
        <w:tc>
          <w:tcPr>
            <w:tcW w:w="1512" w:type="dxa"/>
            <w:tcMar>
              <w:left w:w="105" w:type="dxa"/>
              <w:right w:w="105" w:type="dxa"/>
            </w:tcMar>
          </w:tcPr>
          <w:p w14:paraId="213D7226" w14:textId="77777777" w:rsidR="005F158A" w:rsidRDefault="005F158A">
            <w:pPr>
              <w:rPr>
                <w:rFonts w:eastAsia="Century Gothic" w:cs="Century Gothic"/>
              </w:rPr>
            </w:pPr>
          </w:p>
        </w:tc>
        <w:tc>
          <w:tcPr>
            <w:tcW w:w="1512" w:type="dxa"/>
            <w:tcMar>
              <w:left w:w="105" w:type="dxa"/>
              <w:right w:w="105" w:type="dxa"/>
            </w:tcMar>
          </w:tcPr>
          <w:p w14:paraId="4D50E742" w14:textId="77777777" w:rsidR="005F158A" w:rsidRDefault="005F158A">
            <w:pPr>
              <w:rPr>
                <w:rFonts w:eastAsia="Century Gothic" w:cs="Century Gothic"/>
              </w:rPr>
            </w:pPr>
          </w:p>
        </w:tc>
        <w:tc>
          <w:tcPr>
            <w:tcW w:w="1512" w:type="dxa"/>
            <w:tcMar>
              <w:left w:w="105" w:type="dxa"/>
              <w:right w:w="105" w:type="dxa"/>
            </w:tcMar>
          </w:tcPr>
          <w:p w14:paraId="33C4A572" w14:textId="77777777" w:rsidR="005F158A" w:rsidRDefault="005F158A">
            <w:pPr>
              <w:rPr>
                <w:rFonts w:eastAsia="Century Gothic" w:cs="Century Gothic"/>
              </w:rPr>
            </w:pPr>
          </w:p>
        </w:tc>
      </w:tr>
      <w:tr w:rsidR="005F158A" w14:paraId="10C44CDB" w14:textId="77777777" w:rsidTr="00C36E1D">
        <w:trPr>
          <w:trHeight w:val="300"/>
        </w:trPr>
        <w:tc>
          <w:tcPr>
            <w:tcW w:w="4945" w:type="dxa"/>
            <w:tcMar>
              <w:left w:w="105" w:type="dxa"/>
              <w:right w:w="105" w:type="dxa"/>
            </w:tcMar>
          </w:tcPr>
          <w:p w14:paraId="526DC8E4" w14:textId="77777777" w:rsidR="005F158A" w:rsidRDefault="005F158A">
            <w:pPr>
              <w:rPr>
                <w:rFonts w:eastAsia="Century Gothic" w:cs="Century Gothic"/>
              </w:rPr>
            </w:pPr>
            <w:r>
              <w:rPr>
                <w:b/>
                <w:bCs/>
              </w:rPr>
              <w:t>C.</w:t>
            </w:r>
            <w:r>
              <w:t xml:space="preserve"> How are they affected? (HIGH Climate &amp; HIGH Social, MED Climate &amp; HIGH Social, etc.)? </w:t>
            </w:r>
            <w:r>
              <w:rPr>
                <w:b/>
              </w:rPr>
              <w:t>(#1,#2)</w:t>
            </w:r>
            <w:r>
              <w:t xml:space="preserve"> </w:t>
            </w:r>
          </w:p>
        </w:tc>
        <w:tc>
          <w:tcPr>
            <w:tcW w:w="1800" w:type="dxa"/>
            <w:tcMar>
              <w:left w:w="105" w:type="dxa"/>
              <w:right w:w="105" w:type="dxa"/>
            </w:tcMar>
          </w:tcPr>
          <w:p w14:paraId="58C0B68E" w14:textId="77777777" w:rsidR="005F158A" w:rsidRDefault="005F158A">
            <w:pPr>
              <w:rPr>
                <w:rFonts w:eastAsia="Century Gothic" w:cs="Century Gothic"/>
              </w:rPr>
            </w:pPr>
          </w:p>
        </w:tc>
        <w:tc>
          <w:tcPr>
            <w:tcW w:w="1512" w:type="dxa"/>
            <w:tcMar>
              <w:left w:w="105" w:type="dxa"/>
              <w:right w:w="105" w:type="dxa"/>
            </w:tcMar>
          </w:tcPr>
          <w:p w14:paraId="74285CB8" w14:textId="77777777" w:rsidR="005F158A" w:rsidRDefault="005F158A">
            <w:pPr>
              <w:rPr>
                <w:rFonts w:eastAsia="Century Gothic" w:cs="Century Gothic"/>
              </w:rPr>
            </w:pPr>
          </w:p>
        </w:tc>
        <w:tc>
          <w:tcPr>
            <w:tcW w:w="1512" w:type="dxa"/>
            <w:tcMar>
              <w:left w:w="105" w:type="dxa"/>
              <w:right w:w="105" w:type="dxa"/>
            </w:tcMar>
          </w:tcPr>
          <w:p w14:paraId="4B79F7B4" w14:textId="77777777" w:rsidR="005F158A" w:rsidRDefault="005F158A">
            <w:pPr>
              <w:rPr>
                <w:rFonts w:eastAsia="Century Gothic" w:cs="Century Gothic"/>
              </w:rPr>
            </w:pPr>
          </w:p>
        </w:tc>
        <w:tc>
          <w:tcPr>
            <w:tcW w:w="1512" w:type="dxa"/>
            <w:tcMar>
              <w:left w:w="105" w:type="dxa"/>
              <w:right w:w="105" w:type="dxa"/>
            </w:tcMar>
          </w:tcPr>
          <w:p w14:paraId="21208DC8" w14:textId="77777777" w:rsidR="005F158A" w:rsidRDefault="005F158A">
            <w:pPr>
              <w:rPr>
                <w:rFonts w:eastAsia="Century Gothic" w:cs="Century Gothic"/>
              </w:rPr>
            </w:pPr>
          </w:p>
        </w:tc>
        <w:tc>
          <w:tcPr>
            <w:tcW w:w="1512" w:type="dxa"/>
            <w:tcMar>
              <w:left w:w="105" w:type="dxa"/>
              <w:right w:w="105" w:type="dxa"/>
            </w:tcMar>
          </w:tcPr>
          <w:p w14:paraId="78EBFFE1" w14:textId="77777777" w:rsidR="005F158A" w:rsidRDefault="005F158A">
            <w:pPr>
              <w:rPr>
                <w:rFonts w:eastAsia="Century Gothic" w:cs="Century Gothic"/>
              </w:rPr>
            </w:pPr>
          </w:p>
        </w:tc>
      </w:tr>
      <w:tr w:rsidR="005F158A" w14:paraId="3F2DC4F0" w14:textId="77777777" w:rsidTr="00C36E1D">
        <w:trPr>
          <w:trHeight w:val="300"/>
        </w:trPr>
        <w:tc>
          <w:tcPr>
            <w:tcW w:w="4945" w:type="dxa"/>
            <w:tcMar>
              <w:left w:w="105" w:type="dxa"/>
              <w:right w:w="105" w:type="dxa"/>
            </w:tcMar>
          </w:tcPr>
          <w:p w14:paraId="55C5399C" w14:textId="77777777" w:rsidR="005F158A" w:rsidRDefault="005F158A">
            <w:pPr>
              <w:rPr>
                <w:rFonts w:eastAsia="Century Gothic" w:cs="Century Gothic"/>
              </w:rPr>
            </w:pPr>
            <w:r>
              <w:rPr>
                <w:b/>
                <w:bCs/>
              </w:rPr>
              <w:t>D</w:t>
            </w:r>
            <w:r>
              <w:t xml:space="preserve">. How does vulnerability change between now and 2050? </w:t>
            </w:r>
            <w:r>
              <w:rPr>
                <w:b/>
              </w:rPr>
              <w:t>(#3)</w:t>
            </w:r>
          </w:p>
        </w:tc>
        <w:tc>
          <w:tcPr>
            <w:tcW w:w="1800" w:type="dxa"/>
            <w:tcMar>
              <w:left w:w="105" w:type="dxa"/>
              <w:right w:w="105" w:type="dxa"/>
            </w:tcMar>
          </w:tcPr>
          <w:p w14:paraId="0A3FFD87" w14:textId="77777777" w:rsidR="005F158A" w:rsidRDefault="005F158A">
            <w:pPr>
              <w:rPr>
                <w:rFonts w:eastAsia="Century Gothic" w:cs="Century Gothic"/>
              </w:rPr>
            </w:pPr>
          </w:p>
        </w:tc>
        <w:tc>
          <w:tcPr>
            <w:tcW w:w="1512" w:type="dxa"/>
            <w:tcMar>
              <w:left w:w="105" w:type="dxa"/>
              <w:right w:w="105" w:type="dxa"/>
            </w:tcMar>
          </w:tcPr>
          <w:p w14:paraId="53EDCE14" w14:textId="77777777" w:rsidR="005F158A" w:rsidRDefault="005F158A">
            <w:pPr>
              <w:rPr>
                <w:rFonts w:eastAsia="Century Gothic" w:cs="Century Gothic"/>
              </w:rPr>
            </w:pPr>
          </w:p>
        </w:tc>
        <w:tc>
          <w:tcPr>
            <w:tcW w:w="1512" w:type="dxa"/>
            <w:tcMar>
              <w:left w:w="105" w:type="dxa"/>
              <w:right w:w="105" w:type="dxa"/>
            </w:tcMar>
          </w:tcPr>
          <w:p w14:paraId="6507AB48" w14:textId="77777777" w:rsidR="005F158A" w:rsidRDefault="005F158A">
            <w:pPr>
              <w:rPr>
                <w:rFonts w:eastAsia="Century Gothic" w:cs="Century Gothic"/>
              </w:rPr>
            </w:pPr>
          </w:p>
        </w:tc>
        <w:tc>
          <w:tcPr>
            <w:tcW w:w="1512" w:type="dxa"/>
            <w:tcMar>
              <w:left w:w="105" w:type="dxa"/>
              <w:right w:w="105" w:type="dxa"/>
            </w:tcMar>
          </w:tcPr>
          <w:p w14:paraId="7242D713" w14:textId="77777777" w:rsidR="005F158A" w:rsidRDefault="005F158A">
            <w:pPr>
              <w:rPr>
                <w:rFonts w:eastAsia="Century Gothic" w:cs="Century Gothic"/>
              </w:rPr>
            </w:pPr>
          </w:p>
        </w:tc>
        <w:tc>
          <w:tcPr>
            <w:tcW w:w="1512" w:type="dxa"/>
            <w:tcMar>
              <w:left w:w="105" w:type="dxa"/>
              <w:right w:w="105" w:type="dxa"/>
            </w:tcMar>
          </w:tcPr>
          <w:p w14:paraId="0941DFA7" w14:textId="77777777" w:rsidR="005F158A" w:rsidRDefault="005F158A">
            <w:pPr>
              <w:rPr>
                <w:rFonts w:eastAsia="Century Gothic" w:cs="Century Gothic"/>
              </w:rPr>
            </w:pPr>
          </w:p>
        </w:tc>
      </w:tr>
      <w:tr w:rsidR="005F158A" w14:paraId="23F31C30" w14:textId="77777777" w:rsidTr="00C36E1D">
        <w:trPr>
          <w:trHeight w:val="300"/>
        </w:trPr>
        <w:tc>
          <w:tcPr>
            <w:tcW w:w="4945" w:type="dxa"/>
            <w:tcMar>
              <w:left w:w="105" w:type="dxa"/>
              <w:right w:w="105" w:type="dxa"/>
            </w:tcMar>
          </w:tcPr>
          <w:p w14:paraId="59E8F8A9" w14:textId="77777777" w:rsidR="005F158A" w:rsidRPr="00E2651C" w:rsidRDefault="005F158A">
            <w:r>
              <w:rPr>
                <w:b/>
                <w:bCs/>
              </w:rPr>
              <w:t xml:space="preserve">E. </w:t>
            </w:r>
            <w:r>
              <w:t xml:space="preserve">What specific social indicators are driving vulnerability in this area? </w:t>
            </w:r>
            <w:r>
              <w:rPr>
                <w:b/>
              </w:rPr>
              <w:t>(#2, #4)</w:t>
            </w:r>
          </w:p>
        </w:tc>
        <w:tc>
          <w:tcPr>
            <w:tcW w:w="1800" w:type="dxa"/>
            <w:tcMar>
              <w:left w:w="105" w:type="dxa"/>
              <w:right w:w="105" w:type="dxa"/>
            </w:tcMar>
          </w:tcPr>
          <w:p w14:paraId="5998648D" w14:textId="77777777" w:rsidR="005F158A" w:rsidRDefault="005F158A">
            <w:pPr>
              <w:rPr>
                <w:rFonts w:eastAsia="Century Gothic" w:cs="Century Gothic"/>
              </w:rPr>
            </w:pPr>
          </w:p>
        </w:tc>
        <w:tc>
          <w:tcPr>
            <w:tcW w:w="1512" w:type="dxa"/>
            <w:tcMar>
              <w:left w:w="105" w:type="dxa"/>
              <w:right w:w="105" w:type="dxa"/>
            </w:tcMar>
          </w:tcPr>
          <w:p w14:paraId="46566A69" w14:textId="77777777" w:rsidR="005F158A" w:rsidRDefault="005F158A">
            <w:pPr>
              <w:rPr>
                <w:rFonts w:eastAsia="Century Gothic" w:cs="Century Gothic"/>
              </w:rPr>
            </w:pPr>
          </w:p>
        </w:tc>
        <w:tc>
          <w:tcPr>
            <w:tcW w:w="1512" w:type="dxa"/>
            <w:tcMar>
              <w:left w:w="105" w:type="dxa"/>
              <w:right w:w="105" w:type="dxa"/>
            </w:tcMar>
          </w:tcPr>
          <w:p w14:paraId="7C3D1B47" w14:textId="77777777" w:rsidR="005F158A" w:rsidRDefault="005F158A">
            <w:pPr>
              <w:rPr>
                <w:rFonts w:eastAsia="Century Gothic" w:cs="Century Gothic"/>
              </w:rPr>
            </w:pPr>
          </w:p>
        </w:tc>
        <w:tc>
          <w:tcPr>
            <w:tcW w:w="1512" w:type="dxa"/>
            <w:tcMar>
              <w:left w:w="105" w:type="dxa"/>
              <w:right w:w="105" w:type="dxa"/>
            </w:tcMar>
          </w:tcPr>
          <w:p w14:paraId="4F4C6A87" w14:textId="77777777" w:rsidR="005F158A" w:rsidRDefault="005F158A">
            <w:pPr>
              <w:rPr>
                <w:rFonts w:eastAsia="Century Gothic" w:cs="Century Gothic"/>
              </w:rPr>
            </w:pPr>
          </w:p>
        </w:tc>
        <w:tc>
          <w:tcPr>
            <w:tcW w:w="1512" w:type="dxa"/>
            <w:tcMar>
              <w:left w:w="105" w:type="dxa"/>
              <w:right w:w="105" w:type="dxa"/>
            </w:tcMar>
          </w:tcPr>
          <w:p w14:paraId="419FA113" w14:textId="77777777" w:rsidR="005F158A" w:rsidRDefault="005F158A">
            <w:pPr>
              <w:rPr>
                <w:rFonts w:eastAsia="Century Gothic" w:cs="Century Gothic"/>
              </w:rPr>
            </w:pPr>
          </w:p>
        </w:tc>
      </w:tr>
    </w:tbl>
    <w:p w14:paraId="408D1F73" w14:textId="77777777" w:rsidR="005F158A" w:rsidRDefault="005F158A" w:rsidP="005F158A">
      <w:pPr>
        <w:spacing w:before="160" w:line="240" w:lineRule="auto"/>
        <w:rPr>
          <w:rFonts w:eastAsia="Century Gothic" w:cs="Century Gothic"/>
          <w:color w:val="000000" w:themeColor="text1"/>
        </w:rPr>
      </w:pPr>
      <w:r>
        <w:br w:type="page"/>
      </w:r>
    </w:p>
    <w:p w14:paraId="00FC5998" w14:textId="77777777" w:rsidR="00B75986" w:rsidRPr="00D850F8" w:rsidRDefault="00B75986" w:rsidP="00B75986">
      <w:pPr>
        <w:pStyle w:val="Heading2"/>
        <w:spacing w:before="160" w:after="160" w:line="240" w:lineRule="auto"/>
      </w:pPr>
      <w:bookmarkStart w:id="264" w:name="_Toc235802764"/>
      <w:r>
        <w:t>Secondary and Cascading Hazards</w:t>
      </w:r>
      <w:bookmarkEnd w:id="263"/>
      <w:bookmarkEnd w:id="264"/>
    </w:p>
    <w:p w14:paraId="6C05D563" w14:textId="77777777" w:rsidR="00B75986" w:rsidRPr="004E75A7" w:rsidRDefault="00B75986" w:rsidP="00B75986">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2.1E</w:t>
      </w:r>
    </w:p>
    <w:p w14:paraId="36D82782" w14:textId="4CAEAF03" w:rsidR="00B75986" w:rsidRPr="00D850F8"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 xml:space="preserve">Review the reports from Step 2.1A to identify any referenced secondary </w:t>
      </w:r>
      <w:r w:rsidR="00EE752A">
        <w:rPr>
          <w:rFonts w:eastAsia="Century Gothic" w:cs="Century Gothic"/>
          <w:color w:val="000000" w:themeColor="text1"/>
        </w:rPr>
        <w:t xml:space="preserve">and cascading </w:t>
      </w:r>
      <w:r>
        <w:rPr>
          <w:rFonts w:eastAsia="Century Gothic" w:cs="Century Gothic"/>
          <w:color w:val="000000" w:themeColor="text1"/>
        </w:rPr>
        <w:t>hazards and who or where they affect. Record findings about secondary hazards in the table below.</w:t>
      </w:r>
    </w:p>
    <w:tbl>
      <w:tblPr>
        <w:tblStyle w:val="TableGrid"/>
        <w:tblW w:w="0" w:type="auto"/>
        <w:tblLook w:val="04A0" w:firstRow="1" w:lastRow="0" w:firstColumn="1" w:lastColumn="0" w:noHBand="0" w:noVBand="1"/>
        <w:tblCaption w:val="Findings on secondary hazards"/>
        <w:tblDescription w:val="Fillable table for tracking secondary hazards, their cause(s), and impacts'"/>
      </w:tblPr>
      <w:tblGrid>
        <w:gridCol w:w="3054"/>
        <w:gridCol w:w="3153"/>
        <w:gridCol w:w="6737"/>
      </w:tblGrid>
      <w:tr w:rsidR="00B75986" w14:paraId="7A8410E8" w14:textId="77777777">
        <w:trPr>
          <w:trHeight w:val="288"/>
        </w:trPr>
        <w:tc>
          <w:tcPr>
            <w:tcW w:w="3054" w:type="dxa"/>
            <w:tcMar>
              <w:left w:w="105" w:type="dxa"/>
              <w:right w:w="105" w:type="dxa"/>
            </w:tcMar>
            <w:vAlign w:val="center"/>
          </w:tcPr>
          <w:p w14:paraId="1D7084DD" w14:textId="77777777" w:rsidR="00B75986" w:rsidRDefault="00B75986">
            <w:pPr>
              <w:rPr>
                <w:rFonts w:eastAsia="Century Gothic" w:cs="Century Gothic"/>
              </w:rPr>
            </w:pPr>
            <w:r>
              <w:rPr>
                <w:rFonts w:eastAsia="Century Gothic" w:cs="Century Gothic"/>
                <w:b/>
                <w:bCs/>
              </w:rPr>
              <w:t>Secondary Hazard</w:t>
            </w:r>
          </w:p>
        </w:tc>
        <w:tc>
          <w:tcPr>
            <w:tcW w:w="3153" w:type="dxa"/>
            <w:tcMar>
              <w:left w:w="105" w:type="dxa"/>
              <w:right w:w="105" w:type="dxa"/>
            </w:tcMar>
            <w:vAlign w:val="center"/>
          </w:tcPr>
          <w:p w14:paraId="00A5D593" w14:textId="77777777" w:rsidR="00B75986" w:rsidRDefault="00B75986">
            <w:pPr>
              <w:rPr>
                <w:rFonts w:eastAsia="Century Gothic" w:cs="Century Gothic"/>
              </w:rPr>
            </w:pPr>
            <w:r>
              <w:rPr>
                <w:rFonts w:eastAsia="Century Gothic" w:cs="Century Gothic"/>
                <w:b/>
                <w:bCs/>
              </w:rPr>
              <w:t>Source</w:t>
            </w:r>
          </w:p>
        </w:tc>
        <w:tc>
          <w:tcPr>
            <w:tcW w:w="6737" w:type="dxa"/>
            <w:tcMar>
              <w:left w:w="105" w:type="dxa"/>
              <w:right w:w="105" w:type="dxa"/>
            </w:tcMar>
            <w:vAlign w:val="center"/>
          </w:tcPr>
          <w:p w14:paraId="74FF2039" w14:textId="77777777" w:rsidR="00B75986" w:rsidRDefault="00B75986">
            <w:pPr>
              <w:rPr>
                <w:rFonts w:eastAsia="Century Gothic" w:cs="Century Gothic"/>
              </w:rPr>
            </w:pPr>
            <w:r>
              <w:rPr>
                <w:rFonts w:eastAsia="Century Gothic" w:cs="Century Gothic"/>
                <w:b/>
                <w:bCs/>
              </w:rPr>
              <w:t>Effect (Where and Who)</w:t>
            </w:r>
          </w:p>
        </w:tc>
      </w:tr>
      <w:tr w:rsidR="00B75986" w14:paraId="6B49D1FE" w14:textId="77777777">
        <w:trPr>
          <w:trHeight w:val="576"/>
        </w:trPr>
        <w:tc>
          <w:tcPr>
            <w:tcW w:w="3054" w:type="dxa"/>
            <w:tcMar>
              <w:left w:w="105" w:type="dxa"/>
              <w:right w:w="105" w:type="dxa"/>
            </w:tcMar>
          </w:tcPr>
          <w:p w14:paraId="378996BB" w14:textId="77777777" w:rsidR="00B75986" w:rsidRDefault="00B75986">
            <w:pPr>
              <w:rPr>
                <w:rFonts w:eastAsia="Century Gothic" w:cs="Century Gothic"/>
              </w:rPr>
            </w:pPr>
          </w:p>
        </w:tc>
        <w:tc>
          <w:tcPr>
            <w:tcW w:w="3153" w:type="dxa"/>
            <w:tcMar>
              <w:left w:w="105" w:type="dxa"/>
              <w:right w:w="105" w:type="dxa"/>
            </w:tcMar>
          </w:tcPr>
          <w:p w14:paraId="346866EA" w14:textId="77777777" w:rsidR="00B75986" w:rsidRDefault="00B75986">
            <w:pPr>
              <w:rPr>
                <w:rFonts w:eastAsia="Century Gothic" w:cs="Century Gothic"/>
              </w:rPr>
            </w:pPr>
          </w:p>
        </w:tc>
        <w:tc>
          <w:tcPr>
            <w:tcW w:w="6737" w:type="dxa"/>
            <w:tcMar>
              <w:left w:w="105" w:type="dxa"/>
              <w:right w:w="105" w:type="dxa"/>
            </w:tcMar>
          </w:tcPr>
          <w:p w14:paraId="2440F6D3" w14:textId="77777777" w:rsidR="00B75986" w:rsidRDefault="00B75986">
            <w:pPr>
              <w:rPr>
                <w:rFonts w:eastAsia="Century Gothic" w:cs="Century Gothic"/>
              </w:rPr>
            </w:pPr>
          </w:p>
        </w:tc>
      </w:tr>
      <w:tr w:rsidR="00B75986" w14:paraId="1A837736" w14:textId="77777777">
        <w:trPr>
          <w:trHeight w:val="576"/>
        </w:trPr>
        <w:tc>
          <w:tcPr>
            <w:tcW w:w="3054" w:type="dxa"/>
            <w:tcMar>
              <w:left w:w="105" w:type="dxa"/>
              <w:right w:w="105" w:type="dxa"/>
            </w:tcMar>
          </w:tcPr>
          <w:p w14:paraId="0A09F935" w14:textId="77777777" w:rsidR="00B75986" w:rsidRDefault="00B75986">
            <w:pPr>
              <w:rPr>
                <w:rFonts w:eastAsia="Century Gothic" w:cs="Century Gothic"/>
              </w:rPr>
            </w:pPr>
          </w:p>
        </w:tc>
        <w:tc>
          <w:tcPr>
            <w:tcW w:w="3153" w:type="dxa"/>
            <w:tcMar>
              <w:left w:w="105" w:type="dxa"/>
              <w:right w:w="105" w:type="dxa"/>
            </w:tcMar>
          </w:tcPr>
          <w:p w14:paraId="3BAA2A84" w14:textId="77777777" w:rsidR="00B75986" w:rsidRDefault="00B75986">
            <w:pPr>
              <w:rPr>
                <w:rFonts w:eastAsia="Century Gothic" w:cs="Century Gothic"/>
              </w:rPr>
            </w:pPr>
          </w:p>
        </w:tc>
        <w:tc>
          <w:tcPr>
            <w:tcW w:w="6737" w:type="dxa"/>
            <w:tcMar>
              <w:left w:w="105" w:type="dxa"/>
              <w:right w:w="105" w:type="dxa"/>
            </w:tcMar>
          </w:tcPr>
          <w:p w14:paraId="0A2DCFA4" w14:textId="77777777" w:rsidR="00B75986" w:rsidRDefault="00B75986">
            <w:pPr>
              <w:rPr>
                <w:rFonts w:eastAsia="Century Gothic" w:cs="Century Gothic"/>
              </w:rPr>
            </w:pPr>
          </w:p>
        </w:tc>
      </w:tr>
      <w:tr w:rsidR="00B75986" w14:paraId="48A69E1B" w14:textId="77777777">
        <w:trPr>
          <w:trHeight w:val="576"/>
        </w:trPr>
        <w:tc>
          <w:tcPr>
            <w:tcW w:w="3054" w:type="dxa"/>
            <w:tcMar>
              <w:left w:w="105" w:type="dxa"/>
              <w:right w:w="105" w:type="dxa"/>
            </w:tcMar>
          </w:tcPr>
          <w:p w14:paraId="408101AC" w14:textId="77777777" w:rsidR="00B75986" w:rsidRDefault="00B75986">
            <w:pPr>
              <w:rPr>
                <w:rFonts w:eastAsia="Century Gothic" w:cs="Century Gothic"/>
              </w:rPr>
            </w:pPr>
          </w:p>
        </w:tc>
        <w:tc>
          <w:tcPr>
            <w:tcW w:w="3153" w:type="dxa"/>
            <w:tcMar>
              <w:left w:w="105" w:type="dxa"/>
              <w:right w:w="105" w:type="dxa"/>
            </w:tcMar>
          </w:tcPr>
          <w:p w14:paraId="302A0006" w14:textId="77777777" w:rsidR="00B75986" w:rsidRDefault="00B75986">
            <w:pPr>
              <w:rPr>
                <w:rFonts w:eastAsia="Century Gothic" w:cs="Century Gothic"/>
              </w:rPr>
            </w:pPr>
          </w:p>
        </w:tc>
        <w:tc>
          <w:tcPr>
            <w:tcW w:w="6737" w:type="dxa"/>
            <w:tcMar>
              <w:left w:w="105" w:type="dxa"/>
              <w:right w:w="105" w:type="dxa"/>
            </w:tcMar>
          </w:tcPr>
          <w:p w14:paraId="564FA62B" w14:textId="77777777" w:rsidR="00B75986" w:rsidRDefault="00B75986">
            <w:pPr>
              <w:rPr>
                <w:rFonts w:eastAsia="Century Gothic" w:cs="Century Gothic"/>
              </w:rPr>
            </w:pPr>
          </w:p>
        </w:tc>
      </w:tr>
      <w:tr w:rsidR="00B75986" w14:paraId="0CCA3AEA" w14:textId="77777777">
        <w:trPr>
          <w:trHeight w:val="576"/>
        </w:trPr>
        <w:tc>
          <w:tcPr>
            <w:tcW w:w="3054" w:type="dxa"/>
            <w:tcMar>
              <w:left w:w="105" w:type="dxa"/>
              <w:right w:w="105" w:type="dxa"/>
            </w:tcMar>
          </w:tcPr>
          <w:p w14:paraId="3B0C4D85" w14:textId="77777777" w:rsidR="00B75986" w:rsidRDefault="00B75986">
            <w:pPr>
              <w:rPr>
                <w:rFonts w:eastAsia="Century Gothic" w:cs="Century Gothic"/>
              </w:rPr>
            </w:pPr>
          </w:p>
        </w:tc>
        <w:tc>
          <w:tcPr>
            <w:tcW w:w="3153" w:type="dxa"/>
            <w:tcMar>
              <w:left w:w="105" w:type="dxa"/>
              <w:right w:w="105" w:type="dxa"/>
            </w:tcMar>
          </w:tcPr>
          <w:p w14:paraId="6206CDBE" w14:textId="77777777" w:rsidR="00B75986" w:rsidRDefault="00B75986">
            <w:pPr>
              <w:rPr>
                <w:rFonts w:eastAsia="Century Gothic" w:cs="Century Gothic"/>
              </w:rPr>
            </w:pPr>
          </w:p>
        </w:tc>
        <w:tc>
          <w:tcPr>
            <w:tcW w:w="6737" w:type="dxa"/>
            <w:tcMar>
              <w:left w:w="105" w:type="dxa"/>
              <w:right w:w="105" w:type="dxa"/>
            </w:tcMar>
          </w:tcPr>
          <w:p w14:paraId="3A0FD77A" w14:textId="77777777" w:rsidR="00B75986" w:rsidRDefault="00B75986">
            <w:pPr>
              <w:rPr>
                <w:rFonts w:eastAsia="Century Gothic" w:cs="Century Gothic"/>
              </w:rPr>
            </w:pPr>
          </w:p>
        </w:tc>
      </w:tr>
      <w:tr w:rsidR="00B75986" w14:paraId="3AD27F1A" w14:textId="77777777">
        <w:trPr>
          <w:trHeight w:val="576"/>
        </w:trPr>
        <w:tc>
          <w:tcPr>
            <w:tcW w:w="3054" w:type="dxa"/>
            <w:tcMar>
              <w:left w:w="105" w:type="dxa"/>
              <w:right w:w="105" w:type="dxa"/>
            </w:tcMar>
          </w:tcPr>
          <w:p w14:paraId="4542E372" w14:textId="77777777" w:rsidR="00B75986" w:rsidRDefault="00B75986">
            <w:pPr>
              <w:rPr>
                <w:rFonts w:eastAsia="Century Gothic" w:cs="Century Gothic"/>
              </w:rPr>
            </w:pPr>
          </w:p>
        </w:tc>
        <w:tc>
          <w:tcPr>
            <w:tcW w:w="3153" w:type="dxa"/>
            <w:tcMar>
              <w:left w:w="105" w:type="dxa"/>
              <w:right w:w="105" w:type="dxa"/>
            </w:tcMar>
          </w:tcPr>
          <w:p w14:paraId="321C6E59" w14:textId="77777777" w:rsidR="00B75986" w:rsidRDefault="00B75986">
            <w:pPr>
              <w:rPr>
                <w:rFonts w:eastAsia="Century Gothic" w:cs="Century Gothic"/>
              </w:rPr>
            </w:pPr>
          </w:p>
        </w:tc>
        <w:tc>
          <w:tcPr>
            <w:tcW w:w="6737" w:type="dxa"/>
            <w:tcMar>
              <w:left w:w="105" w:type="dxa"/>
              <w:right w:w="105" w:type="dxa"/>
            </w:tcMar>
          </w:tcPr>
          <w:p w14:paraId="07C20F52" w14:textId="77777777" w:rsidR="00B75986" w:rsidRDefault="00B75986">
            <w:pPr>
              <w:rPr>
                <w:rFonts w:eastAsia="Century Gothic" w:cs="Century Gothic"/>
              </w:rPr>
            </w:pPr>
          </w:p>
        </w:tc>
      </w:tr>
      <w:tr w:rsidR="00B75986" w14:paraId="7C33E545" w14:textId="77777777">
        <w:trPr>
          <w:trHeight w:val="576"/>
        </w:trPr>
        <w:tc>
          <w:tcPr>
            <w:tcW w:w="3054" w:type="dxa"/>
            <w:tcMar>
              <w:left w:w="105" w:type="dxa"/>
              <w:right w:w="105" w:type="dxa"/>
            </w:tcMar>
          </w:tcPr>
          <w:p w14:paraId="3862D8C5" w14:textId="77777777" w:rsidR="00B75986" w:rsidRDefault="00B75986">
            <w:pPr>
              <w:rPr>
                <w:rFonts w:eastAsia="Century Gothic" w:cs="Century Gothic"/>
              </w:rPr>
            </w:pPr>
          </w:p>
        </w:tc>
        <w:tc>
          <w:tcPr>
            <w:tcW w:w="3153" w:type="dxa"/>
            <w:tcMar>
              <w:left w:w="105" w:type="dxa"/>
              <w:right w:w="105" w:type="dxa"/>
            </w:tcMar>
          </w:tcPr>
          <w:p w14:paraId="4322CC9E" w14:textId="77777777" w:rsidR="00B75986" w:rsidRDefault="00B75986">
            <w:pPr>
              <w:rPr>
                <w:rFonts w:eastAsia="Century Gothic" w:cs="Century Gothic"/>
              </w:rPr>
            </w:pPr>
          </w:p>
        </w:tc>
        <w:tc>
          <w:tcPr>
            <w:tcW w:w="6737" w:type="dxa"/>
            <w:tcMar>
              <w:left w:w="105" w:type="dxa"/>
              <w:right w:w="105" w:type="dxa"/>
            </w:tcMar>
          </w:tcPr>
          <w:p w14:paraId="29109514" w14:textId="77777777" w:rsidR="00B75986" w:rsidRDefault="00B75986">
            <w:pPr>
              <w:rPr>
                <w:rFonts w:eastAsia="Century Gothic" w:cs="Century Gothic"/>
              </w:rPr>
            </w:pPr>
          </w:p>
        </w:tc>
      </w:tr>
      <w:tr w:rsidR="00B75986" w14:paraId="169D5B09" w14:textId="77777777">
        <w:trPr>
          <w:trHeight w:val="576"/>
        </w:trPr>
        <w:tc>
          <w:tcPr>
            <w:tcW w:w="3054" w:type="dxa"/>
            <w:tcMar>
              <w:left w:w="105" w:type="dxa"/>
              <w:right w:w="105" w:type="dxa"/>
            </w:tcMar>
          </w:tcPr>
          <w:p w14:paraId="6DEF936E" w14:textId="77777777" w:rsidR="00B75986" w:rsidRDefault="00B75986">
            <w:pPr>
              <w:rPr>
                <w:rFonts w:eastAsia="Century Gothic" w:cs="Century Gothic"/>
              </w:rPr>
            </w:pPr>
          </w:p>
        </w:tc>
        <w:tc>
          <w:tcPr>
            <w:tcW w:w="3153" w:type="dxa"/>
            <w:tcMar>
              <w:left w:w="105" w:type="dxa"/>
              <w:right w:w="105" w:type="dxa"/>
            </w:tcMar>
          </w:tcPr>
          <w:p w14:paraId="1AF7DD79" w14:textId="77777777" w:rsidR="00B75986" w:rsidRDefault="00B75986">
            <w:pPr>
              <w:rPr>
                <w:rFonts w:eastAsia="Century Gothic" w:cs="Century Gothic"/>
              </w:rPr>
            </w:pPr>
          </w:p>
        </w:tc>
        <w:tc>
          <w:tcPr>
            <w:tcW w:w="6737" w:type="dxa"/>
            <w:tcMar>
              <w:left w:w="105" w:type="dxa"/>
              <w:right w:w="105" w:type="dxa"/>
            </w:tcMar>
          </w:tcPr>
          <w:p w14:paraId="31F81DD6" w14:textId="77777777" w:rsidR="00B75986" w:rsidRDefault="00B75986">
            <w:pPr>
              <w:rPr>
                <w:rFonts w:eastAsia="Century Gothic" w:cs="Century Gothic"/>
              </w:rPr>
            </w:pPr>
          </w:p>
        </w:tc>
      </w:tr>
      <w:tr w:rsidR="00B75986" w14:paraId="71A98E83" w14:textId="77777777">
        <w:trPr>
          <w:trHeight w:val="576"/>
        </w:trPr>
        <w:tc>
          <w:tcPr>
            <w:tcW w:w="3054" w:type="dxa"/>
            <w:tcMar>
              <w:left w:w="105" w:type="dxa"/>
              <w:right w:w="105" w:type="dxa"/>
            </w:tcMar>
          </w:tcPr>
          <w:p w14:paraId="2DBA15E7" w14:textId="77777777" w:rsidR="00B75986" w:rsidRDefault="00B75986">
            <w:pPr>
              <w:rPr>
                <w:rFonts w:eastAsia="Century Gothic" w:cs="Century Gothic"/>
              </w:rPr>
            </w:pPr>
          </w:p>
        </w:tc>
        <w:tc>
          <w:tcPr>
            <w:tcW w:w="3153" w:type="dxa"/>
            <w:tcMar>
              <w:left w:w="105" w:type="dxa"/>
              <w:right w:w="105" w:type="dxa"/>
            </w:tcMar>
          </w:tcPr>
          <w:p w14:paraId="56E70A25" w14:textId="77777777" w:rsidR="00B75986" w:rsidRDefault="00B75986">
            <w:pPr>
              <w:rPr>
                <w:rFonts w:eastAsia="Century Gothic" w:cs="Century Gothic"/>
              </w:rPr>
            </w:pPr>
          </w:p>
        </w:tc>
        <w:tc>
          <w:tcPr>
            <w:tcW w:w="6737" w:type="dxa"/>
            <w:tcMar>
              <w:left w:w="105" w:type="dxa"/>
              <w:right w:w="105" w:type="dxa"/>
            </w:tcMar>
          </w:tcPr>
          <w:p w14:paraId="787D155D" w14:textId="77777777" w:rsidR="00B75986" w:rsidRDefault="00B75986">
            <w:pPr>
              <w:rPr>
                <w:rFonts w:eastAsia="Century Gothic" w:cs="Century Gothic"/>
              </w:rPr>
            </w:pPr>
          </w:p>
        </w:tc>
      </w:tr>
      <w:tr w:rsidR="00B75986" w14:paraId="155CBF5F" w14:textId="77777777">
        <w:trPr>
          <w:trHeight w:val="576"/>
        </w:trPr>
        <w:tc>
          <w:tcPr>
            <w:tcW w:w="3054" w:type="dxa"/>
            <w:tcMar>
              <w:left w:w="105" w:type="dxa"/>
              <w:right w:w="105" w:type="dxa"/>
            </w:tcMar>
          </w:tcPr>
          <w:p w14:paraId="10CD3001" w14:textId="77777777" w:rsidR="00B75986" w:rsidRDefault="00B75986">
            <w:pPr>
              <w:rPr>
                <w:rFonts w:eastAsia="Century Gothic" w:cs="Century Gothic"/>
              </w:rPr>
            </w:pPr>
          </w:p>
        </w:tc>
        <w:tc>
          <w:tcPr>
            <w:tcW w:w="3153" w:type="dxa"/>
            <w:tcMar>
              <w:left w:w="105" w:type="dxa"/>
              <w:right w:w="105" w:type="dxa"/>
            </w:tcMar>
          </w:tcPr>
          <w:p w14:paraId="2AB745F2" w14:textId="77777777" w:rsidR="00B75986" w:rsidRDefault="00B75986">
            <w:pPr>
              <w:rPr>
                <w:rFonts w:eastAsia="Century Gothic" w:cs="Century Gothic"/>
              </w:rPr>
            </w:pPr>
          </w:p>
        </w:tc>
        <w:tc>
          <w:tcPr>
            <w:tcW w:w="6737" w:type="dxa"/>
            <w:tcMar>
              <w:left w:w="105" w:type="dxa"/>
              <w:right w:w="105" w:type="dxa"/>
            </w:tcMar>
          </w:tcPr>
          <w:p w14:paraId="54031580" w14:textId="77777777" w:rsidR="00B75986" w:rsidRDefault="00B75986">
            <w:pPr>
              <w:rPr>
                <w:rFonts w:eastAsia="Century Gothic" w:cs="Century Gothic"/>
              </w:rPr>
            </w:pPr>
          </w:p>
        </w:tc>
      </w:tr>
      <w:tr w:rsidR="00B75986" w14:paraId="7433E635" w14:textId="77777777">
        <w:trPr>
          <w:trHeight w:val="576"/>
        </w:trPr>
        <w:tc>
          <w:tcPr>
            <w:tcW w:w="3054" w:type="dxa"/>
            <w:tcMar>
              <w:left w:w="105" w:type="dxa"/>
              <w:right w:w="105" w:type="dxa"/>
            </w:tcMar>
          </w:tcPr>
          <w:p w14:paraId="22265A42" w14:textId="77777777" w:rsidR="00B75986" w:rsidRDefault="00B75986">
            <w:pPr>
              <w:rPr>
                <w:rFonts w:eastAsia="Century Gothic" w:cs="Century Gothic"/>
              </w:rPr>
            </w:pPr>
          </w:p>
        </w:tc>
        <w:tc>
          <w:tcPr>
            <w:tcW w:w="3153" w:type="dxa"/>
            <w:tcMar>
              <w:left w:w="105" w:type="dxa"/>
              <w:right w:w="105" w:type="dxa"/>
            </w:tcMar>
          </w:tcPr>
          <w:p w14:paraId="3461590A" w14:textId="77777777" w:rsidR="00B75986" w:rsidRDefault="00B75986">
            <w:pPr>
              <w:rPr>
                <w:rFonts w:eastAsia="Century Gothic" w:cs="Century Gothic"/>
              </w:rPr>
            </w:pPr>
          </w:p>
        </w:tc>
        <w:tc>
          <w:tcPr>
            <w:tcW w:w="6737" w:type="dxa"/>
            <w:tcMar>
              <w:left w:w="105" w:type="dxa"/>
              <w:right w:w="105" w:type="dxa"/>
            </w:tcMar>
          </w:tcPr>
          <w:p w14:paraId="15A19DEA" w14:textId="77777777" w:rsidR="00B75986" w:rsidRDefault="00B75986">
            <w:pPr>
              <w:rPr>
                <w:rFonts w:eastAsia="Century Gothic" w:cs="Century Gothic"/>
              </w:rPr>
            </w:pPr>
          </w:p>
        </w:tc>
      </w:tr>
      <w:tr w:rsidR="00B75986" w14:paraId="6F2194B3" w14:textId="77777777">
        <w:trPr>
          <w:trHeight w:val="576"/>
        </w:trPr>
        <w:tc>
          <w:tcPr>
            <w:tcW w:w="3054" w:type="dxa"/>
            <w:tcMar>
              <w:left w:w="105" w:type="dxa"/>
              <w:right w:w="105" w:type="dxa"/>
            </w:tcMar>
          </w:tcPr>
          <w:p w14:paraId="0613750C" w14:textId="77777777" w:rsidR="00B75986" w:rsidRDefault="00B75986">
            <w:pPr>
              <w:rPr>
                <w:rFonts w:eastAsia="Century Gothic" w:cs="Century Gothic"/>
              </w:rPr>
            </w:pPr>
          </w:p>
        </w:tc>
        <w:tc>
          <w:tcPr>
            <w:tcW w:w="3153" w:type="dxa"/>
            <w:tcMar>
              <w:left w:w="105" w:type="dxa"/>
              <w:right w:w="105" w:type="dxa"/>
            </w:tcMar>
          </w:tcPr>
          <w:p w14:paraId="337DEF27" w14:textId="77777777" w:rsidR="00B75986" w:rsidRDefault="00B75986">
            <w:pPr>
              <w:rPr>
                <w:rFonts w:eastAsia="Century Gothic" w:cs="Century Gothic"/>
              </w:rPr>
            </w:pPr>
          </w:p>
        </w:tc>
        <w:tc>
          <w:tcPr>
            <w:tcW w:w="6737" w:type="dxa"/>
            <w:tcMar>
              <w:left w:w="105" w:type="dxa"/>
              <w:right w:w="105" w:type="dxa"/>
            </w:tcMar>
          </w:tcPr>
          <w:p w14:paraId="014C81F0" w14:textId="77777777" w:rsidR="00B75986" w:rsidRDefault="00B75986">
            <w:pPr>
              <w:rPr>
                <w:rFonts w:eastAsia="Century Gothic" w:cs="Century Gothic"/>
              </w:rPr>
            </w:pPr>
          </w:p>
        </w:tc>
      </w:tr>
    </w:tbl>
    <w:p w14:paraId="76527FED" w14:textId="77777777" w:rsidR="00B75986" w:rsidRDefault="00B75986" w:rsidP="00B75986">
      <w:pPr>
        <w:spacing w:line="240" w:lineRule="auto"/>
      </w:pPr>
      <w:r>
        <w:br w:type="page"/>
      </w:r>
    </w:p>
    <w:p w14:paraId="560297DD" w14:textId="77777777" w:rsidR="00B75986" w:rsidRDefault="00B75986" w:rsidP="00B75986">
      <w:pPr>
        <w:pStyle w:val="Heading2"/>
        <w:spacing w:before="160" w:after="160" w:line="240" w:lineRule="auto"/>
      </w:pPr>
      <w:bookmarkStart w:id="265" w:name="_Ref230247526"/>
      <w:bookmarkStart w:id="266" w:name="_Ref230247604"/>
      <w:bookmarkStart w:id="267" w:name="_Toc235802765"/>
      <w:r>
        <w:t>Evaluate Community Assets Exposed to Hazards</w:t>
      </w:r>
      <w:bookmarkEnd w:id="265"/>
      <w:bookmarkEnd w:id="266"/>
      <w:bookmarkEnd w:id="267"/>
    </w:p>
    <w:p w14:paraId="3C88E15C" w14:textId="77777777" w:rsidR="00B75986" w:rsidRPr="004E75A7" w:rsidRDefault="00B75986" w:rsidP="00B75986">
      <w:pPr>
        <w:shd w:val="clear" w:color="auto" w:fill="FFFFFF" w:themeFill="background1"/>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2.2B</w:t>
      </w:r>
    </w:p>
    <w:p w14:paraId="6A3A6BB9" w14:textId="77777777" w:rsidR="00B75986" w:rsidRDefault="00B75986" w:rsidP="00B75986">
      <w:pPr>
        <w:shd w:val="clear" w:color="auto" w:fill="FFFFFF" w:themeFill="background1"/>
        <w:spacing w:before="160" w:line="240" w:lineRule="auto"/>
        <w:rPr>
          <w:rFonts w:eastAsia="Century Gothic" w:cs="Century Gothic"/>
          <w:color w:val="000000" w:themeColor="text1"/>
        </w:rPr>
      </w:pPr>
      <w:r>
        <w:rPr>
          <w:rFonts w:eastAsia="Century Gothic" w:cs="Century Gothic"/>
          <w:color w:val="000000" w:themeColor="text1"/>
        </w:rPr>
        <w:t>Use this table to document community assets.</w:t>
      </w:r>
    </w:p>
    <w:tbl>
      <w:tblPr>
        <w:tblStyle w:val="TableGrid"/>
        <w:tblW w:w="0" w:type="auto"/>
        <w:tblLook w:val="04A0" w:firstRow="1" w:lastRow="0" w:firstColumn="1" w:lastColumn="0" w:noHBand="0" w:noVBand="1"/>
        <w:tblCaption w:val="community assets affected by potential hazards"/>
        <w:tblDescription w:val="Fillable table to track exposed assets, potential climate-related hazards that can impact them, and the related impacts"/>
      </w:tblPr>
      <w:tblGrid>
        <w:gridCol w:w="3081"/>
        <w:gridCol w:w="3081"/>
        <w:gridCol w:w="6782"/>
      </w:tblGrid>
      <w:tr w:rsidR="00B75986" w14:paraId="3EB891DB" w14:textId="77777777">
        <w:trPr>
          <w:trHeight w:val="288"/>
        </w:trPr>
        <w:tc>
          <w:tcPr>
            <w:tcW w:w="3081" w:type="dxa"/>
            <w:tcMar>
              <w:left w:w="105" w:type="dxa"/>
              <w:right w:w="105" w:type="dxa"/>
            </w:tcMar>
            <w:vAlign w:val="center"/>
          </w:tcPr>
          <w:p w14:paraId="5E438839" w14:textId="77777777" w:rsidR="00B75986" w:rsidRDefault="00B75986">
            <w:pPr>
              <w:rPr>
                <w:rFonts w:eastAsia="Century Gothic" w:cs="Century Gothic"/>
                <w:color w:val="000000" w:themeColor="text1"/>
              </w:rPr>
            </w:pPr>
            <w:r>
              <w:rPr>
                <w:rFonts w:eastAsia="Century Gothic" w:cs="Century Gothic"/>
                <w:b/>
                <w:bCs/>
                <w:color w:val="000000" w:themeColor="text1"/>
              </w:rPr>
              <w:t>Exposed Asset</w:t>
            </w:r>
          </w:p>
        </w:tc>
        <w:tc>
          <w:tcPr>
            <w:tcW w:w="3081" w:type="dxa"/>
            <w:tcMar>
              <w:left w:w="105" w:type="dxa"/>
              <w:right w:w="105" w:type="dxa"/>
            </w:tcMar>
            <w:vAlign w:val="center"/>
          </w:tcPr>
          <w:p w14:paraId="5FCDE1C0" w14:textId="77777777" w:rsidR="00B75986" w:rsidRDefault="00B75986">
            <w:pPr>
              <w:rPr>
                <w:rFonts w:eastAsia="Century Gothic" w:cs="Century Gothic"/>
                <w:color w:val="000000" w:themeColor="text1"/>
              </w:rPr>
            </w:pPr>
            <w:r>
              <w:rPr>
                <w:rFonts w:eastAsia="Century Gothic" w:cs="Century Gothic"/>
                <w:b/>
                <w:bCs/>
                <w:color w:val="000000" w:themeColor="text1"/>
              </w:rPr>
              <w:t>Potential Hazard</w:t>
            </w:r>
          </w:p>
        </w:tc>
        <w:tc>
          <w:tcPr>
            <w:tcW w:w="6782" w:type="dxa"/>
            <w:tcMar>
              <w:left w:w="105" w:type="dxa"/>
              <w:right w:w="105" w:type="dxa"/>
            </w:tcMar>
            <w:vAlign w:val="center"/>
          </w:tcPr>
          <w:p w14:paraId="785A63EE" w14:textId="77777777" w:rsidR="00B75986" w:rsidRDefault="00B75986">
            <w:pPr>
              <w:rPr>
                <w:rFonts w:eastAsia="Century Gothic" w:cs="Century Gothic"/>
                <w:color w:val="000000" w:themeColor="text1"/>
              </w:rPr>
            </w:pPr>
            <w:r>
              <w:rPr>
                <w:rFonts w:eastAsia="Century Gothic" w:cs="Century Gothic"/>
                <w:b/>
                <w:bCs/>
                <w:color w:val="000000" w:themeColor="text1"/>
              </w:rPr>
              <w:t>Impact</w:t>
            </w:r>
          </w:p>
        </w:tc>
      </w:tr>
      <w:tr w:rsidR="00B75986" w14:paraId="21CA2DB5" w14:textId="77777777">
        <w:trPr>
          <w:trHeight w:val="576"/>
        </w:trPr>
        <w:tc>
          <w:tcPr>
            <w:tcW w:w="3081" w:type="dxa"/>
            <w:tcMar>
              <w:left w:w="105" w:type="dxa"/>
              <w:right w:w="105" w:type="dxa"/>
            </w:tcMar>
          </w:tcPr>
          <w:p w14:paraId="49C043B8" w14:textId="77777777" w:rsidR="00B75986" w:rsidRDefault="00B75986">
            <w:pPr>
              <w:rPr>
                <w:rFonts w:eastAsia="Century Gothic" w:cs="Century Gothic"/>
                <w:color w:val="000000" w:themeColor="text1"/>
              </w:rPr>
            </w:pPr>
          </w:p>
        </w:tc>
        <w:tc>
          <w:tcPr>
            <w:tcW w:w="3081" w:type="dxa"/>
            <w:tcMar>
              <w:left w:w="105" w:type="dxa"/>
              <w:right w:w="105" w:type="dxa"/>
            </w:tcMar>
          </w:tcPr>
          <w:p w14:paraId="6FF2B66B" w14:textId="77777777" w:rsidR="00B75986" w:rsidRDefault="00B75986">
            <w:pPr>
              <w:rPr>
                <w:rFonts w:eastAsia="Century Gothic" w:cs="Century Gothic"/>
                <w:color w:val="000000" w:themeColor="text1"/>
              </w:rPr>
            </w:pPr>
          </w:p>
        </w:tc>
        <w:tc>
          <w:tcPr>
            <w:tcW w:w="6782" w:type="dxa"/>
            <w:tcMar>
              <w:left w:w="105" w:type="dxa"/>
              <w:right w:w="105" w:type="dxa"/>
            </w:tcMar>
          </w:tcPr>
          <w:p w14:paraId="4D4D1923" w14:textId="77777777" w:rsidR="00B75986" w:rsidRDefault="00B75986">
            <w:pPr>
              <w:rPr>
                <w:rFonts w:eastAsia="Century Gothic" w:cs="Century Gothic"/>
                <w:color w:val="000000" w:themeColor="text1"/>
              </w:rPr>
            </w:pPr>
          </w:p>
        </w:tc>
      </w:tr>
      <w:tr w:rsidR="00B75986" w14:paraId="64B9505D" w14:textId="77777777">
        <w:trPr>
          <w:trHeight w:val="576"/>
        </w:trPr>
        <w:tc>
          <w:tcPr>
            <w:tcW w:w="3081" w:type="dxa"/>
            <w:tcMar>
              <w:left w:w="105" w:type="dxa"/>
              <w:right w:w="105" w:type="dxa"/>
            </w:tcMar>
          </w:tcPr>
          <w:p w14:paraId="644831FF" w14:textId="77777777" w:rsidR="00B75986" w:rsidRDefault="00B75986">
            <w:pPr>
              <w:rPr>
                <w:rFonts w:eastAsia="Century Gothic" w:cs="Century Gothic"/>
                <w:color w:val="000000" w:themeColor="text1"/>
              </w:rPr>
            </w:pPr>
          </w:p>
        </w:tc>
        <w:tc>
          <w:tcPr>
            <w:tcW w:w="3081" w:type="dxa"/>
            <w:tcMar>
              <w:left w:w="105" w:type="dxa"/>
              <w:right w:w="105" w:type="dxa"/>
            </w:tcMar>
          </w:tcPr>
          <w:p w14:paraId="40B2FB26" w14:textId="77777777" w:rsidR="00B75986" w:rsidRDefault="00B75986">
            <w:pPr>
              <w:rPr>
                <w:rFonts w:eastAsia="Century Gothic" w:cs="Century Gothic"/>
                <w:color w:val="000000" w:themeColor="text1"/>
              </w:rPr>
            </w:pPr>
          </w:p>
        </w:tc>
        <w:tc>
          <w:tcPr>
            <w:tcW w:w="6782" w:type="dxa"/>
            <w:tcMar>
              <w:left w:w="105" w:type="dxa"/>
              <w:right w:w="105" w:type="dxa"/>
            </w:tcMar>
          </w:tcPr>
          <w:p w14:paraId="2D59AFC8" w14:textId="77777777" w:rsidR="00B75986" w:rsidRDefault="00B75986">
            <w:pPr>
              <w:rPr>
                <w:rFonts w:eastAsia="Century Gothic" w:cs="Century Gothic"/>
                <w:color w:val="000000" w:themeColor="text1"/>
              </w:rPr>
            </w:pPr>
          </w:p>
        </w:tc>
      </w:tr>
      <w:tr w:rsidR="00B75986" w14:paraId="7DB90652" w14:textId="77777777">
        <w:trPr>
          <w:trHeight w:val="576"/>
        </w:trPr>
        <w:tc>
          <w:tcPr>
            <w:tcW w:w="3081" w:type="dxa"/>
            <w:tcMar>
              <w:left w:w="105" w:type="dxa"/>
              <w:right w:w="105" w:type="dxa"/>
            </w:tcMar>
          </w:tcPr>
          <w:p w14:paraId="344CEF48" w14:textId="77777777" w:rsidR="00B75986" w:rsidRDefault="00B75986">
            <w:pPr>
              <w:rPr>
                <w:rFonts w:eastAsia="Century Gothic" w:cs="Century Gothic"/>
                <w:color w:val="000000" w:themeColor="text1"/>
              </w:rPr>
            </w:pPr>
          </w:p>
        </w:tc>
        <w:tc>
          <w:tcPr>
            <w:tcW w:w="3081" w:type="dxa"/>
            <w:tcMar>
              <w:left w:w="105" w:type="dxa"/>
              <w:right w:w="105" w:type="dxa"/>
            </w:tcMar>
          </w:tcPr>
          <w:p w14:paraId="06845B6D" w14:textId="77777777" w:rsidR="00B75986" w:rsidRDefault="00B75986">
            <w:pPr>
              <w:rPr>
                <w:rFonts w:eastAsia="Century Gothic" w:cs="Century Gothic"/>
                <w:color w:val="000000" w:themeColor="text1"/>
              </w:rPr>
            </w:pPr>
          </w:p>
        </w:tc>
        <w:tc>
          <w:tcPr>
            <w:tcW w:w="6782" w:type="dxa"/>
            <w:tcMar>
              <w:left w:w="105" w:type="dxa"/>
              <w:right w:w="105" w:type="dxa"/>
            </w:tcMar>
          </w:tcPr>
          <w:p w14:paraId="1EB415E7" w14:textId="77777777" w:rsidR="00B75986" w:rsidRDefault="00B75986">
            <w:pPr>
              <w:rPr>
                <w:rFonts w:eastAsia="Century Gothic" w:cs="Century Gothic"/>
                <w:color w:val="000000" w:themeColor="text1"/>
              </w:rPr>
            </w:pPr>
          </w:p>
        </w:tc>
      </w:tr>
      <w:tr w:rsidR="00B75986" w14:paraId="08189E76" w14:textId="77777777">
        <w:trPr>
          <w:trHeight w:val="576"/>
        </w:trPr>
        <w:tc>
          <w:tcPr>
            <w:tcW w:w="3081" w:type="dxa"/>
            <w:tcMar>
              <w:left w:w="105" w:type="dxa"/>
              <w:right w:w="105" w:type="dxa"/>
            </w:tcMar>
          </w:tcPr>
          <w:p w14:paraId="3E347BF7" w14:textId="77777777" w:rsidR="00B75986" w:rsidRDefault="00B75986">
            <w:pPr>
              <w:rPr>
                <w:rFonts w:eastAsia="Century Gothic" w:cs="Century Gothic"/>
                <w:color w:val="000000" w:themeColor="text1"/>
              </w:rPr>
            </w:pPr>
          </w:p>
        </w:tc>
        <w:tc>
          <w:tcPr>
            <w:tcW w:w="3081" w:type="dxa"/>
            <w:tcMar>
              <w:left w:w="105" w:type="dxa"/>
              <w:right w:w="105" w:type="dxa"/>
            </w:tcMar>
          </w:tcPr>
          <w:p w14:paraId="7E847616" w14:textId="77777777" w:rsidR="00B75986" w:rsidRDefault="00B75986">
            <w:pPr>
              <w:rPr>
                <w:rFonts w:eastAsia="Century Gothic" w:cs="Century Gothic"/>
                <w:color w:val="000000" w:themeColor="text1"/>
              </w:rPr>
            </w:pPr>
          </w:p>
        </w:tc>
        <w:tc>
          <w:tcPr>
            <w:tcW w:w="6782" w:type="dxa"/>
            <w:tcMar>
              <w:left w:w="105" w:type="dxa"/>
              <w:right w:w="105" w:type="dxa"/>
            </w:tcMar>
          </w:tcPr>
          <w:p w14:paraId="3AB33582" w14:textId="77777777" w:rsidR="00B75986" w:rsidRDefault="00B75986">
            <w:pPr>
              <w:rPr>
                <w:rFonts w:eastAsia="Century Gothic" w:cs="Century Gothic"/>
                <w:color w:val="000000" w:themeColor="text1"/>
              </w:rPr>
            </w:pPr>
          </w:p>
        </w:tc>
      </w:tr>
      <w:tr w:rsidR="00B75986" w14:paraId="69C5E2E7" w14:textId="77777777">
        <w:trPr>
          <w:trHeight w:val="576"/>
        </w:trPr>
        <w:tc>
          <w:tcPr>
            <w:tcW w:w="3081" w:type="dxa"/>
            <w:tcMar>
              <w:left w:w="105" w:type="dxa"/>
              <w:right w:w="105" w:type="dxa"/>
            </w:tcMar>
          </w:tcPr>
          <w:p w14:paraId="3383CD5D" w14:textId="77777777" w:rsidR="00B75986" w:rsidRDefault="00B75986">
            <w:pPr>
              <w:rPr>
                <w:rFonts w:eastAsia="Century Gothic" w:cs="Century Gothic"/>
                <w:color w:val="000000" w:themeColor="text1"/>
              </w:rPr>
            </w:pPr>
          </w:p>
        </w:tc>
        <w:tc>
          <w:tcPr>
            <w:tcW w:w="3081" w:type="dxa"/>
            <w:tcMar>
              <w:left w:w="105" w:type="dxa"/>
              <w:right w:w="105" w:type="dxa"/>
            </w:tcMar>
          </w:tcPr>
          <w:p w14:paraId="626A40F9" w14:textId="77777777" w:rsidR="00B75986" w:rsidRDefault="00B75986">
            <w:pPr>
              <w:rPr>
                <w:rFonts w:eastAsia="Century Gothic" w:cs="Century Gothic"/>
                <w:color w:val="000000" w:themeColor="text1"/>
              </w:rPr>
            </w:pPr>
          </w:p>
        </w:tc>
        <w:tc>
          <w:tcPr>
            <w:tcW w:w="6782" w:type="dxa"/>
            <w:tcMar>
              <w:left w:w="105" w:type="dxa"/>
              <w:right w:w="105" w:type="dxa"/>
            </w:tcMar>
          </w:tcPr>
          <w:p w14:paraId="214B88A5" w14:textId="77777777" w:rsidR="00B75986" w:rsidRDefault="00B75986">
            <w:pPr>
              <w:rPr>
                <w:rFonts w:eastAsia="Century Gothic" w:cs="Century Gothic"/>
                <w:color w:val="000000" w:themeColor="text1"/>
              </w:rPr>
            </w:pPr>
          </w:p>
        </w:tc>
      </w:tr>
      <w:tr w:rsidR="00B75986" w14:paraId="27AD0679" w14:textId="77777777">
        <w:trPr>
          <w:trHeight w:val="576"/>
        </w:trPr>
        <w:tc>
          <w:tcPr>
            <w:tcW w:w="3081" w:type="dxa"/>
            <w:tcMar>
              <w:left w:w="105" w:type="dxa"/>
              <w:right w:w="105" w:type="dxa"/>
            </w:tcMar>
          </w:tcPr>
          <w:p w14:paraId="679EA443" w14:textId="77777777" w:rsidR="00B75986" w:rsidRDefault="00B75986">
            <w:pPr>
              <w:rPr>
                <w:rFonts w:eastAsia="Century Gothic" w:cs="Century Gothic"/>
                <w:color w:val="000000" w:themeColor="text1"/>
              </w:rPr>
            </w:pPr>
          </w:p>
        </w:tc>
        <w:tc>
          <w:tcPr>
            <w:tcW w:w="3081" w:type="dxa"/>
            <w:tcMar>
              <w:left w:w="105" w:type="dxa"/>
              <w:right w:w="105" w:type="dxa"/>
            </w:tcMar>
          </w:tcPr>
          <w:p w14:paraId="4C109134" w14:textId="77777777" w:rsidR="00B75986" w:rsidRDefault="00B75986">
            <w:pPr>
              <w:rPr>
                <w:rFonts w:eastAsia="Century Gothic" w:cs="Century Gothic"/>
                <w:color w:val="000000" w:themeColor="text1"/>
              </w:rPr>
            </w:pPr>
          </w:p>
        </w:tc>
        <w:tc>
          <w:tcPr>
            <w:tcW w:w="6782" w:type="dxa"/>
            <w:tcMar>
              <w:left w:w="105" w:type="dxa"/>
              <w:right w:w="105" w:type="dxa"/>
            </w:tcMar>
          </w:tcPr>
          <w:p w14:paraId="329F6330" w14:textId="77777777" w:rsidR="00B75986" w:rsidRDefault="00B75986">
            <w:pPr>
              <w:rPr>
                <w:rFonts w:eastAsia="Century Gothic" w:cs="Century Gothic"/>
                <w:color w:val="000000" w:themeColor="text1"/>
              </w:rPr>
            </w:pPr>
          </w:p>
        </w:tc>
      </w:tr>
      <w:tr w:rsidR="00B75986" w14:paraId="280CD854" w14:textId="77777777">
        <w:trPr>
          <w:trHeight w:val="576"/>
        </w:trPr>
        <w:tc>
          <w:tcPr>
            <w:tcW w:w="3081" w:type="dxa"/>
            <w:tcMar>
              <w:left w:w="105" w:type="dxa"/>
              <w:right w:w="105" w:type="dxa"/>
            </w:tcMar>
          </w:tcPr>
          <w:p w14:paraId="33DE2839" w14:textId="77777777" w:rsidR="00B75986" w:rsidRDefault="00B75986">
            <w:pPr>
              <w:rPr>
                <w:rFonts w:eastAsia="Century Gothic" w:cs="Century Gothic"/>
                <w:color w:val="000000" w:themeColor="text1"/>
              </w:rPr>
            </w:pPr>
          </w:p>
        </w:tc>
        <w:tc>
          <w:tcPr>
            <w:tcW w:w="3081" w:type="dxa"/>
            <w:tcMar>
              <w:left w:w="105" w:type="dxa"/>
              <w:right w:w="105" w:type="dxa"/>
            </w:tcMar>
          </w:tcPr>
          <w:p w14:paraId="6CB9EB7F" w14:textId="77777777" w:rsidR="00B75986" w:rsidRDefault="00B75986">
            <w:pPr>
              <w:rPr>
                <w:rFonts w:eastAsia="Century Gothic" w:cs="Century Gothic"/>
                <w:color w:val="000000" w:themeColor="text1"/>
              </w:rPr>
            </w:pPr>
          </w:p>
        </w:tc>
        <w:tc>
          <w:tcPr>
            <w:tcW w:w="6782" w:type="dxa"/>
            <w:tcMar>
              <w:left w:w="105" w:type="dxa"/>
              <w:right w:w="105" w:type="dxa"/>
            </w:tcMar>
          </w:tcPr>
          <w:p w14:paraId="338C4A58" w14:textId="77777777" w:rsidR="00B75986" w:rsidRDefault="00B75986">
            <w:pPr>
              <w:rPr>
                <w:rFonts w:eastAsia="Century Gothic" w:cs="Century Gothic"/>
                <w:color w:val="000000" w:themeColor="text1"/>
              </w:rPr>
            </w:pPr>
          </w:p>
        </w:tc>
      </w:tr>
      <w:tr w:rsidR="00B75986" w14:paraId="13C65FC2" w14:textId="77777777">
        <w:trPr>
          <w:trHeight w:val="576"/>
        </w:trPr>
        <w:tc>
          <w:tcPr>
            <w:tcW w:w="3081" w:type="dxa"/>
            <w:tcMar>
              <w:left w:w="105" w:type="dxa"/>
              <w:right w:w="105" w:type="dxa"/>
            </w:tcMar>
          </w:tcPr>
          <w:p w14:paraId="0FD3D780" w14:textId="77777777" w:rsidR="00B75986" w:rsidRDefault="00B75986">
            <w:pPr>
              <w:rPr>
                <w:rFonts w:eastAsia="Century Gothic" w:cs="Century Gothic"/>
                <w:color w:val="000000" w:themeColor="text1"/>
              </w:rPr>
            </w:pPr>
          </w:p>
        </w:tc>
        <w:tc>
          <w:tcPr>
            <w:tcW w:w="3081" w:type="dxa"/>
            <w:tcMar>
              <w:left w:w="105" w:type="dxa"/>
              <w:right w:w="105" w:type="dxa"/>
            </w:tcMar>
          </w:tcPr>
          <w:p w14:paraId="4CFEF9D4" w14:textId="77777777" w:rsidR="00B75986" w:rsidRDefault="00B75986">
            <w:pPr>
              <w:rPr>
                <w:rFonts w:eastAsia="Century Gothic" w:cs="Century Gothic"/>
                <w:color w:val="000000" w:themeColor="text1"/>
              </w:rPr>
            </w:pPr>
          </w:p>
        </w:tc>
        <w:tc>
          <w:tcPr>
            <w:tcW w:w="6782" w:type="dxa"/>
            <w:tcMar>
              <w:left w:w="105" w:type="dxa"/>
              <w:right w:w="105" w:type="dxa"/>
            </w:tcMar>
          </w:tcPr>
          <w:p w14:paraId="6CC319EC" w14:textId="77777777" w:rsidR="00B75986" w:rsidRDefault="00B75986">
            <w:pPr>
              <w:rPr>
                <w:rFonts w:eastAsia="Century Gothic" w:cs="Century Gothic"/>
                <w:color w:val="000000" w:themeColor="text1"/>
              </w:rPr>
            </w:pPr>
          </w:p>
        </w:tc>
      </w:tr>
      <w:tr w:rsidR="00B75986" w14:paraId="560BA660" w14:textId="77777777">
        <w:trPr>
          <w:trHeight w:val="576"/>
        </w:trPr>
        <w:tc>
          <w:tcPr>
            <w:tcW w:w="3081" w:type="dxa"/>
            <w:tcMar>
              <w:left w:w="105" w:type="dxa"/>
              <w:right w:w="105" w:type="dxa"/>
            </w:tcMar>
          </w:tcPr>
          <w:p w14:paraId="3C54540B" w14:textId="77777777" w:rsidR="00B75986" w:rsidRDefault="00B75986">
            <w:pPr>
              <w:rPr>
                <w:rFonts w:eastAsia="Century Gothic" w:cs="Century Gothic"/>
                <w:color w:val="000000" w:themeColor="text1"/>
              </w:rPr>
            </w:pPr>
          </w:p>
        </w:tc>
        <w:tc>
          <w:tcPr>
            <w:tcW w:w="3081" w:type="dxa"/>
            <w:tcMar>
              <w:left w:w="105" w:type="dxa"/>
              <w:right w:w="105" w:type="dxa"/>
            </w:tcMar>
          </w:tcPr>
          <w:p w14:paraId="0A28F72D" w14:textId="77777777" w:rsidR="00B75986" w:rsidRDefault="00B75986">
            <w:pPr>
              <w:rPr>
                <w:rFonts w:eastAsia="Century Gothic" w:cs="Century Gothic"/>
                <w:color w:val="000000" w:themeColor="text1"/>
              </w:rPr>
            </w:pPr>
          </w:p>
        </w:tc>
        <w:tc>
          <w:tcPr>
            <w:tcW w:w="6782" w:type="dxa"/>
            <w:tcMar>
              <w:left w:w="105" w:type="dxa"/>
              <w:right w:w="105" w:type="dxa"/>
            </w:tcMar>
          </w:tcPr>
          <w:p w14:paraId="609F3045" w14:textId="77777777" w:rsidR="00B75986" w:rsidRDefault="00B75986">
            <w:pPr>
              <w:rPr>
                <w:rFonts w:eastAsia="Century Gothic" w:cs="Century Gothic"/>
                <w:color w:val="000000" w:themeColor="text1"/>
              </w:rPr>
            </w:pPr>
          </w:p>
        </w:tc>
      </w:tr>
      <w:tr w:rsidR="00B75986" w14:paraId="426D6E0B" w14:textId="77777777">
        <w:trPr>
          <w:trHeight w:val="576"/>
        </w:trPr>
        <w:tc>
          <w:tcPr>
            <w:tcW w:w="3081" w:type="dxa"/>
            <w:tcMar>
              <w:left w:w="105" w:type="dxa"/>
              <w:right w:w="105" w:type="dxa"/>
            </w:tcMar>
          </w:tcPr>
          <w:p w14:paraId="17FA8C84" w14:textId="77777777" w:rsidR="00B75986" w:rsidRDefault="00B75986">
            <w:pPr>
              <w:rPr>
                <w:rFonts w:eastAsia="Century Gothic" w:cs="Century Gothic"/>
                <w:color w:val="000000" w:themeColor="text1"/>
              </w:rPr>
            </w:pPr>
          </w:p>
        </w:tc>
        <w:tc>
          <w:tcPr>
            <w:tcW w:w="3081" w:type="dxa"/>
            <w:tcMar>
              <w:left w:w="105" w:type="dxa"/>
              <w:right w:w="105" w:type="dxa"/>
            </w:tcMar>
          </w:tcPr>
          <w:p w14:paraId="01ED5D0D" w14:textId="77777777" w:rsidR="00B75986" w:rsidRDefault="00B75986">
            <w:pPr>
              <w:rPr>
                <w:rFonts w:eastAsia="Century Gothic" w:cs="Century Gothic"/>
                <w:color w:val="000000" w:themeColor="text1"/>
              </w:rPr>
            </w:pPr>
          </w:p>
        </w:tc>
        <w:tc>
          <w:tcPr>
            <w:tcW w:w="6782" w:type="dxa"/>
            <w:tcMar>
              <w:left w:w="105" w:type="dxa"/>
              <w:right w:w="105" w:type="dxa"/>
            </w:tcMar>
          </w:tcPr>
          <w:p w14:paraId="0A177EF0" w14:textId="77777777" w:rsidR="00B75986" w:rsidRDefault="00B75986">
            <w:pPr>
              <w:rPr>
                <w:rFonts w:eastAsia="Century Gothic" w:cs="Century Gothic"/>
                <w:color w:val="000000" w:themeColor="text1"/>
              </w:rPr>
            </w:pPr>
          </w:p>
        </w:tc>
      </w:tr>
      <w:tr w:rsidR="00B75986" w14:paraId="510759F5" w14:textId="77777777">
        <w:trPr>
          <w:trHeight w:val="576"/>
        </w:trPr>
        <w:tc>
          <w:tcPr>
            <w:tcW w:w="3081" w:type="dxa"/>
            <w:tcMar>
              <w:left w:w="105" w:type="dxa"/>
              <w:right w:w="105" w:type="dxa"/>
            </w:tcMar>
          </w:tcPr>
          <w:p w14:paraId="7B2376F2" w14:textId="77777777" w:rsidR="00B75986" w:rsidRDefault="00B75986">
            <w:pPr>
              <w:rPr>
                <w:rFonts w:eastAsia="Century Gothic" w:cs="Century Gothic"/>
                <w:color w:val="000000" w:themeColor="text1"/>
              </w:rPr>
            </w:pPr>
          </w:p>
        </w:tc>
        <w:tc>
          <w:tcPr>
            <w:tcW w:w="3081" w:type="dxa"/>
            <w:tcMar>
              <w:left w:w="105" w:type="dxa"/>
              <w:right w:w="105" w:type="dxa"/>
            </w:tcMar>
          </w:tcPr>
          <w:p w14:paraId="1A972677" w14:textId="77777777" w:rsidR="00B75986" w:rsidRDefault="00B75986">
            <w:pPr>
              <w:rPr>
                <w:rFonts w:eastAsia="Century Gothic" w:cs="Century Gothic"/>
                <w:color w:val="000000" w:themeColor="text1"/>
              </w:rPr>
            </w:pPr>
          </w:p>
        </w:tc>
        <w:tc>
          <w:tcPr>
            <w:tcW w:w="6782" w:type="dxa"/>
            <w:tcMar>
              <w:left w:w="105" w:type="dxa"/>
              <w:right w:w="105" w:type="dxa"/>
            </w:tcMar>
          </w:tcPr>
          <w:p w14:paraId="33AB6325" w14:textId="77777777" w:rsidR="00B75986" w:rsidRDefault="00B75986">
            <w:pPr>
              <w:rPr>
                <w:rFonts w:eastAsia="Century Gothic" w:cs="Century Gothic"/>
                <w:color w:val="000000" w:themeColor="text1"/>
              </w:rPr>
            </w:pPr>
          </w:p>
        </w:tc>
      </w:tr>
      <w:tr w:rsidR="00B75986" w14:paraId="5CFD890A" w14:textId="77777777">
        <w:trPr>
          <w:trHeight w:val="576"/>
        </w:trPr>
        <w:tc>
          <w:tcPr>
            <w:tcW w:w="3081" w:type="dxa"/>
            <w:tcMar>
              <w:left w:w="105" w:type="dxa"/>
              <w:right w:w="105" w:type="dxa"/>
            </w:tcMar>
          </w:tcPr>
          <w:p w14:paraId="2212EBD7" w14:textId="77777777" w:rsidR="00B75986" w:rsidRDefault="00B75986">
            <w:pPr>
              <w:rPr>
                <w:rFonts w:eastAsia="Century Gothic" w:cs="Century Gothic"/>
                <w:color w:val="000000" w:themeColor="text1"/>
              </w:rPr>
            </w:pPr>
          </w:p>
        </w:tc>
        <w:tc>
          <w:tcPr>
            <w:tcW w:w="3081" w:type="dxa"/>
            <w:tcMar>
              <w:left w:w="105" w:type="dxa"/>
              <w:right w:w="105" w:type="dxa"/>
            </w:tcMar>
          </w:tcPr>
          <w:p w14:paraId="4AEE56CB" w14:textId="77777777" w:rsidR="00B75986" w:rsidRDefault="00B75986">
            <w:pPr>
              <w:rPr>
                <w:rFonts w:eastAsia="Century Gothic" w:cs="Century Gothic"/>
                <w:color w:val="000000" w:themeColor="text1"/>
              </w:rPr>
            </w:pPr>
          </w:p>
        </w:tc>
        <w:tc>
          <w:tcPr>
            <w:tcW w:w="6782" w:type="dxa"/>
            <w:tcMar>
              <w:left w:w="105" w:type="dxa"/>
              <w:right w:w="105" w:type="dxa"/>
            </w:tcMar>
          </w:tcPr>
          <w:p w14:paraId="348492B9" w14:textId="77777777" w:rsidR="00B75986" w:rsidRDefault="00B75986">
            <w:pPr>
              <w:rPr>
                <w:rFonts w:eastAsia="Century Gothic" w:cs="Century Gothic"/>
                <w:color w:val="000000" w:themeColor="text1"/>
              </w:rPr>
            </w:pPr>
          </w:p>
        </w:tc>
      </w:tr>
    </w:tbl>
    <w:p w14:paraId="057F2991" w14:textId="46B2BAC6" w:rsidR="00B75986" w:rsidRPr="00142FA2" w:rsidRDefault="007A42DA" w:rsidP="00B75986">
      <w:pPr>
        <w:pStyle w:val="Heading2"/>
        <w:spacing w:before="160" w:after="160" w:line="240" w:lineRule="auto"/>
        <w:rPr>
          <w:i/>
          <w:iCs/>
        </w:rPr>
      </w:pPr>
      <w:bookmarkStart w:id="268" w:name="_Ref230247771"/>
      <w:bookmarkStart w:id="269" w:name="_Toc235802766"/>
      <w:r>
        <w:t>Partner Interview Findings</w:t>
      </w:r>
      <w:bookmarkEnd w:id="268"/>
      <w:bookmarkEnd w:id="269"/>
    </w:p>
    <w:p w14:paraId="7A6A467C" w14:textId="77777777" w:rsidR="00B75986" w:rsidRPr="004E75A7" w:rsidRDefault="00B75986" w:rsidP="00B75986">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2.2D</w:t>
      </w:r>
    </w:p>
    <w:p w14:paraId="5A1F06B2" w14:textId="1AC0790C" w:rsidR="00B75986" w:rsidRPr="00E94AF4"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Use the tables below to document insights gathered from partner interviews.</w:t>
      </w:r>
    </w:p>
    <w:tbl>
      <w:tblPr>
        <w:tblStyle w:val="TableGrid"/>
        <w:tblW w:w="0" w:type="auto"/>
        <w:tblLook w:val="04A0" w:firstRow="1" w:lastRow="0" w:firstColumn="1" w:lastColumn="0" w:noHBand="0" w:noVBand="1"/>
        <w:tblCaption w:val="interview insights on past and current impacts"/>
        <w:tblDescription w:val="6 example impact areas with fillable space for your key insights"/>
      </w:tblPr>
      <w:tblGrid>
        <w:gridCol w:w="4145"/>
        <w:gridCol w:w="8719"/>
      </w:tblGrid>
      <w:tr w:rsidR="00B75986" w14:paraId="070F1F12" w14:textId="77777777" w:rsidTr="00C36E1D">
        <w:trPr>
          <w:trHeight w:val="300"/>
        </w:trPr>
        <w:tc>
          <w:tcPr>
            <w:tcW w:w="4145" w:type="dxa"/>
            <w:tcMar>
              <w:left w:w="105" w:type="dxa"/>
              <w:right w:w="105" w:type="dxa"/>
            </w:tcMar>
          </w:tcPr>
          <w:p w14:paraId="7350BA0C" w14:textId="77777777" w:rsidR="00B75986" w:rsidRDefault="00B75986">
            <w:pPr>
              <w:rPr>
                <w:rFonts w:eastAsia="Century Gothic" w:cs="Century Gothic"/>
              </w:rPr>
            </w:pPr>
            <w:r>
              <w:rPr>
                <w:rFonts w:eastAsia="Century Gothic" w:cs="Century Gothic"/>
                <w:b/>
                <w:bCs/>
              </w:rPr>
              <w:t>Impact Area</w:t>
            </w:r>
          </w:p>
        </w:tc>
        <w:tc>
          <w:tcPr>
            <w:tcW w:w="8719" w:type="dxa"/>
            <w:tcMar>
              <w:left w:w="105" w:type="dxa"/>
              <w:right w:w="105" w:type="dxa"/>
            </w:tcMar>
          </w:tcPr>
          <w:p w14:paraId="7AFE40F6" w14:textId="77777777" w:rsidR="00B75986" w:rsidRDefault="00B75986">
            <w:pPr>
              <w:rPr>
                <w:rFonts w:eastAsia="Century Gothic" w:cs="Century Gothic"/>
              </w:rPr>
            </w:pPr>
            <w:r>
              <w:rPr>
                <w:rFonts w:eastAsia="Century Gothic" w:cs="Century Gothic"/>
                <w:b/>
                <w:bCs/>
              </w:rPr>
              <w:t>Key Insights</w:t>
            </w:r>
          </w:p>
        </w:tc>
      </w:tr>
      <w:tr w:rsidR="00B75986" w14:paraId="30258D66" w14:textId="77777777" w:rsidTr="00C36E1D">
        <w:trPr>
          <w:trHeight w:val="1152"/>
        </w:trPr>
        <w:tc>
          <w:tcPr>
            <w:tcW w:w="4145" w:type="dxa"/>
            <w:tcMar>
              <w:left w:w="105" w:type="dxa"/>
              <w:right w:w="105" w:type="dxa"/>
            </w:tcMar>
          </w:tcPr>
          <w:p w14:paraId="6A27B932" w14:textId="77777777" w:rsidR="00B75986" w:rsidRDefault="00B75986">
            <w:pPr>
              <w:rPr>
                <w:rFonts w:eastAsia="Century Gothic" w:cs="Century Gothic"/>
              </w:rPr>
            </w:pPr>
            <w:r>
              <w:rPr>
                <w:rFonts w:eastAsia="Century Gothic" w:cs="Century Gothic"/>
              </w:rPr>
              <w:t>Services impacted (e.g., utilities)</w:t>
            </w:r>
          </w:p>
        </w:tc>
        <w:tc>
          <w:tcPr>
            <w:tcW w:w="8719" w:type="dxa"/>
            <w:tcMar>
              <w:left w:w="105" w:type="dxa"/>
              <w:right w:w="105" w:type="dxa"/>
            </w:tcMar>
          </w:tcPr>
          <w:p w14:paraId="10F8B432" w14:textId="77777777" w:rsidR="00B75986" w:rsidRDefault="00B75986">
            <w:pPr>
              <w:rPr>
                <w:rFonts w:eastAsia="Century Gothic" w:cs="Century Gothic"/>
              </w:rPr>
            </w:pPr>
          </w:p>
        </w:tc>
      </w:tr>
      <w:tr w:rsidR="00B75986" w14:paraId="3F32D180" w14:textId="77777777" w:rsidTr="00C36E1D">
        <w:trPr>
          <w:trHeight w:val="1152"/>
        </w:trPr>
        <w:tc>
          <w:tcPr>
            <w:tcW w:w="4145" w:type="dxa"/>
            <w:tcMar>
              <w:left w:w="105" w:type="dxa"/>
              <w:right w:w="105" w:type="dxa"/>
            </w:tcMar>
          </w:tcPr>
          <w:p w14:paraId="2BAE547A" w14:textId="77777777" w:rsidR="00B75986" w:rsidRDefault="00B75986">
            <w:pPr>
              <w:rPr>
                <w:rFonts w:eastAsia="Century Gothic" w:cs="Century Gothic"/>
              </w:rPr>
            </w:pPr>
            <w:r>
              <w:rPr>
                <w:rFonts w:eastAsia="Century Gothic" w:cs="Century Gothic"/>
              </w:rPr>
              <w:t>Facilities or physical assets impacted</w:t>
            </w:r>
          </w:p>
        </w:tc>
        <w:tc>
          <w:tcPr>
            <w:tcW w:w="8719" w:type="dxa"/>
            <w:tcMar>
              <w:left w:w="105" w:type="dxa"/>
              <w:right w:w="105" w:type="dxa"/>
            </w:tcMar>
          </w:tcPr>
          <w:p w14:paraId="59EB9EAA" w14:textId="77777777" w:rsidR="00B75986" w:rsidRDefault="00B75986">
            <w:pPr>
              <w:rPr>
                <w:rFonts w:eastAsia="Century Gothic" w:cs="Century Gothic"/>
              </w:rPr>
            </w:pPr>
          </w:p>
        </w:tc>
      </w:tr>
      <w:tr w:rsidR="00B75986" w14:paraId="745D5445" w14:textId="77777777" w:rsidTr="00C36E1D">
        <w:trPr>
          <w:trHeight w:val="1152"/>
        </w:trPr>
        <w:tc>
          <w:tcPr>
            <w:tcW w:w="4145" w:type="dxa"/>
            <w:tcMar>
              <w:left w:w="105" w:type="dxa"/>
              <w:right w:w="105" w:type="dxa"/>
            </w:tcMar>
          </w:tcPr>
          <w:p w14:paraId="1B9BEB00" w14:textId="77777777" w:rsidR="00B75986" w:rsidRDefault="00B75986">
            <w:pPr>
              <w:rPr>
                <w:rFonts w:eastAsia="Century Gothic" w:cs="Century Gothic"/>
              </w:rPr>
            </w:pPr>
            <w:r>
              <w:rPr>
                <w:rFonts w:eastAsia="Century Gothic" w:cs="Century Gothic"/>
              </w:rPr>
              <w:t>Populations impacted (demographic, health, occupations, etc.)</w:t>
            </w:r>
          </w:p>
        </w:tc>
        <w:tc>
          <w:tcPr>
            <w:tcW w:w="8719" w:type="dxa"/>
            <w:tcMar>
              <w:left w:w="105" w:type="dxa"/>
              <w:right w:w="105" w:type="dxa"/>
            </w:tcMar>
          </w:tcPr>
          <w:p w14:paraId="47932E20" w14:textId="77777777" w:rsidR="00B75986" w:rsidRDefault="00B75986">
            <w:pPr>
              <w:rPr>
                <w:rFonts w:eastAsia="Century Gothic" w:cs="Century Gothic"/>
              </w:rPr>
            </w:pPr>
          </w:p>
        </w:tc>
      </w:tr>
      <w:tr w:rsidR="00B75986" w14:paraId="45F1A933" w14:textId="77777777" w:rsidTr="00C36E1D">
        <w:trPr>
          <w:trHeight w:val="1152"/>
        </w:trPr>
        <w:tc>
          <w:tcPr>
            <w:tcW w:w="4145" w:type="dxa"/>
            <w:tcMar>
              <w:left w:w="105" w:type="dxa"/>
              <w:right w:w="105" w:type="dxa"/>
            </w:tcMar>
          </w:tcPr>
          <w:p w14:paraId="3B76C251" w14:textId="77777777" w:rsidR="00B75986" w:rsidRDefault="00B75986">
            <w:pPr>
              <w:rPr>
                <w:rFonts w:eastAsia="Century Gothic" w:cs="Century Gothic"/>
              </w:rPr>
            </w:pPr>
            <w:r>
              <w:rPr>
                <w:rFonts w:eastAsia="Century Gothic" w:cs="Century Gothic"/>
              </w:rPr>
              <w:t>Downstream or cascading disruptions</w:t>
            </w:r>
          </w:p>
        </w:tc>
        <w:tc>
          <w:tcPr>
            <w:tcW w:w="8719" w:type="dxa"/>
            <w:tcMar>
              <w:left w:w="105" w:type="dxa"/>
              <w:right w:w="105" w:type="dxa"/>
            </w:tcMar>
          </w:tcPr>
          <w:p w14:paraId="560982F4" w14:textId="77777777" w:rsidR="00B75986" w:rsidRDefault="00B75986">
            <w:pPr>
              <w:rPr>
                <w:rFonts w:eastAsia="Century Gothic" w:cs="Century Gothic"/>
              </w:rPr>
            </w:pPr>
          </w:p>
        </w:tc>
      </w:tr>
      <w:tr w:rsidR="00B75986" w14:paraId="218E46C7" w14:textId="77777777" w:rsidTr="00C36E1D">
        <w:trPr>
          <w:trHeight w:val="1152"/>
        </w:trPr>
        <w:tc>
          <w:tcPr>
            <w:tcW w:w="4145" w:type="dxa"/>
            <w:tcMar>
              <w:left w:w="105" w:type="dxa"/>
              <w:right w:w="105" w:type="dxa"/>
            </w:tcMar>
          </w:tcPr>
          <w:p w14:paraId="62F4EC35" w14:textId="77777777" w:rsidR="00B75986" w:rsidRDefault="00B75986">
            <w:pPr>
              <w:rPr>
                <w:rFonts w:eastAsia="Century Gothic" w:cs="Century Gothic"/>
              </w:rPr>
            </w:pPr>
            <w:r>
              <w:rPr>
                <w:rFonts w:eastAsia="Century Gothic" w:cs="Century Gothic"/>
              </w:rPr>
              <w:t>Economic impacts</w:t>
            </w:r>
          </w:p>
        </w:tc>
        <w:tc>
          <w:tcPr>
            <w:tcW w:w="8719" w:type="dxa"/>
            <w:tcMar>
              <w:left w:w="105" w:type="dxa"/>
              <w:right w:w="105" w:type="dxa"/>
            </w:tcMar>
          </w:tcPr>
          <w:p w14:paraId="69168F8F" w14:textId="77777777" w:rsidR="00B75986" w:rsidRDefault="00B75986">
            <w:pPr>
              <w:rPr>
                <w:rFonts w:eastAsia="Century Gothic" w:cs="Century Gothic"/>
              </w:rPr>
            </w:pPr>
          </w:p>
        </w:tc>
      </w:tr>
      <w:tr w:rsidR="00A02566" w14:paraId="2252C883" w14:textId="77777777" w:rsidTr="00C36E1D">
        <w:trPr>
          <w:trHeight w:val="1152"/>
        </w:trPr>
        <w:tc>
          <w:tcPr>
            <w:tcW w:w="4145" w:type="dxa"/>
            <w:tcMar>
              <w:left w:w="105" w:type="dxa"/>
              <w:right w:w="105" w:type="dxa"/>
            </w:tcMar>
          </w:tcPr>
          <w:p w14:paraId="4224F6F6" w14:textId="538C3837" w:rsidR="00A02566" w:rsidRPr="3ADA22F9" w:rsidRDefault="00A112DD">
            <w:pPr>
              <w:rPr>
                <w:rFonts w:eastAsia="Century Gothic" w:cs="Century Gothic"/>
              </w:rPr>
            </w:pPr>
            <w:r>
              <w:t>Existing community assets, such as partnerships, local knowledge, local resilience strategies</w:t>
            </w:r>
          </w:p>
        </w:tc>
        <w:tc>
          <w:tcPr>
            <w:tcW w:w="8719" w:type="dxa"/>
            <w:tcMar>
              <w:left w:w="105" w:type="dxa"/>
              <w:right w:w="105" w:type="dxa"/>
            </w:tcMar>
          </w:tcPr>
          <w:p w14:paraId="1F232518" w14:textId="77777777" w:rsidR="00A02566" w:rsidRDefault="00A02566">
            <w:pPr>
              <w:rPr>
                <w:rFonts w:eastAsia="Century Gothic" w:cs="Century Gothic"/>
              </w:rPr>
            </w:pPr>
          </w:p>
        </w:tc>
      </w:tr>
      <w:tr w:rsidR="00B75986" w14:paraId="181251FE" w14:textId="77777777" w:rsidTr="00C36E1D">
        <w:trPr>
          <w:trHeight w:val="1152"/>
        </w:trPr>
        <w:tc>
          <w:tcPr>
            <w:tcW w:w="4145" w:type="dxa"/>
            <w:tcMar>
              <w:left w:w="105" w:type="dxa"/>
              <w:right w:w="105" w:type="dxa"/>
            </w:tcMar>
          </w:tcPr>
          <w:p w14:paraId="6A3E145C" w14:textId="77777777" w:rsidR="00B75986" w:rsidRDefault="00B75986">
            <w:pPr>
              <w:rPr>
                <w:rFonts w:eastAsia="Century Gothic" w:cs="Century Gothic"/>
              </w:rPr>
            </w:pPr>
            <w:r>
              <w:rPr>
                <w:rFonts w:eastAsia="Century Gothic" w:cs="Century Gothic"/>
              </w:rPr>
              <w:t>Ecological or cultural resource impacts</w:t>
            </w:r>
          </w:p>
        </w:tc>
        <w:tc>
          <w:tcPr>
            <w:tcW w:w="8719" w:type="dxa"/>
            <w:tcMar>
              <w:left w:w="105" w:type="dxa"/>
              <w:right w:w="105" w:type="dxa"/>
            </w:tcMar>
          </w:tcPr>
          <w:p w14:paraId="6AA005FB" w14:textId="77777777" w:rsidR="00B75986" w:rsidRDefault="00B75986">
            <w:pPr>
              <w:rPr>
                <w:rFonts w:eastAsia="Century Gothic" w:cs="Century Gothic"/>
              </w:rPr>
            </w:pPr>
          </w:p>
        </w:tc>
      </w:tr>
    </w:tbl>
    <w:p w14:paraId="11E02EA8" w14:textId="06617540" w:rsidR="00B75986" w:rsidRDefault="00B75986" w:rsidP="00B75986">
      <w:pPr>
        <w:rPr>
          <w:rFonts w:eastAsia="Century Gothic" w:cs="Century Gothic"/>
          <w:b/>
          <w:bCs/>
        </w:rPr>
      </w:pPr>
    </w:p>
    <w:tbl>
      <w:tblPr>
        <w:tblStyle w:val="TableGrid"/>
        <w:tblW w:w="0" w:type="auto"/>
        <w:tblLook w:val="04A0" w:firstRow="1" w:lastRow="0" w:firstColumn="1" w:lastColumn="0" w:noHBand="0" w:noVBand="1"/>
        <w:tblCaption w:val="interview insights on future climate impacts"/>
        <w:tblDescription w:val="5 example topics with fillable space for your key insights"/>
      </w:tblPr>
      <w:tblGrid>
        <w:gridCol w:w="5344"/>
        <w:gridCol w:w="7600"/>
      </w:tblGrid>
      <w:tr w:rsidR="00B75986" w14:paraId="278B69AD" w14:textId="77777777">
        <w:trPr>
          <w:trHeight w:val="330"/>
        </w:trPr>
        <w:tc>
          <w:tcPr>
            <w:tcW w:w="5344" w:type="dxa"/>
            <w:tcMar>
              <w:left w:w="105" w:type="dxa"/>
              <w:right w:w="105" w:type="dxa"/>
            </w:tcMar>
          </w:tcPr>
          <w:p w14:paraId="606A8B0B" w14:textId="77777777" w:rsidR="00B75986" w:rsidRDefault="00B75986">
            <w:pPr>
              <w:rPr>
                <w:rFonts w:eastAsia="Century Gothic" w:cs="Century Gothic"/>
              </w:rPr>
            </w:pPr>
            <w:r>
              <w:rPr>
                <w:rFonts w:eastAsia="Century Gothic" w:cs="Century Gothic"/>
                <w:b/>
                <w:bCs/>
              </w:rPr>
              <w:t>Topic</w:t>
            </w:r>
          </w:p>
        </w:tc>
        <w:tc>
          <w:tcPr>
            <w:tcW w:w="7600" w:type="dxa"/>
            <w:tcMar>
              <w:left w:w="105" w:type="dxa"/>
              <w:right w:w="105" w:type="dxa"/>
            </w:tcMar>
          </w:tcPr>
          <w:p w14:paraId="7264FEAF" w14:textId="77777777" w:rsidR="00B75986" w:rsidRDefault="00B75986">
            <w:pPr>
              <w:rPr>
                <w:rFonts w:eastAsia="Century Gothic" w:cs="Century Gothic"/>
              </w:rPr>
            </w:pPr>
            <w:r>
              <w:rPr>
                <w:rFonts w:eastAsia="Century Gothic" w:cs="Century Gothic"/>
                <w:b/>
                <w:bCs/>
              </w:rPr>
              <w:t>Key Insights</w:t>
            </w:r>
          </w:p>
        </w:tc>
      </w:tr>
      <w:tr w:rsidR="00B75986" w14:paraId="6FCEC6AB" w14:textId="77777777">
        <w:trPr>
          <w:trHeight w:val="1152"/>
        </w:trPr>
        <w:tc>
          <w:tcPr>
            <w:tcW w:w="5344" w:type="dxa"/>
            <w:tcMar>
              <w:left w:w="105" w:type="dxa"/>
              <w:right w:w="105" w:type="dxa"/>
            </w:tcMar>
          </w:tcPr>
          <w:p w14:paraId="2A61CD1E" w14:textId="77777777" w:rsidR="00B75986" w:rsidRDefault="00B75986">
            <w:pPr>
              <w:rPr>
                <w:rFonts w:eastAsia="Century Gothic" w:cs="Century Gothic"/>
              </w:rPr>
            </w:pPr>
            <w:r>
              <w:rPr>
                <w:rFonts w:eastAsia="Century Gothic" w:cs="Century Gothic"/>
              </w:rPr>
              <w:t>How impacts may change with future climate conditions</w:t>
            </w:r>
          </w:p>
        </w:tc>
        <w:tc>
          <w:tcPr>
            <w:tcW w:w="7600" w:type="dxa"/>
            <w:tcMar>
              <w:left w:w="105" w:type="dxa"/>
              <w:right w:w="105" w:type="dxa"/>
            </w:tcMar>
          </w:tcPr>
          <w:p w14:paraId="0506C561" w14:textId="77777777" w:rsidR="00B75986" w:rsidRDefault="00B75986">
            <w:pPr>
              <w:rPr>
                <w:rFonts w:eastAsia="Century Gothic" w:cs="Century Gothic"/>
              </w:rPr>
            </w:pPr>
          </w:p>
        </w:tc>
      </w:tr>
      <w:tr w:rsidR="00B75986" w14:paraId="01BDC51E" w14:textId="77777777">
        <w:trPr>
          <w:trHeight w:val="1152"/>
        </w:trPr>
        <w:tc>
          <w:tcPr>
            <w:tcW w:w="5344" w:type="dxa"/>
            <w:tcMar>
              <w:left w:w="105" w:type="dxa"/>
              <w:right w:w="105" w:type="dxa"/>
            </w:tcMar>
          </w:tcPr>
          <w:p w14:paraId="6AA8834F" w14:textId="77777777" w:rsidR="00B75986" w:rsidRDefault="00B75986">
            <w:pPr>
              <w:rPr>
                <w:rFonts w:eastAsia="Century Gothic" w:cs="Century Gothic"/>
              </w:rPr>
            </w:pPr>
            <w:r>
              <w:rPr>
                <w:rFonts w:eastAsia="Century Gothic" w:cs="Century Gothic"/>
              </w:rPr>
              <w:t>Assets or services expected to face increased risk</w:t>
            </w:r>
          </w:p>
        </w:tc>
        <w:tc>
          <w:tcPr>
            <w:tcW w:w="7600" w:type="dxa"/>
            <w:tcMar>
              <w:left w:w="105" w:type="dxa"/>
              <w:right w:w="105" w:type="dxa"/>
            </w:tcMar>
          </w:tcPr>
          <w:p w14:paraId="5DC24AD5" w14:textId="77777777" w:rsidR="00B75986" w:rsidRDefault="00B75986">
            <w:pPr>
              <w:rPr>
                <w:rFonts w:eastAsia="Century Gothic" w:cs="Century Gothic"/>
              </w:rPr>
            </w:pPr>
          </w:p>
        </w:tc>
      </w:tr>
      <w:tr w:rsidR="00B75986" w14:paraId="209E579A" w14:textId="77777777">
        <w:trPr>
          <w:trHeight w:val="1152"/>
        </w:trPr>
        <w:tc>
          <w:tcPr>
            <w:tcW w:w="5344" w:type="dxa"/>
            <w:tcMar>
              <w:left w:w="105" w:type="dxa"/>
              <w:right w:w="105" w:type="dxa"/>
            </w:tcMar>
          </w:tcPr>
          <w:p w14:paraId="683FCD6A" w14:textId="77777777" w:rsidR="00B75986" w:rsidRDefault="00B75986">
            <w:pPr>
              <w:rPr>
                <w:rFonts w:eastAsia="Century Gothic" w:cs="Century Gothic"/>
              </w:rPr>
            </w:pPr>
            <w:r>
              <w:rPr>
                <w:rFonts w:eastAsia="Century Gothic" w:cs="Century Gothic"/>
              </w:rPr>
              <w:t>Populations expected to be more affected in the future</w:t>
            </w:r>
          </w:p>
        </w:tc>
        <w:tc>
          <w:tcPr>
            <w:tcW w:w="7600" w:type="dxa"/>
            <w:tcMar>
              <w:left w:w="105" w:type="dxa"/>
              <w:right w:w="105" w:type="dxa"/>
            </w:tcMar>
          </w:tcPr>
          <w:p w14:paraId="72B83A37" w14:textId="77777777" w:rsidR="00B75986" w:rsidRDefault="00B75986">
            <w:pPr>
              <w:rPr>
                <w:rFonts w:eastAsia="Century Gothic" w:cs="Century Gothic"/>
              </w:rPr>
            </w:pPr>
          </w:p>
        </w:tc>
      </w:tr>
      <w:tr w:rsidR="00B75986" w14:paraId="15B65C87" w14:textId="77777777">
        <w:trPr>
          <w:trHeight w:val="1152"/>
        </w:trPr>
        <w:tc>
          <w:tcPr>
            <w:tcW w:w="5344" w:type="dxa"/>
            <w:tcMar>
              <w:left w:w="105" w:type="dxa"/>
              <w:right w:w="105" w:type="dxa"/>
            </w:tcMar>
          </w:tcPr>
          <w:p w14:paraId="75938017" w14:textId="77777777" w:rsidR="00B75986" w:rsidRDefault="00B75986">
            <w:pPr>
              <w:rPr>
                <w:rFonts w:eastAsia="Century Gothic" w:cs="Century Gothic"/>
              </w:rPr>
            </w:pPr>
            <w:r>
              <w:rPr>
                <w:rFonts w:eastAsia="Century Gothic" w:cs="Century Gothic"/>
              </w:rPr>
              <w:t>Emerging or previously undocumented risks</w:t>
            </w:r>
          </w:p>
        </w:tc>
        <w:tc>
          <w:tcPr>
            <w:tcW w:w="7600" w:type="dxa"/>
            <w:tcMar>
              <w:left w:w="105" w:type="dxa"/>
              <w:right w:w="105" w:type="dxa"/>
            </w:tcMar>
          </w:tcPr>
          <w:p w14:paraId="36A5E7B2" w14:textId="77777777" w:rsidR="00B75986" w:rsidRDefault="00B75986">
            <w:pPr>
              <w:rPr>
                <w:rFonts w:eastAsia="Century Gothic" w:cs="Century Gothic"/>
              </w:rPr>
            </w:pPr>
          </w:p>
        </w:tc>
      </w:tr>
      <w:tr w:rsidR="00B75986" w14:paraId="49458258" w14:textId="77777777">
        <w:trPr>
          <w:trHeight w:val="1152"/>
        </w:trPr>
        <w:tc>
          <w:tcPr>
            <w:tcW w:w="5344" w:type="dxa"/>
            <w:tcMar>
              <w:left w:w="105" w:type="dxa"/>
              <w:right w:w="105" w:type="dxa"/>
            </w:tcMar>
          </w:tcPr>
          <w:p w14:paraId="100857C0" w14:textId="77777777" w:rsidR="00B75986" w:rsidRDefault="00B75986">
            <w:pPr>
              <w:rPr>
                <w:rFonts w:eastAsia="Century Gothic" w:cs="Century Gothic"/>
              </w:rPr>
            </w:pPr>
            <w:r>
              <w:rPr>
                <w:rFonts w:eastAsia="Century Gothic" w:cs="Century Gothic"/>
              </w:rPr>
              <w:t>Other predicted future climate impacts</w:t>
            </w:r>
          </w:p>
        </w:tc>
        <w:tc>
          <w:tcPr>
            <w:tcW w:w="7600" w:type="dxa"/>
            <w:tcMar>
              <w:left w:w="105" w:type="dxa"/>
              <w:right w:w="105" w:type="dxa"/>
            </w:tcMar>
          </w:tcPr>
          <w:p w14:paraId="2B1B16C6" w14:textId="77777777" w:rsidR="00B75986" w:rsidRDefault="00B75986">
            <w:pPr>
              <w:rPr>
                <w:rFonts w:eastAsia="Century Gothic" w:cs="Century Gothic"/>
              </w:rPr>
            </w:pPr>
          </w:p>
        </w:tc>
      </w:tr>
    </w:tbl>
    <w:p w14:paraId="0AA650B3" w14:textId="77777777" w:rsidR="00B75986" w:rsidRDefault="00B75986" w:rsidP="00B75986">
      <w:pPr>
        <w:spacing w:line="240" w:lineRule="auto"/>
        <w:rPr>
          <w:rFonts w:eastAsia="Century Gothic" w:cs="Century Gothic"/>
          <w:b/>
          <w:bCs/>
          <w:color w:val="000000" w:themeColor="text1"/>
        </w:rPr>
      </w:pPr>
      <w:r>
        <w:rPr>
          <w:rFonts w:eastAsia="Century Gothic" w:cs="Century Gothic"/>
          <w:b/>
          <w:bCs/>
          <w:color w:val="000000" w:themeColor="text1"/>
        </w:rPr>
        <w:br w:type="page"/>
      </w:r>
    </w:p>
    <w:tbl>
      <w:tblPr>
        <w:tblStyle w:val="TableGrid"/>
        <w:tblW w:w="12955" w:type="dxa"/>
        <w:tblLook w:val="04A0" w:firstRow="1" w:lastRow="0" w:firstColumn="1" w:lastColumn="0" w:noHBand="0" w:noVBand="1"/>
        <w:tblCaption w:val="interview insights on the distribution of impacts and equity considerations"/>
        <w:tblDescription w:val="5 example questions with fillable space for your key insights"/>
      </w:tblPr>
      <w:tblGrid>
        <w:gridCol w:w="4245"/>
        <w:gridCol w:w="8710"/>
      </w:tblGrid>
      <w:tr w:rsidR="00B75986" w14:paraId="3F492985" w14:textId="77777777" w:rsidTr="00B96EE4">
        <w:trPr>
          <w:trHeight w:val="300"/>
        </w:trPr>
        <w:tc>
          <w:tcPr>
            <w:tcW w:w="4245" w:type="dxa"/>
            <w:tcMar>
              <w:left w:w="105" w:type="dxa"/>
              <w:right w:w="105" w:type="dxa"/>
            </w:tcMar>
          </w:tcPr>
          <w:p w14:paraId="297297A1" w14:textId="77777777" w:rsidR="00B75986" w:rsidRDefault="00B75986">
            <w:pPr>
              <w:rPr>
                <w:rFonts w:eastAsia="Century Gothic" w:cs="Century Gothic"/>
              </w:rPr>
            </w:pPr>
            <w:r>
              <w:rPr>
                <w:rFonts w:eastAsia="Century Gothic" w:cs="Century Gothic"/>
                <w:b/>
                <w:bCs/>
              </w:rPr>
              <w:t>Question</w:t>
            </w:r>
          </w:p>
        </w:tc>
        <w:tc>
          <w:tcPr>
            <w:tcW w:w="8705" w:type="dxa"/>
            <w:tcMar>
              <w:left w:w="105" w:type="dxa"/>
              <w:right w:w="105" w:type="dxa"/>
            </w:tcMar>
          </w:tcPr>
          <w:p w14:paraId="2C2FC299" w14:textId="77777777" w:rsidR="00B75986" w:rsidRDefault="00B75986">
            <w:pPr>
              <w:rPr>
                <w:rFonts w:eastAsia="Century Gothic" w:cs="Century Gothic"/>
              </w:rPr>
            </w:pPr>
            <w:r>
              <w:rPr>
                <w:rFonts w:eastAsia="Century Gothic" w:cs="Century Gothic"/>
                <w:b/>
                <w:bCs/>
              </w:rPr>
              <w:t>Key Insights</w:t>
            </w:r>
          </w:p>
        </w:tc>
      </w:tr>
      <w:tr w:rsidR="00B75986" w14:paraId="2DA3F22E" w14:textId="77777777" w:rsidTr="00B96EE4">
        <w:trPr>
          <w:trHeight w:val="1152"/>
        </w:trPr>
        <w:tc>
          <w:tcPr>
            <w:tcW w:w="4245" w:type="dxa"/>
            <w:tcMar>
              <w:left w:w="105" w:type="dxa"/>
              <w:right w:w="105" w:type="dxa"/>
            </w:tcMar>
          </w:tcPr>
          <w:p w14:paraId="74CAA729" w14:textId="77777777" w:rsidR="00B75986" w:rsidRDefault="00B75986">
            <w:pPr>
              <w:rPr>
                <w:rFonts w:eastAsia="Century Gothic" w:cs="Century Gothic"/>
              </w:rPr>
            </w:pPr>
            <w:r>
              <w:rPr>
                <w:rFonts w:eastAsia="Century Gothic" w:cs="Century Gothic"/>
              </w:rPr>
              <w:t>How have impacts varied across the community?</w:t>
            </w:r>
          </w:p>
        </w:tc>
        <w:tc>
          <w:tcPr>
            <w:tcW w:w="8705" w:type="dxa"/>
            <w:tcMar>
              <w:left w:w="105" w:type="dxa"/>
              <w:right w:w="105" w:type="dxa"/>
            </w:tcMar>
          </w:tcPr>
          <w:p w14:paraId="1D7BB38D" w14:textId="77777777" w:rsidR="00B75986" w:rsidRDefault="00B75986">
            <w:pPr>
              <w:rPr>
                <w:rFonts w:eastAsia="Century Gothic" w:cs="Century Gothic"/>
              </w:rPr>
            </w:pPr>
          </w:p>
        </w:tc>
      </w:tr>
      <w:tr w:rsidR="00B75986" w14:paraId="13FB5AEE" w14:textId="77777777" w:rsidTr="00B96EE4">
        <w:trPr>
          <w:trHeight w:val="1152"/>
        </w:trPr>
        <w:tc>
          <w:tcPr>
            <w:tcW w:w="4245" w:type="dxa"/>
            <w:tcMar>
              <w:left w:w="105" w:type="dxa"/>
              <w:right w:w="105" w:type="dxa"/>
            </w:tcMar>
          </w:tcPr>
          <w:p w14:paraId="058E8CE8" w14:textId="77777777" w:rsidR="00B75986" w:rsidRDefault="00B75986">
            <w:pPr>
              <w:rPr>
                <w:rFonts w:eastAsia="Century Gothic" w:cs="Century Gothic"/>
              </w:rPr>
            </w:pPr>
            <w:r>
              <w:rPr>
                <w:rFonts w:eastAsia="Century Gothic" w:cs="Century Gothic"/>
              </w:rPr>
              <w:t>Which populations have been most affected to date?</w:t>
            </w:r>
          </w:p>
        </w:tc>
        <w:tc>
          <w:tcPr>
            <w:tcW w:w="8705" w:type="dxa"/>
            <w:tcMar>
              <w:left w:w="105" w:type="dxa"/>
              <w:right w:w="105" w:type="dxa"/>
            </w:tcMar>
          </w:tcPr>
          <w:p w14:paraId="48C04A9E" w14:textId="77777777" w:rsidR="00B75986" w:rsidRDefault="00B75986">
            <w:pPr>
              <w:rPr>
                <w:rFonts w:eastAsia="Century Gothic" w:cs="Century Gothic"/>
              </w:rPr>
            </w:pPr>
          </w:p>
        </w:tc>
      </w:tr>
      <w:tr w:rsidR="00B75986" w14:paraId="47A51B10" w14:textId="77777777" w:rsidTr="00B96EE4">
        <w:trPr>
          <w:trHeight w:val="1152"/>
        </w:trPr>
        <w:tc>
          <w:tcPr>
            <w:tcW w:w="4245" w:type="dxa"/>
            <w:tcMar>
              <w:left w:w="105" w:type="dxa"/>
              <w:right w:w="105" w:type="dxa"/>
            </w:tcMar>
          </w:tcPr>
          <w:p w14:paraId="2CDC1389" w14:textId="77777777" w:rsidR="00B75986" w:rsidRDefault="00B75986">
            <w:pPr>
              <w:rPr>
                <w:rFonts w:eastAsia="Century Gothic" w:cs="Century Gothic"/>
              </w:rPr>
            </w:pPr>
            <w:r>
              <w:rPr>
                <w:rFonts w:eastAsia="Century Gothic" w:cs="Century Gothic"/>
              </w:rPr>
              <w:t>Which populations may be most vulnerable in the future?</w:t>
            </w:r>
          </w:p>
        </w:tc>
        <w:tc>
          <w:tcPr>
            <w:tcW w:w="8705" w:type="dxa"/>
            <w:tcMar>
              <w:left w:w="105" w:type="dxa"/>
              <w:right w:w="105" w:type="dxa"/>
            </w:tcMar>
          </w:tcPr>
          <w:p w14:paraId="11E635A8" w14:textId="77777777" w:rsidR="00B75986" w:rsidRDefault="00B75986">
            <w:pPr>
              <w:rPr>
                <w:rFonts w:eastAsia="Century Gothic" w:cs="Century Gothic"/>
              </w:rPr>
            </w:pPr>
          </w:p>
        </w:tc>
      </w:tr>
      <w:tr w:rsidR="00B75986" w14:paraId="591781B3" w14:textId="77777777" w:rsidTr="00B96EE4">
        <w:trPr>
          <w:trHeight w:val="1152"/>
        </w:trPr>
        <w:tc>
          <w:tcPr>
            <w:tcW w:w="4245" w:type="dxa"/>
            <w:tcMar>
              <w:left w:w="105" w:type="dxa"/>
              <w:right w:w="105" w:type="dxa"/>
            </w:tcMar>
          </w:tcPr>
          <w:p w14:paraId="240C1506" w14:textId="612544A5" w:rsidR="00B75986" w:rsidRDefault="00B75986">
            <w:pPr>
              <w:rPr>
                <w:rFonts w:eastAsia="Century Gothic" w:cs="Century Gothic"/>
              </w:rPr>
            </w:pPr>
            <w:r>
              <w:rPr>
                <w:rFonts w:eastAsia="Century Gothic" w:cs="Century Gothic"/>
              </w:rPr>
              <w:t>Where do partner insights align or conflict with mapped data?</w:t>
            </w:r>
          </w:p>
        </w:tc>
        <w:tc>
          <w:tcPr>
            <w:tcW w:w="8705" w:type="dxa"/>
            <w:tcMar>
              <w:left w:w="105" w:type="dxa"/>
              <w:right w:w="105" w:type="dxa"/>
            </w:tcMar>
          </w:tcPr>
          <w:p w14:paraId="7E8F4358" w14:textId="77777777" w:rsidR="00B75986" w:rsidRDefault="00B75986">
            <w:pPr>
              <w:rPr>
                <w:rFonts w:eastAsia="Century Gothic" w:cs="Century Gothic"/>
              </w:rPr>
            </w:pPr>
          </w:p>
        </w:tc>
      </w:tr>
      <w:tr w:rsidR="00B75986" w14:paraId="5A4B3496" w14:textId="77777777" w:rsidTr="00B96EE4">
        <w:trPr>
          <w:trHeight w:val="1152"/>
        </w:trPr>
        <w:tc>
          <w:tcPr>
            <w:tcW w:w="4245" w:type="dxa"/>
            <w:tcMar>
              <w:left w:w="105" w:type="dxa"/>
              <w:right w:w="105" w:type="dxa"/>
            </w:tcMar>
          </w:tcPr>
          <w:p w14:paraId="75D79E3E" w14:textId="77777777" w:rsidR="00B75986" w:rsidRDefault="00B75986">
            <w:pPr>
              <w:rPr>
                <w:rFonts w:eastAsia="Century Gothic" w:cs="Century Gothic"/>
              </w:rPr>
            </w:pPr>
            <w:r>
              <w:rPr>
                <w:rFonts w:eastAsia="Century Gothic" w:cs="Century Gothic"/>
              </w:rPr>
              <w:t>How have impacts varied across the community?</w:t>
            </w:r>
          </w:p>
        </w:tc>
        <w:tc>
          <w:tcPr>
            <w:tcW w:w="8705" w:type="dxa"/>
            <w:tcMar>
              <w:left w:w="105" w:type="dxa"/>
              <w:right w:w="105" w:type="dxa"/>
            </w:tcMar>
          </w:tcPr>
          <w:p w14:paraId="6BDEB824" w14:textId="77777777" w:rsidR="00B75986" w:rsidRDefault="00B75986">
            <w:pPr>
              <w:rPr>
                <w:rFonts w:eastAsia="Century Gothic" w:cs="Century Gothic"/>
              </w:rPr>
            </w:pPr>
          </w:p>
        </w:tc>
      </w:tr>
      <w:tr w:rsidR="00FF77C8" w14:paraId="5D979A93" w14:textId="77777777" w:rsidTr="00B96EE4">
        <w:trPr>
          <w:trHeight w:val="1152"/>
        </w:trPr>
        <w:tc>
          <w:tcPr>
            <w:tcW w:w="4245" w:type="dxa"/>
            <w:tcMar>
              <w:left w:w="105" w:type="dxa"/>
              <w:right w:w="105" w:type="dxa"/>
            </w:tcMar>
          </w:tcPr>
          <w:p w14:paraId="580D48C2" w14:textId="3D8F7AEC" w:rsidR="00FF77C8" w:rsidRPr="3ADA22F9" w:rsidRDefault="00FF77C8">
            <w:pPr>
              <w:rPr>
                <w:rFonts w:eastAsia="Century Gothic" w:cs="Century Gothic"/>
              </w:rPr>
            </w:pPr>
            <w:r>
              <w:t>Are there communities you believe are underrepresented?</w:t>
            </w:r>
          </w:p>
        </w:tc>
        <w:tc>
          <w:tcPr>
            <w:tcW w:w="8710" w:type="dxa"/>
            <w:tcMar>
              <w:left w:w="105" w:type="dxa"/>
              <w:right w:w="105" w:type="dxa"/>
            </w:tcMar>
          </w:tcPr>
          <w:p w14:paraId="10AD2600" w14:textId="77777777" w:rsidR="00FF77C8" w:rsidRDefault="00FF77C8">
            <w:pPr>
              <w:rPr>
                <w:rFonts w:eastAsia="Century Gothic" w:cs="Century Gothic"/>
              </w:rPr>
            </w:pPr>
          </w:p>
        </w:tc>
      </w:tr>
    </w:tbl>
    <w:p w14:paraId="122D53E8" w14:textId="77777777" w:rsidR="00B75986" w:rsidRDefault="00B75986" w:rsidP="00B75986">
      <w:pPr>
        <w:spacing w:line="240" w:lineRule="auto"/>
      </w:pPr>
      <w:r>
        <w:br w:type="page"/>
      </w:r>
    </w:p>
    <w:p w14:paraId="6FF8B6F5" w14:textId="77777777" w:rsidR="00B75986" w:rsidRDefault="00B75986" w:rsidP="00B75986">
      <w:pPr>
        <w:pStyle w:val="Heading2"/>
        <w:spacing w:before="160" w:after="160" w:line="240" w:lineRule="auto"/>
      </w:pPr>
      <w:bookmarkStart w:id="270" w:name="_Ref230247393"/>
      <w:bookmarkStart w:id="271" w:name="_Toc235802767"/>
      <w:r>
        <w:t>Reviewing Documents for Adaptive Capacity Insights</w:t>
      </w:r>
      <w:bookmarkEnd w:id="270"/>
      <w:bookmarkEnd w:id="271"/>
    </w:p>
    <w:p w14:paraId="338FC061" w14:textId="77777777" w:rsidR="00B75986" w:rsidRPr="004E75A7" w:rsidRDefault="00B75986" w:rsidP="00B75986">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2.3A</w:t>
      </w:r>
    </w:p>
    <w:p w14:paraId="2CD407F4" w14:textId="1535A5FF" w:rsidR="00B75986"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Use the table below to inventory the documents reviewed for adaptive capacity.</w:t>
      </w:r>
    </w:p>
    <w:tbl>
      <w:tblPr>
        <w:tblStyle w:val="TableGrid"/>
        <w:tblW w:w="12952" w:type="dxa"/>
        <w:tblLook w:val="06A0" w:firstRow="1" w:lastRow="0" w:firstColumn="1" w:lastColumn="0" w:noHBand="1" w:noVBand="1"/>
        <w:tblCaption w:val="documents on adaptive capacity"/>
        <w:tblDescription w:val="Fillable table to inventory adaptive capacity-related documents and information that you may/will incorporate into your plan"/>
      </w:tblPr>
      <w:tblGrid>
        <w:gridCol w:w="2692"/>
        <w:gridCol w:w="1399"/>
        <w:gridCol w:w="1822"/>
        <w:gridCol w:w="2277"/>
        <w:gridCol w:w="4762"/>
      </w:tblGrid>
      <w:tr w:rsidR="00B75986" w14:paraId="0716FD4A" w14:textId="77777777">
        <w:trPr>
          <w:trHeight w:val="285"/>
        </w:trPr>
        <w:tc>
          <w:tcPr>
            <w:tcW w:w="2692" w:type="dxa"/>
            <w:tcMar>
              <w:left w:w="105" w:type="dxa"/>
              <w:right w:w="105" w:type="dxa"/>
            </w:tcMar>
            <w:vAlign w:val="center"/>
          </w:tcPr>
          <w:p w14:paraId="5D41F6C1" w14:textId="77777777" w:rsidR="00B75986" w:rsidRDefault="00B75986">
            <w:pPr>
              <w:jc w:val="center"/>
              <w:rPr>
                <w:rFonts w:eastAsia="Century Gothic" w:cs="Century Gothic"/>
              </w:rPr>
            </w:pPr>
            <w:r>
              <w:rPr>
                <w:rFonts w:eastAsia="Century Gothic" w:cs="Century Gothic"/>
                <w:b/>
                <w:bCs/>
              </w:rPr>
              <w:t>Document Name</w:t>
            </w:r>
          </w:p>
        </w:tc>
        <w:tc>
          <w:tcPr>
            <w:tcW w:w="1399" w:type="dxa"/>
            <w:tcMar>
              <w:left w:w="105" w:type="dxa"/>
              <w:right w:w="105" w:type="dxa"/>
            </w:tcMar>
            <w:vAlign w:val="center"/>
          </w:tcPr>
          <w:p w14:paraId="46A41F28" w14:textId="77777777" w:rsidR="00B75986" w:rsidRDefault="00B75986">
            <w:pPr>
              <w:jc w:val="center"/>
              <w:rPr>
                <w:rFonts w:eastAsia="Century Gothic" w:cs="Century Gothic"/>
              </w:rPr>
            </w:pPr>
            <w:r>
              <w:rPr>
                <w:rFonts w:eastAsia="Century Gothic" w:cs="Century Gothic"/>
                <w:b/>
                <w:bCs/>
              </w:rPr>
              <w:t>Link</w:t>
            </w:r>
          </w:p>
        </w:tc>
        <w:tc>
          <w:tcPr>
            <w:tcW w:w="1822" w:type="dxa"/>
            <w:tcMar>
              <w:left w:w="105" w:type="dxa"/>
              <w:right w:w="105" w:type="dxa"/>
            </w:tcMar>
            <w:vAlign w:val="center"/>
          </w:tcPr>
          <w:p w14:paraId="214C2197" w14:textId="77777777" w:rsidR="00B75986" w:rsidRDefault="00B75986">
            <w:pPr>
              <w:jc w:val="center"/>
              <w:rPr>
                <w:rFonts w:eastAsia="Century Gothic" w:cs="Century Gothic"/>
              </w:rPr>
            </w:pPr>
            <w:r>
              <w:rPr>
                <w:rFonts w:eastAsia="Century Gothic" w:cs="Century Gothic"/>
                <w:b/>
                <w:bCs/>
              </w:rPr>
              <w:t>Scale (local, regional, state)</w:t>
            </w:r>
          </w:p>
        </w:tc>
        <w:tc>
          <w:tcPr>
            <w:tcW w:w="2277" w:type="dxa"/>
            <w:tcMar>
              <w:left w:w="105" w:type="dxa"/>
              <w:right w:w="105" w:type="dxa"/>
            </w:tcMar>
            <w:vAlign w:val="center"/>
          </w:tcPr>
          <w:p w14:paraId="00B17274" w14:textId="77777777" w:rsidR="00B75986" w:rsidRDefault="00B75986">
            <w:pPr>
              <w:jc w:val="center"/>
              <w:rPr>
                <w:rFonts w:eastAsia="Century Gothic" w:cs="Century Gothic"/>
              </w:rPr>
            </w:pPr>
            <w:r>
              <w:rPr>
                <w:rFonts w:eastAsia="Century Gothic" w:cs="Century Gothic"/>
                <w:b/>
                <w:bCs/>
              </w:rPr>
              <w:t>Sector (e.g., water, land use, public health)</w:t>
            </w:r>
          </w:p>
        </w:tc>
        <w:tc>
          <w:tcPr>
            <w:tcW w:w="4762" w:type="dxa"/>
            <w:tcMar>
              <w:left w:w="105" w:type="dxa"/>
              <w:right w:w="105" w:type="dxa"/>
            </w:tcMar>
            <w:vAlign w:val="center"/>
          </w:tcPr>
          <w:p w14:paraId="32808264" w14:textId="77777777" w:rsidR="00B75986" w:rsidRDefault="00B75986">
            <w:pPr>
              <w:jc w:val="center"/>
              <w:rPr>
                <w:rFonts w:eastAsia="Century Gothic" w:cs="Century Gothic"/>
              </w:rPr>
            </w:pPr>
            <w:r>
              <w:rPr>
                <w:rFonts w:eastAsia="Century Gothic" w:cs="Century Gothic"/>
                <w:b/>
                <w:bCs/>
              </w:rPr>
              <w:t>Reason for inclusion</w:t>
            </w:r>
          </w:p>
        </w:tc>
      </w:tr>
      <w:tr w:rsidR="00B75986" w14:paraId="4E4E4EB7" w14:textId="77777777">
        <w:trPr>
          <w:trHeight w:val="864"/>
        </w:trPr>
        <w:tc>
          <w:tcPr>
            <w:tcW w:w="2692" w:type="dxa"/>
            <w:tcMar>
              <w:left w:w="105" w:type="dxa"/>
              <w:right w:w="105" w:type="dxa"/>
            </w:tcMar>
          </w:tcPr>
          <w:p w14:paraId="17FFBF63" w14:textId="77777777" w:rsidR="00B75986" w:rsidRDefault="00B75986">
            <w:pPr>
              <w:rPr>
                <w:rFonts w:eastAsia="Century Gothic" w:cs="Century Gothic"/>
              </w:rPr>
            </w:pPr>
          </w:p>
        </w:tc>
        <w:tc>
          <w:tcPr>
            <w:tcW w:w="1399" w:type="dxa"/>
            <w:tcMar>
              <w:left w:w="105" w:type="dxa"/>
              <w:right w:w="105" w:type="dxa"/>
            </w:tcMar>
          </w:tcPr>
          <w:p w14:paraId="495DFD56" w14:textId="77777777" w:rsidR="00B75986" w:rsidRDefault="00B75986">
            <w:pPr>
              <w:rPr>
                <w:rFonts w:eastAsia="Century Gothic" w:cs="Century Gothic"/>
              </w:rPr>
            </w:pPr>
          </w:p>
        </w:tc>
        <w:tc>
          <w:tcPr>
            <w:tcW w:w="1822" w:type="dxa"/>
            <w:tcMar>
              <w:left w:w="105" w:type="dxa"/>
              <w:right w:w="105" w:type="dxa"/>
            </w:tcMar>
          </w:tcPr>
          <w:p w14:paraId="35CCAF90" w14:textId="77777777" w:rsidR="00B75986" w:rsidRDefault="00B75986">
            <w:pPr>
              <w:rPr>
                <w:rFonts w:eastAsia="Century Gothic" w:cs="Century Gothic"/>
              </w:rPr>
            </w:pPr>
          </w:p>
        </w:tc>
        <w:tc>
          <w:tcPr>
            <w:tcW w:w="2277" w:type="dxa"/>
            <w:tcMar>
              <w:left w:w="105" w:type="dxa"/>
              <w:right w:w="105" w:type="dxa"/>
            </w:tcMar>
          </w:tcPr>
          <w:p w14:paraId="0877E4E8" w14:textId="77777777" w:rsidR="00B75986" w:rsidRDefault="00B75986">
            <w:pPr>
              <w:rPr>
                <w:rFonts w:eastAsia="Century Gothic" w:cs="Century Gothic"/>
              </w:rPr>
            </w:pPr>
          </w:p>
        </w:tc>
        <w:tc>
          <w:tcPr>
            <w:tcW w:w="4762" w:type="dxa"/>
            <w:tcMar>
              <w:left w:w="105" w:type="dxa"/>
              <w:right w:w="105" w:type="dxa"/>
            </w:tcMar>
          </w:tcPr>
          <w:p w14:paraId="7A955798" w14:textId="77777777" w:rsidR="00B75986" w:rsidRDefault="00B75986">
            <w:pPr>
              <w:rPr>
                <w:rFonts w:eastAsia="Century Gothic" w:cs="Century Gothic"/>
              </w:rPr>
            </w:pPr>
          </w:p>
        </w:tc>
      </w:tr>
      <w:tr w:rsidR="00B75986" w14:paraId="2F836610" w14:textId="77777777">
        <w:trPr>
          <w:trHeight w:val="864"/>
        </w:trPr>
        <w:tc>
          <w:tcPr>
            <w:tcW w:w="2692" w:type="dxa"/>
            <w:tcMar>
              <w:left w:w="105" w:type="dxa"/>
              <w:right w:w="105" w:type="dxa"/>
            </w:tcMar>
          </w:tcPr>
          <w:p w14:paraId="2D2E9CEC" w14:textId="77777777" w:rsidR="00B75986" w:rsidRDefault="00B75986">
            <w:pPr>
              <w:rPr>
                <w:rFonts w:eastAsia="Century Gothic" w:cs="Century Gothic"/>
              </w:rPr>
            </w:pPr>
          </w:p>
        </w:tc>
        <w:tc>
          <w:tcPr>
            <w:tcW w:w="1399" w:type="dxa"/>
            <w:tcMar>
              <w:left w:w="105" w:type="dxa"/>
              <w:right w:w="105" w:type="dxa"/>
            </w:tcMar>
          </w:tcPr>
          <w:p w14:paraId="7046C66C" w14:textId="77777777" w:rsidR="00B75986" w:rsidRDefault="00B75986">
            <w:pPr>
              <w:rPr>
                <w:rFonts w:eastAsia="Century Gothic" w:cs="Century Gothic"/>
              </w:rPr>
            </w:pPr>
          </w:p>
        </w:tc>
        <w:tc>
          <w:tcPr>
            <w:tcW w:w="1822" w:type="dxa"/>
            <w:tcMar>
              <w:left w:w="105" w:type="dxa"/>
              <w:right w:w="105" w:type="dxa"/>
            </w:tcMar>
          </w:tcPr>
          <w:p w14:paraId="66372261" w14:textId="77777777" w:rsidR="00B75986" w:rsidRDefault="00B75986">
            <w:pPr>
              <w:rPr>
                <w:rFonts w:eastAsia="Century Gothic" w:cs="Century Gothic"/>
              </w:rPr>
            </w:pPr>
          </w:p>
        </w:tc>
        <w:tc>
          <w:tcPr>
            <w:tcW w:w="2277" w:type="dxa"/>
            <w:tcMar>
              <w:left w:w="105" w:type="dxa"/>
              <w:right w:w="105" w:type="dxa"/>
            </w:tcMar>
          </w:tcPr>
          <w:p w14:paraId="6C2EDAE5" w14:textId="77777777" w:rsidR="00B75986" w:rsidRDefault="00B75986">
            <w:pPr>
              <w:rPr>
                <w:rFonts w:eastAsia="Century Gothic" w:cs="Century Gothic"/>
              </w:rPr>
            </w:pPr>
          </w:p>
        </w:tc>
        <w:tc>
          <w:tcPr>
            <w:tcW w:w="4762" w:type="dxa"/>
            <w:tcMar>
              <w:left w:w="105" w:type="dxa"/>
              <w:right w:w="105" w:type="dxa"/>
            </w:tcMar>
          </w:tcPr>
          <w:p w14:paraId="5C908677" w14:textId="77777777" w:rsidR="00B75986" w:rsidRDefault="00B75986">
            <w:pPr>
              <w:rPr>
                <w:rFonts w:eastAsia="Century Gothic" w:cs="Century Gothic"/>
              </w:rPr>
            </w:pPr>
          </w:p>
        </w:tc>
      </w:tr>
      <w:tr w:rsidR="00B75986" w14:paraId="6F5CB168" w14:textId="77777777">
        <w:trPr>
          <w:trHeight w:val="864"/>
        </w:trPr>
        <w:tc>
          <w:tcPr>
            <w:tcW w:w="2692" w:type="dxa"/>
            <w:tcMar>
              <w:left w:w="105" w:type="dxa"/>
              <w:right w:w="105" w:type="dxa"/>
            </w:tcMar>
          </w:tcPr>
          <w:p w14:paraId="5EEF3DB1" w14:textId="77777777" w:rsidR="00B75986" w:rsidRDefault="00B75986">
            <w:pPr>
              <w:rPr>
                <w:rFonts w:eastAsia="Century Gothic" w:cs="Century Gothic"/>
              </w:rPr>
            </w:pPr>
          </w:p>
        </w:tc>
        <w:tc>
          <w:tcPr>
            <w:tcW w:w="1399" w:type="dxa"/>
            <w:tcMar>
              <w:left w:w="105" w:type="dxa"/>
              <w:right w:w="105" w:type="dxa"/>
            </w:tcMar>
          </w:tcPr>
          <w:p w14:paraId="1B1E8CE4" w14:textId="77777777" w:rsidR="00B75986" w:rsidRDefault="00B75986">
            <w:pPr>
              <w:rPr>
                <w:rFonts w:eastAsia="Century Gothic" w:cs="Century Gothic"/>
              </w:rPr>
            </w:pPr>
          </w:p>
        </w:tc>
        <w:tc>
          <w:tcPr>
            <w:tcW w:w="1822" w:type="dxa"/>
            <w:tcMar>
              <w:left w:w="105" w:type="dxa"/>
              <w:right w:w="105" w:type="dxa"/>
            </w:tcMar>
          </w:tcPr>
          <w:p w14:paraId="7E0FB548" w14:textId="77777777" w:rsidR="00B75986" w:rsidRDefault="00B75986">
            <w:pPr>
              <w:rPr>
                <w:rFonts w:eastAsia="Century Gothic" w:cs="Century Gothic"/>
              </w:rPr>
            </w:pPr>
          </w:p>
        </w:tc>
        <w:tc>
          <w:tcPr>
            <w:tcW w:w="2277" w:type="dxa"/>
            <w:tcMar>
              <w:left w:w="105" w:type="dxa"/>
              <w:right w:w="105" w:type="dxa"/>
            </w:tcMar>
          </w:tcPr>
          <w:p w14:paraId="3BAA7CAC" w14:textId="77777777" w:rsidR="00B75986" w:rsidRDefault="00B75986">
            <w:pPr>
              <w:rPr>
                <w:rFonts w:eastAsia="Century Gothic" w:cs="Century Gothic"/>
              </w:rPr>
            </w:pPr>
          </w:p>
        </w:tc>
        <w:tc>
          <w:tcPr>
            <w:tcW w:w="4762" w:type="dxa"/>
            <w:tcMar>
              <w:left w:w="105" w:type="dxa"/>
              <w:right w:w="105" w:type="dxa"/>
            </w:tcMar>
          </w:tcPr>
          <w:p w14:paraId="167DB385" w14:textId="77777777" w:rsidR="00B75986" w:rsidRDefault="00B75986">
            <w:pPr>
              <w:rPr>
                <w:rFonts w:eastAsia="Century Gothic" w:cs="Century Gothic"/>
              </w:rPr>
            </w:pPr>
          </w:p>
        </w:tc>
      </w:tr>
      <w:tr w:rsidR="00B75986" w14:paraId="1B6E9D34" w14:textId="77777777">
        <w:trPr>
          <w:trHeight w:val="864"/>
        </w:trPr>
        <w:tc>
          <w:tcPr>
            <w:tcW w:w="2692" w:type="dxa"/>
            <w:tcMar>
              <w:left w:w="105" w:type="dxa"/>
              <w:right w:w="105" w:type="dxa"/>
            </w:tcMar>
          </w:tcPr>
          <w:p w14:paraId="520ED68B" w14:textId="77777777" w:rsidR="00B75986" w:rsidRDefault="00B75986">
            <w:pPr>
              <w:rPr>
                <w:rFonts w:eastAsia="Century Gothic" w:cs="Century Gothic"/>
              </w:rPr>
            </w:pPr>
          </w:p>
        </w:tc>
        <w:tc>
          <w:tcPr>
            <w:tcW w:w="1399" w:type="dxa"/>
            <w:tcMar>
              <w:left w:w="105" w:type="dxa"/>
              <w:right w:w="105" w:type="dxa"/>
            </w:tcMar>
          </w:tcPr>
          <w:p w14:paraId="1E4984C4" w14:textId="77777777" w:rsidR="00B75986" w:rsidRDefault="00B75986">
            <w:pPr>
              <w:rPr>
                <w:rFonts w:eastAsia="Century Gothic" w:cs="Century Gothic"/>
              </w:rPr>
            </w:pPr>
          </w:p>
        </w:tc>
        <w:tc>
          <w:tcPr>
            <w:tcW w:w="1822" w:type="dxa"/>
            <w:tcMar>
              <w:left w:w="105" w:type="dxa"/>
              <w:right w:w="105" w:type="dxa"/>
            </w:tcMar>
          </w:tcPr>
          <w:p w14:paraId="057706C2" w14:textId="77777777" w:rsidR="00B75986" w:rsidRDefault="00B75986">
            <w:pPr>
              <w:rPr>
                <w:rFonts w:eastAsia="Century Gothic" w:cs="Century Gothic"/>
              </w:rPr>
            </w:pPr>
          </w:p>
        </w:tc>
        <w:tc>
          <w:tcPr>
            <w:tcW w:w="2277" w:type="dxa"/>
            <w:tcMar>
              <w:left w:w="105" w:type="dxa"/>
              <w:right w:w="105" w:type="dxa"/>
            </w:tcMar>
          </w:tcPr>
          <w:p w14:paraId="424AF2C1" w14:textId="77777777" w:rsidR="00B75986" w:rsidRDefault="00B75986">
            <w:pPr>
              <w:rPr>
                <w:rFonts w:eastAsia="Century Gothic" w:cs="Century Gothic"/>
              </w:rPr>
            </w:pPr>
          </w:p>
        </w:tc>
        <w:tc>
          <w:tcPr>
            <w:tcW w:w="4762" w:type="dxa"/>
            <w:tcMar>
              <w:left w:w="105" w:type="dxa"/>
              <w:right w:w="105" w:type="dxa"/>
            </w:tcMar>
          </w:tcPr>
          <w:p w14:paraId="504FAB62" w14:textId="77777777" w:rsidR="00B75986" w:rsidRDefault="00B75986">
            <w:pPr>
              <w:rPr>
                <w:rFonts w:eastAsia="Century Gothic" w:cs="Century Gothic"/>
              </w:rPr>
            </w:pPr>
          </w:p>
        </w:tc>
      </w:tr>
      <w:tr w:rsidR="00B75986" w14:paraId="36560451" w14:textId="77777777">
        <w:trPr>
          <w:trHeight w:val="864"/>
        </w:trPr>
        <w:tc>
          <w:tcPr>
            <w:tcW w:w="2692" w:type="dxa"/>
            <w:tcMar>
              <w:left w:w="105" w:type="dxa"/>
              <w:right w:w="105" w:type="dxa"/>
            </w:tcMar>
          </w:tcPr>
          <w:p w14:paraId="7D919C1E" w14:textId="77777777" w:rsidR="00B75986" w:rsidRDefault="00B75986">
            <w:pPr>
              <w:rPr>
                <w:rFonts w:eastAsia="Century Gothic" w:cs="Century Gothic"/>
              </w:rPr>
            </w:pPr>
          </w:p>
        </w:tc>
        <w:tc>
          <w:tcPr>
            <w:tcW w:w="1399" w:type="dxa"/>
            <w:tcMar>
              <w:left w:w="105" w:type="dxa"/>
              <w:right w:w="105" w:type="dxa"/>
            </w:tcMar>
          </w:tcPr>
          <w:p w14:paraId="561F2EFF" w14:textId="77777777" w:rsidR="00B75986" w:rsidRDefault="00B75986">
            <w:pPr>
              <w:rPr>
                <w:rFonts w:eastAsia="Century Gothic" w:cs="Century Gothic"/>
              </w:rPr>
            </w:pPr>
          </w:p>
        </w:tc>
        <w:tc>
          <w:tcPr>
            <w:tcW w:w="1822" w:type="dxa"/>
            <w:tcMar>
              <w:left w:w="105" w:type="dxa"/>
              <w:right w:w="105" w:type="dxa"/>
            </w:tcMar>
          </w:tcPr>
          <w:p w14:paraId="055ACF79" w14:textId="77777777" w:rsidR="00B75986" w:rsidRDefault="00B75986">
            <w:pPr>
              <w:rPr>
                <w:rFonts w:eastAsia="Century Gothic" w:cs="Century Gothic"/>
              </w:rPr>
            </w:pPr>
          </w:p>
        </w:tc>
        <w:tc>
          <w:tcPr>
            <w:tcW w:w="2277" w:type="dxa"/>
            <w:tcMar>
              <w:left w:w="105" w:type="dxa"/>
              <w:right w:w="105" w:type="dxa"/>
            </w:tcMar>
          </w:tcPr>
          <w:p w14:paraId="07D5F87A" w14:textId="77777777" w:rsidR="00B75986" w:rsidRDefault="00B75986">
            <w:pPr>
              <w:rPr>
                <w:rFonts w:eastAsia="Century Gothic" w:cs="Century Gothic"/>
              </w:rPr>
            </w:pPr>
          </w:p>
        </w:tc>
        <w:tc>
          <w:tcPr>
            <w:tcW w:w="4762" w:type="dxa"/>
            <w:tcMar>
              <w:left w:w="105" w:type="dxa"/>
              <w:right w:w="105" w:type="dxa"/>
            </w:tcMar>
          </w:tcPr>
          <w:p w14:paraId="36AA178B" w14:textId="77777777" w:rsidR="00B75986" w:rsidRDefault="00B75986">
            <w:pPr>
              <w:rPr>
                <w:rFonts w:eastAsia="Century Gothic" w:cs="Century Gothic"/>
              </w:rPr>
            </w:pPr>
          </w:p>
        </w:tc>
      </w:tr>
      <w:tr w:rsidR="00B75986" w14:paraId="0D0F874C" w14:textId="77777777">
        <w:trPr>
          <w:trHeight w:val="864"/>
        </w:trPr>
        <w:tc>
          <w:tcPr>
            <w:tcW w:w="2692" w:type="dxa"/>
            <w:tcMar>
              <w:left w:w="105" w:type="dxa"/>
              <w:right w:w="105" w:type="dxa"/>
            </w:tcMar>
          </w:tcPr>
          <w:p w14:paraId="1CF06295" w14:textId="77777777" w:rsidR="00B75986" w:rsidRDefault="00B75986">
            <w:pPr>
              <w:rPr>
                <w:rFonts w:eastAsia="Century Gothic" w:cs="Century Gothic"/>
              </w:rPr>
            </w:pPr>
          </w:p>
        </w:tc>
        <w:tc>
          <w:tcPr>
            <w:tcW w:w="1399" w:type="dxa"/>
            <w:tcMar>
              <w:left w:w="105" w:type="dxa"/>
              <w:right w:w="105" w:type="dxa"/>
            </w:tcMar>
          </w:tcPr>
          <w:p w14:paraId="4D02A8B9" w14:textId="77777777" w:rsidR="00B75986" w:rsidRDefault="00B75986">
            <w:pPr>
              <w:rPr>
                <w:rFonts w:eastAsia="Century Gothic" w:cs="Century Gothic"/>
              </w:rPr>
            </w:pPr>
          </w:p>
        </w:tc>
        <w:tc>
          <w:tcPr>
            <w:tcW w:w="1822" w:type="dxa"/>
            <w:tcMar>
              <w:left w:w="105" w:type="dxa"/>
              <w:right w:w="105" w:type="dxa"/>
            </w:tcMar>
          </w:tcPr>
          <w:p w14:paraId="7A0F9CB1" w14:textId="77777777" w:rsidR="00B75986" w:rsidRDefault="00B75986">
            <w:pPr>
              <w:rPr>
                <w:rFonts w:eastAsia="Century Gothic" w:cs="Century Gothic"/>
              </w:rPr>
            </w:pPr>
          </w:p>
        </w:tc>
        <w:tc>
          <w:tcPr>
            <w:tcW w:w="2277" w:type="dxa"/>
            <w:tcMar>
              <w:left w:w="105" w:type="dxa"/>
              <w:right w:w="105" w:type="dxa"/>
            </w:tcMar>
          </w:tcPr>
          <w:p w14:paraId="43FB2A30" w14:textId="77777777" w:rsidR="00B75986" w:rsidRDefault="00B75986">
            <w:pPr>
              <w:rPr>
                <w:rFonts w:eastAsia="Century Gothic" w:cs="Century Gothic"/>
              </w:rPr>
            </w:pPr>
          </w:p>
        </w:tc>
        <w:tc>
          <w:tcPr>
            <w:tcW w:w="4762" w:type="dxa"/>
            <w:tcMar>
              <w:left w:w="105" w:type="dxa"/>
              <w:right w:w="105" w:type="dxa"/>
            </w:tcMar>
          </w:tcPr>
          <w:p w14:paraId="158E3EE5" w14:textId="77777777" w:rsidR="00B75986" w:rsidRDefault="00B75986">
            <w:pPr>
              <w:rPr>
                <w:rFonts w:eastAsia="Century Gothic" w:cs="Century Gothic"/>
              </w:rPr>
            </w:pPr>
          </w:p>
        </w:tc>
      </w:tr>
      <w:tr w:rsidR="00B75986" w14:paraId="2D7D05C2" w14:textId="77777777">
        <w:trPr>
          <w:trHeight w:val="864"/>
        </w:trPr>
        <w:tc>
          <w:tcPr>
            <w:tcW w:w="2692" w:type="dxa"/>
            <w:tcMar>
              <w:left w:w="105" w:type="dxa"/>
              <w:right w:w="105" w:type="dxa"/>
            </w:tcMar>
          </w:tcPr>
          <w:p w14:paraId="27C6399D" w14:textId="77777777" w:rsidR="00B75986" w:rsidRDefault="00B75986">
            <w:pPr>
              <w:rPr>
                <w:rFonts w:eastAsia="Century Gothic" w:cs="Century Gothic"/>
              </w:rPr>
            </w:pPr>
          </w:p>
        </w:tc>
        <w:tc>
          <w:tcPr>
            <w:tcW w:w="1399" w:type="dxa"/>
            <w:tcMar>
              <w:left w:w="105" w:type="dxa"/>
              <w:right w:w="105" w:type="dxa"/>
            </w:tcMar>
          </w:tcPr>
          <w:p w14:paraId="7A9D0F0D" w14:textId="77777777" w:rsidR="00B75986" w:rsidRDefault="00B75986">
            <w:pPr>
              <w:rPr>
                <w:rFonts w:eastAsia="Century Gothic" w:cs="Century Gothic"/>
              </w:rPr>
            </w:pPr>
          </w:p>
        </w:tc>
        <w:tc>
          <w:tcPr>
            <w:tcW w:w="1822" w:type="dxa"/>
            <w:tcMar>
              <w:left w:w="105" w:type="dxa"/>
              <w:right w:w="105" w:type="dxa"/>
            </w:tcMar>
          </w:tcPr>
          <w:p w14:paraId="76576FD0" w14:textId="77777777" w:rsidR="00B75986" w:rsidRDefault="00B75986">
            <w:pPr>
              <w:rPr>
                <w:rFonts w:eastAsia="Century Gothic" w:cs="Century Gothic"/>
              </w:rPr>
            </w:pPr>
          </w:p>
        </w:tc>
        <w:tc>
          <w:tcPr>
            <w:tcW w:w="2277" w:type="dxa"/>
            <w:tcMar>
              <w:left w:w="105" w:type="dxa"/>
              <w:right w:w="105" w:type="dxa"/>
            </w:tcMar>
          </w:tcPr>
          <w:p w14:paraId="136975C7" w14:textId="77777777" w:rsidR="00B75986" w:rsidRDefault="00B75986">
            <w:pPr>
              <w:rPr>
                <w:rFonts w:eastAsia="Century Gothic" w:cs="Century Gothic"/>
              </w:rPr>
            </w:pPr>
          </w:p>
        </w:tc>
        <w:tc>
          <w:tcPr>
            <w:tcW w:w="4762" w:type="dxa"/>
            <w:tcMar>
              <w:left w:w="105" w:type="dxa"/>
              <w:right w:w="105" w:type="dxa"/>
            </w:tcMar>
          </w:tcPr>
          <w:p w14:paraId="4FD80678" w14:textId="77777777" w:rsidR="00B75986" w:rsidRDefault="00B75986">
            <w:pPr>
              <w:rPr>
                <w:rFonts w:eastAsia="Century Gothic" w:cs="Century Gothic"/>
              </w:rPr>
            </w:pPr>
          </w:p>
        </w:tc>
      </w:tr>
    </w:tbl>
    <w:p w14:paraId="3052A6FD" w14:textId="77777777" w:rsidR="00B75986" w:rsidRDefault="00B75986" w:rsidP="00B75986">
      <w:pPr>
        <w:rPr>
          <w:rFonts w:eastAsia="Century Gothic" w:cs="Century Gothic"/>
          <w:color w:val="000000" w:themeColor="text1"/>
        </w:rPr>
      </w:pPr>
      <w:bookmarkStart w:id="272" w:name="_Ref230247220"/>
      <w:bookmarkStart w:id="273" w:name="_Ref230258774"/>
      <w:r>
        <w:rPr>
          <w:rFonts w:eastAsia="Century Gothic" w:cs="Century Gothic"/>
          <w:color w:val="000000" w:themeColor="text1"/>
        </w:rPr>
        <w:br w:type="page"/>
      </w:r>
    </w:p>
    <w:p w14:paraId="6DDD04A2" w14:textId="77777777" w:rsidR="00B75986" w:rsidRPr="00221D03" w:rsidRDefault="00B75986" w:rsidP="00B75986">
      <w:pPr>
        <w:pStyle w:val="Heading2"/>
        <w:spacing w:before="160" w:after="160" w:line="240" w:lineRule="auto"/>
        <w:rPr>
          <w:bCs/>
        </w:rPr>
      </w:pPr>
      <w:bookmarkStart w:id="274" w:name="_Toc235802768"/>
      <w:r>
        <w:rPr>
          <w:bCs/>
        </w:rPr>
        <w:t>Adaptive Capacity Strategies</w:t>
      </w:r>
      <w:bookmarkEnd w:id="272"/>
      <w:bookmarkEnd w:id="273"/>
      <w:bookmarkEnd w:id="274"/>
    </w:p>
    <w:p w14:paraId="5307BB0E" w14:textId="77777777" w:rsidR="00B75986" w:rsidRPr="004E75A7" w:rsidRDefault="00B75986" w:rsidP="00B75986">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2.3B</w:t>
      </w:r>
    </w:p>
    <w:p w14:paraId="6A9FD9D5" w14:textId="6BB3F0FE" w:rsidR="00B75986" w:rsidRPr="00F8750D"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Use the table below to evaluate the identified existing adaptive capacity strategies.</w:t>
      </w:r>
    </w:p>
    <w:tbl>
      <w:tblPr>
        <w:tblStyle w:val="TableGrid"/>
        <w:tblW w:w="0" w:type="auto"/>
        <w:tblLook w:val="06A0" w:firstRow="1" w:lastRow="0" w:firstColumn="1" w:lastColumn="0" w:noHBand="1" w:noVBand="1"/>
        <w:tblCaption w:val="Adaptive capacity policies, programs, and strategies to help manage climate vulnerabilities"/>
        <w:tblDescription w:val="Fillable table to track items in table title"/>
      </w:tblPr>
      <w:tblGrid>
        <w:gridCol w:w="1751"/>
        <w:gridCol w:w="1529"/>
        <w:gridCol w:w="1640"/>
        <w:gridCol w:w="1525"/>
        <w:gridCol w:w="2006"/>
        <w:gridCol w:w="2154"/>
        <w:gridCol w:w="2339"/>
      </w:tblGrid>
      <w:tr w:rsidR="00B75986" w14:paraId="5A6BE04F" w14:textId="77777777">
        <w:trPr>
          <w:trHeight w:val="285"/>
        </w:trPr>
        <w:tc>
          <w:tcPr>
            <w:tcW w:w="1751" w:type="dxa"/>
            <w:tcMar>
              <w:left w:w="105" w:type="dxa"/>
              <w:right w:w="105" w:type="dxa"/>
            </w:tcMar>
            <w:vAlign w:val="center"/>
          </w:tcPr>
          <w:p w14:paraId="1174A0BD" w14:textId="73FB1DD3" w:rsidR="00B75986" w:rsidRDefault="00B75986">
            <w:pPr>
              <w:jc w:val="center"/>
              <w:rPr>
                <w:rFonts w:eastAsia="Century Gothic" w:cs="Century Gothic"/>
                <w:color w:val="000000" w:themeColor="text1"/>
              </w:rPr>
            </w:pPr>
            <w:r>
              <w:rPr>
                <w:rFonts w:eastAsia="Century Gothic" w:cs="Century Gothic"/>
                <w:b/>
                <w:bCs/>
                <w:color w:val="000000" w:themeColor="text1"/>
              </w:rPr>
              <w:t xml:space="preserve">Source (e.g., general plan) </w:t>
            </w:r>
            <w:r>
              <w:rPr>
                <w:b/>
                <w:bCs/>
                <w:color w:val="000000" w:themeColor="text1"/>
              </w:rPr>
              <w:t>and Plan Adoption  Date</w:t>
            </w:r>
          </w:p>
        </w:tc>
        <w:tc>
          <w:tcPr>
            <w:tcW w:w="1529" w:type="dxa"/>
            <w:tcMar>
              <w:left w:w="105" w:type="dxa"/>
              <w:right w:w="105" w:type="dxa"/>
            </w:tcMar>
            <w:vAlign w:val="center"/>
          </w:tcPr>
          <w:p w14:paraId="42473CC4"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Relevant Policy or Strategy</w:t>
            </w:r>
          </w:p>
        </w:tc>
        <w:tc>
          <w:tcPr>
            <w:tcW w:w="1640" w:type="dxa"/>
            <w:tcMar>
              <w:left w:w="105" w:type="dxa"/>
              <w:right w:w="105" w:type="dxa"/>
            </w:tcMar>
            <w:vAlign w:val="center"/>
          </w:tcPr>
          <w:p w14:paraId="41F2F755"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Climate Impacts Addressed</w:t>
            </w:r>
          </w:p>
        </w:tc>
        <w:tc>
          <w:tcPr>
            <w:tcW w:w="1525" w:type="dxa"/>
            <w:tcMar>
              <w:left w:w="105" w:type="dxa"/>
              <w:right w:w="105" w:type="dxa"/>
            </w:tcMar>
            <w:vAlign w:val="center"/>
          </w:tcPr>
          <w:p w14:paraId="21074056"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Timeframe</w:t>
            </w:r>
          </w:p>
        </w:tc>
        <w:tc>
          <w:tcPr>
            <w:tcW w:w="2006" w:type="dxa"/>
            <w:tcMar>
              <w:left w:w="105" w:type="dxa"/>
              <w:right w:w="105" w:type="dxa"/>
            </w:tcMar>
            <w:vAlign w:val="center"/>
          </w:tcPr>
          <w:p w14:paraId="2E3BEF85"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Status (implemented, in progress)</w:t>
            </w:r>
          </w:p>
        </w:tc>
        <w:tc>
          <w:tcPr>
            <w:tcW w:w="2154" w:type="dxa"/>
            <w:tcMar>
              <w:left w:w="105" w:type="dxa"/>
              <w:right w:w="105" w:type="dxa"/>
            </w:tcMar>
            <w:vAlign w:val="center"/>
          </w:tcPr>
          <w:p w14:paraId="4C6097B5"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Opportunities to strengthen strategy</w:t>
            </w:r>
          </w:p>
        </w:tc>
        <w:tc>
          <w:tcPr>
            <w:tcW w:w="2339" w:type="dxa"/>
            <w:tcMar>
              <w:left w:w="105" w:type="dxa"/>
              <w:right w:w="105" w:type="dxa"/>
            </w:tcMar>
            <w:vAlign w:val="center"/>
          </w:tcPr>
          <w:p w14:paraId="30A8E527" w14:textId="77777777" w:rsidR="00B75986" w:rsidRDefault="00B75986">
            <w:pPr>
              <w:jc w:val="center"/>
              <w:rPr>
                <w:rFonts w:eastAsia="Century Gothic" w:cs="Century Gothic"/>
                <w:color w:val="000000" w:themeColor="text1"/>
              </w:rPr>
            </w:pPr>
            <w:r>
              <w:rPr>
                <w:rFonts w:eastAsia="Century Gothic" w:cs="Century Gothic"/>
                <w:b/>
                <w:bCs/>
                <w:color w:val="000000" w:themeColor="text1"/>
              </w:rPr>
              <w:t>Address social vulnerability?</w:t>
            </w:r>
          </w:p>
        </w:tc>
      </w:tr>
      <w:tr w:rsidR="00B75986" w14:paraId="46BC94C2" w14:textId="77777777">
        <w:trPr>
          <w:trHeight w:val="1440"/>
        </w:trPr>
        <w:tc>
          <w:tcPr>
            <w:tcW w:w="1751" w:type="dxa"/>
            <w:tcMar>
              <w:left w:w="105" w:type="dxa"/>
              <w:right w:w="105" w:type="dxa"/>
            </w:tcMar>
          </w:tcPr>
          <w:p w14:paraId="77891A0D" w14:textId="77777777" w:rsidR="00B75986" w:rsidRDefault="00B75986">
            <w:pPr>
              <w:rPr>
                <w:rFonts w:eastAsia="Century Gothic" w:cs="Century Gothic"/>
                <w:color w:val="000000" w:themeColor="text1"/>
                <w:sz w:val="18"/>
                <w:szCs w:val="18"/>
              </w:rPr>
            </w:pPr>
          </w:p>
        </w:tc>
        <w:tc>
          <w:tcPr>
            <w:tcW w:w="1529" w:type="dxa"/>
            <w:tcMar>
              <w:left w:w="105" w:type="dxa"/>
              <w:right w:w="105" w:type="dxa"/>
            </w:tcMar>
          </w:tcPr>
          <w:p w14:paraId="61B95F61" w14:textId="77777777" w:rsidR="00B75986" w:rsidRDefault="00B75986">
            <w:pPr>
              <w:rPr>
                <w:rFonts w:eastAsia="Century Gothic" w:cs="Century Gothic"/>
                <w:color w:val="000000" w:themeColor="text1"/>
                <w:sz w:val="18"/>
                <w:szCs w:val="18"/>
              </w:rPr>
            </w:pPr>
          </w:p>
        </w:tc>
        <w:tc>
          <w:tcPr>
            <w:tcW w:w="1640" w:type="dxa"/>
            <w:tcMar>
              <w:left w:w="105" w:type="dxa"/>
              <w:right w:w="105" w:type="dxa"/>
            </w:tcMar>
          </w:tcPr>
          <w:p w14:paraId="1F8CF36B" w14:textId="77777777" w:rsidR="00B75986" w:rsidRDefault="00B75986">
            <w:pPr>
              <w:rPr>
                <w:rFonts w:eastAsia="Century Gothic" w:cs="Century Gothic"/>
                <w:color w:val="000000" w:themeColor="text1"/>
                <w:sz w:val="18"/>
                <w:szCs w:val="18"/>
              </w:rPr>
            </w:pPr>
          </w:p>
        </w:tc>
        <w:tc>
          <w:tcPr>
            <w:tcW w:w="1525" w:type="dxa"/>
            <w:tcMar>
              <w:left w:w="105" w:type="dxa"/>
              <w:right w:w="105" w:type="dxa"/>
            </w:tcMar>
          </w:tcPr>
          <w:p w14:paraId="7D6307EA" w14:textId="77777777" w:rsidR="00B75986" w:rsidRDefault="00B75986">
            <w:pPr>
              <w:rPr>
                <w:rFonts w:eastAsia="Century Gothic" w:cs="Century Gothic"/>
                <w:color w:val="000000" w:themeColor="text1"/>
                <w:sz w:val="18"/>
                <w:szCs w:val="18"/>
              </w:rPr>
            </w:pPr>
          </w:p>
        </w:tc>
        <w:tc>
          <w:tcPr>
            <w:tcW w:w="2006" w:type="dxa"/>
            <w:tcMar>
              <w:left w:w="105" w:type="dxa"/>
              <w:right w:w="105" w:type="dxa"/>
            </w:tcMar>
          </w:tcPr>
          <w:p w14:paraId="5B33971D" w14:textId="77777777" w:rsidR="00B75986" w:rsidRDefault="00B75986">
            <w:pPr>
              <w:rPr>
                <w:rFonts w:eastAsia="Century Gothic" w:cs="Century Gothic"/>
                <w:color w:val="000000" w:themeColor="text1"/>
                <w:sz w:val="18"/>
                <w:szCs w:val="18"/>
              </w:rPr>
            </w:pPr>
          </w:p>
        </w:tc>
        <w:tc>
          <w:tcPr>
            <w:tcW w:w="2154" w:type="dxa"/>
            <w:tcMar>
              <w:left w:w="105" w:type="dxa"/>
              <w:right w:w="105" w:type="dxa"/>
            </w:tcMar>
          </w:tcPr>
          <w:p w14:paraId="65391E28" w14:textId="77777777" w:rsidR="00B75986" w:rsidRDefault="00B75986">
            <w:pPr>
              <w:rPr>
                <w:rFonts w:eastAsia="Century Gothic" w:cs="Century Gothic"/>
                <w:color w:val="000000" w:themeColor="text1"/>
                <w:sz w:val="18"/>
                <w:szCs w:val="18"/>
              </w:rPr>
            </w:pPr>
          </w:p>
        </w:tc>
        <w:tc>
          <w:tcPr>
            <w:tcW w:w="2339" w:type="dxa"/>
            <w:tcMar>
              <w:left w:w="105" w:type="dxa"/>
              <w:right w:w="105" w:type="dxa"/>
            </w:tcMar>
          </w:tcPr>
          <w:p w14:paraId="5B46D094" w14:textId="77777777" w:rsidR="00B75986" w:rsidRDefault="00B75986">
            <w:pPr>
              <w:rPr>
                <w:rFonts w:eastAsia="Century Gothic" w:cs="Century Gothic"/>
                <w:color w:val="000000" w:themeColor="text1"/>
                <w:sz w:val="18"/>
                <w:szCs w:val="18"/>
              </w:rPr>
            </w:pPr>
          </w:p>
        </w:tc>
      </w:tr>
      <w:tr w:rsidR="00B75986" w14:paraId="66A9D40D" w14:textId="77777777">
        <w:trPr>
          <w:trHeight w:val="1440"/>
        </w:trPr>
        <w:tc>
          <w:tcPr>
            <w:tcW w:w="1751" w:type="dxa"/>
            <w:tcMar>
              <w:left w:w="105" w:type="dxa"/>
              <w:right w:w="105" w:type="dxa"/>
            </w:tcMar>
          </w:tcPr>
          <w:p w14:paraId="4BA3ABE5" w14:textId="77777777" w:rsidR="00B75986" w:rsidRDefault="00B75986">
            <w:pPr>
              <w:rPr>
                <w:rFonts w:eastAsia="Century Gothic" w:cs="Century Gothic"/>
                <w:color w:val="000000" w:themeColor="text1"/>
                <w:sz w:val="18"/>
                <w:szCs w:val="18"/>
              </w:rPr>
            </w:pPr>
          </w:p>
        </w:tc>
        <w:tc>
          <w:tcPr>
            <w:tcW w:w="1529" w:type="dxa"/>
            <w:tcMar>
              <w:left w:w="105" w:type="dxa"/>
              <w:right w:w="105" w:type="dxa"/>
            </w:tcMar>
          </w:tcPr>
          <w:p w14:paraId="61064CBA" w14:textId="77777777" w:rsidR="00B75986" w:rsidRDefault="00B75986">
            <w:pPr>
              <w:rPr>
                <w:rFonts w:eastAsia="Century Gothic" w:cs="Century Gothic"/>
                <w:color w:val="000000" w:themeColor="text1"/>
                <w:sz w:val="18"/>
                <w:szCs w:val="18"/>
              </w:rPr>
            </w:pPr>
          </w:p>
        </w:tc>
        <w:tc>
          <w:tcPr>
            <w:tcW w:w="1640" w:type="dxa"/>
            <w:tcMar>
              <w:left w:w="105" w:type="dxa"/>
              <w:right w:w="105" w:type="dxa"/>
            </w:tcMar>
          </w:tcPr>
          <w:p w14:paraId="49BA61EC" w14:textId="77777777" w:rsidR="00B75986" w:rsidRDefault="00B75986">
            <w:pPr>
              <w:rPr>
                <w:rFonts w:eastAsia="Century Gothic" w:cs="Century Gothic"/>
                <w:color w:val="000000" w:themeColor="text1"/>
                <w:sz w:val="18"/>
                <w:szCs w:val="18"/>
              </w:rPr>
            </w:pPr>
          </w:p>
        </w:tc>
        <w:tc>
          <w:tcPr>
            <w:tcW w:w="1525" w:type="dxa"/>
            <w:tcMar>
              <w:left w:w="105" w:type="dxa"/>
              <w:right w:w="105" w:type="dxa"/>
            </w:tcMar>
          </w:tcPr>
          <w:p w14:paraId="0E4B7939" w14:textId="77777777" w:rsidR="00B75986" w:rsidRDefault="00B75986">
            <w:pPr>
              <w:rPr>
                <w:rFonts w:eastAsia="Century Gothic" w:cs="Century Gothic"/>
                <w:color w:val="000000" w:themeColor="text1"/>
                <w:sz w:val="18"/>
                <w:szCs w:val="18"/>
              </w:rPr>
            </w:pPr>
          </w:p>
        </w:tc>
        <w:tc>
          <w:tcPr>
            <w:tcW w:w="2006" w:type="dxa"/>
            <w:tcMar>
              <w:left w:w="105" w:type="dxa"/>
              <w:right w:w="105" w:type="dxa"/>
            </w:tcMar>
          </w:tcPr>
          <w:p w14:paraId="0076350F" w14:textId="77777777" w:rsidR="00B75986" w:rsidRDefault="00B75986">
            <w:pPr>
              <w:rPr>
                <w:rFonts w:eastAsia="Century Gothic" w:cs="Century Gothic"/>
                <w:color w:val="000000" w:themeColor="text1"/>
                <w:sz w:val="18"/>
                <w:szCs w:val="18"/>
              </w:rPr>
            </w:pPr>
          </w:p>
        </w:tc>
        <w:tc>
          <w:tcPr>
            <w:tcW w:w="2154" w:type="dxa"/>
            <w:tcMar>
              <w:left w:w="105" w:type="dxa"/>
              <w:right w:w="105" w:type="dxa"/>
            </w:tcMar>
          </w:tcPr>
          <w:p w14:paraId="51DE4083" w14:textId="77777777" w:rsidR="00B75986" w:rsidRDefault="00B75986">
            <w:pPr>
              <w:rPr>
                <w:rFonts w:eastAsia="Century Gothic" w:cs="Century Gothic"/>
                <w:color w:val="000000" w:themeColor="text1"/>
                <w:sz w:val="18"/>
                <w:szCs w:val="18"/>
              </w:rPr>
            </w:pPr>
          </w:p>
        </w:tc>
        <w:tc>
          <w:tcPr>
            <w:tcW w:w="2339" w:type="dxa"/>
            <w:tcMar>
              <w:left w:w="105" w:type="dxa"/>
              <w:right w:w="105" w:type="dxa"/>
            </w:tcMar>
          </w:tcPr>
          <w:p w14:paraId="565DC70B" w14:textId="77777777" w:rsidR="00B75986" w:rsidRDefault="00B75986">
            <w:pPr>
              <w:rPr>
                <w:rFonts w:eastAsia="Century Gothic" w:cs="Century Gothic"/>
                <w:color w:val="000000" w:themeColor="text1"/>
                <w:sz w:val="18"/>
                <w:szCs w:val="18"/>
              </w:rPr>
            </w:pPr>
          </w:p>
        </w:tc>
      </w:tr>
      <w:tr w:rsidR="00B75986" w14:paraId="65004E24" w14:textId="77777777">
        <w:trPr>
          <w:trHeight w:val="1440"/>
        </w:trPr>
        <w:tc>
          <w:tcPr>
            <w:tcW w:w="1751" w:type="dxa"/>
            <w:tcMar>
              <w:left w:w="105" w:type="dxa"/>
              <w:right w:w="105" w:type="dxa"/>
            </w:tcMar>
          </w:tcPr>
          <w:p w14:paraId="1C38D582" w14:textId="77777777" w:rsidR="00B75986" w:rsidRDefault="00B75986">
            <w:pPr>
              <w:rPr>
                <w:rFonts w:eastAsia="Century Gothic" w:cs="Century Gothic"/>
                <w:color w:val="000000" w:themeColor="text1"/>
                <w:sz w:val="18"/>
                <w:szCs w:val="18"/>
              </w:rPr>
            </w:pPr>
          </w:p>
        </w:tc>
        <w:tc>
          <w:tcPr>
            <w:tcW w:w="1529" w:type="dxa"/>
            <w:tcMar>
              <w:left w:w="105" w:type="dxa"/>
              <w:right w:w="105" w:type="dxa"/>
            </w:tcMar>
          </w:tcPr>
          <w:p w14:paraId="4B63AD73" w14:textId="77777777" w:rsidR="00B75986" w:rsidRDefault="00B75986">
            <w:pPr>
              <w:rPr>
                <w:rFonts w:eastAsia="Century Gothic" w:cs="Century Gothic"/>
                <w:color w:val="000000" w:themeColor="text1"/>
                <w:sz w:val="18"/>
                <w:szCs w:val="18"/>
              </w:rPr>
            </w:pPr>
          </w:p>
        </w:tc>
        <w:tc>
          <w:tcPr>
            <w:tcW w:w="1640" w:type="dxa"/>
            <w:tcMar>
              <w:left w:w="105" w:type="dxa"/>
              <w:right w:w="105" w:type="dxa"/>
            </w:tcMar>
          </w:tcPr>
          <w:p w14:paraId="4A01EAB8" w14:textId="77777777" w:rsidR="00B75986" w:rsidRDefault="00B75986">
            <w:pPr>
              <w:rPr>
                <w:rFonts w:eastAsia="Century Gothic" w:cs="Century Gothic"/>
                <w:color w:val="000000" w:themeColor="text1"/>
                <w:sz w:val="18"/>
                <w:szCs w:val="18"/>
              </w:rPr>
            </w:pPr>
          </w:p>
        </w:tc>
        <w:tc>
          <w:tcPr>
            <w:tcW w:w="1525" w:type="dxa"/>
            <w:tcMar>
              <w:left w:w="105" w:type="dxa"/>
              <w:right w:w="105" w:type="dxa"/>
            </w:tcMar>
          </w:tcPr>
          <w:p w14:paraId="46967BCC" w14:textId="77777777" w:rsidR="00B75986" w:rsidRDefault="00B75986">
            <w:pPr>
              <w:rPr>
                <w:rFonts w:eastAsia="Century Gothic" w:cs="Century Gothic"/>
                <w:color w:val="000000" w:themeColor="text1"/>
                <w:sz w:val="18"/>
                <w:szCs w:val="18"/>
              </w:rPr>
            </w:pPr>
          </w:p>
        </w:tc>
        <w:tc>
          <w:tcPr>
            <w:tcW w:w="2006" w:type="dxa"/>
            <w:tcMar>
              <w:left w:w="105" w:type="dxa"/>
              <w:right w:w="105" w:type="dxa"/>
            </w:tcMar>
          </w:tcPr>
          <w:p w14:paraId="16180A9E" w14:textId="77777777" w:rsidR="00B75986" w:rsidRDefault="00B75986">
            <w:pPr>
              <w:rPr>
                <w:rFonts w:eastAsia="Century Gothic" w:cs="Century Gothic"/>
                <w:color w:val="000000" w:themeColor="text1"/>
                <w:sz w:val="18"/>
                <w:szCs w:val="18"/>
              </w:rPr>
            </w:pPr>
          </w:p>
        </w:tc>
        <w:tc>
          <w:tcPr>
            <w:tcW w:w="2154" w:type="dxa"/>
            <w:tcMar>
              <w:left w:w="105" w:type="dxa"/>
              <w:right w:w="105" w:type="dxa"/>
            </w:tcMar>
          </w:tcPr>
          <w:p w14:paraId="335C0A25" w14:textId="77777777" w:rsidR="00B75986" w:rsidRDefault="00B75986">
            <w:pPr>
              <w:rPr>
                <w:rFonts w:eastAsia="Century Gothic" w:cs="Century Gothic"/>
                <w:color w:val="000000" w:themeColor="text1"/>
                <w:sz w:val="18"/>
                <w:szCs w:val="18"/>
              </w:rPr>
            </w:pPr>
          </w:p>
        </w:tc>
        <w:tc>
          <w:tcPr>
            <w:tcW w:w="2339" w:type="dxa"/>
            <w:tcMar>
              <w:left w:w="105" w:type="dxa"/>
              <w:right w:w="105" w:type="dxa"/>
            </w:tcMar>
          </w:tcPr>
          <w:p w14:paraId="6CFDF080" w14:textId="77777777" w:rsidR="00B75986" w:rsidRDefault="00B75986">
            <w:pPr>
              <w:rPr>
                <w:rFonts w:eastAsia="Century Gothic" w:cs="Century Gothic"/>
                <w:color w:val="000000" w:themeColor="text1"/>
                <w:sz w:val="18"/>
                <w:szCs w:val="18"/>
              </w:rPr>
            </w:pPr>
          </w:p>
        </w:tc>
      </w:tr>
      <w:tr w:rsidR="00B75986" w14:paraId="09AF2C28" w14:textId="77777777">
        <w:trPr>
          <w:trHeight w:val="1440"/>
        </w:trPr>
        <w:tc>
          <w:tcPr>
            <w:tcW w:w="1751" w:type="dxa"/>
            <w:tcMar>
              <w:left w:w="105" w:type="dxa"/>
              <w:right w:w="105" w:type="dxa"/>
            </w:tcMar>
          </w:tcPr>
          <w:p w14:paraId="57C2ADCB" w14:textId="77777777" w:rsidR="00B75986" w:rsidRDefault="00B75986">
            <w:pPr>
              <w:rPr>
                <w:rFonts w:eastAsia="Century Gothic" w:cs="Century Gothic"/>
                <w:color w:val="000000" w:themeColor="text1"/>
                <w:sz w:val="18"/>
                <w:szCs w:val="18"/>
              </w:rPr>
            </w:pPr>
          </w:p>
        </w:tc>
        <w:tc>
          <w:tcPr>
            <w:tcW w:w="1529" w:type="dxa"/>
            <w:tcMar>
              <w:left w:w="105" w:type="dxa"/>
              <w:right w:w="105" w:type="dxa"/>
            </w:tcMar>
          </w:tcPr>
          <w:p w14:paraId="6292221B" w14:textId="77777777" w:rsidR="00B75986" w:rsidRDefault="00B75986">
            <w:pPr>
              <w:rPr>
                <w:rFonts w:eastAsia="Century Gothic" w:cs="Century Gothic"/>
                <w:color w:val="000000" w:themeColor="text1"/>
                <w:sz w:val="18"/>
                <w:szCs w:val="18"/>
              </w:rPr>
            </w:pPr>
          </w:p>
        </w:tc>
        <w:tc>
          <w:tcPr>
            <w:tcW w:w="1640" w:type="dxa"/>
            <w:tcMar>
              <w:left w:w="105" w:type="dxa"/>
              <w:right w:w="105" w:type="dxa"/>
            </w:tcMar>
          </w:tcPr>
          <w:p w14:paraId="1B334C17" w14:textId="77777777" w:rsidR="00B75986" w:rsidRDefault="00B75986">
            <w:pPr>
              <w:rPr>
                <w:rFonts w:eastAsia="Century Gothic" w:cs="Century Gothic"/>
                <w:color w:val="000000" w:themeColor="text1"/>
                <w:sz w:val="18"/>
                <w:szCs w:val="18"/>
              </w:rPr>
            </w:pPr>
          </w:p>
        </w:tc>
        <w:tc>
          <w:tcPr>
            <w:tcW w:w="1525" w:type="dxa"/>
            <w:tcMar>
              <w:left w:w="105" w:type="dxa"/>
              <w:right w:w="105" w:type="dxa"/>
            </w:tcMar>
          </w:tcPr>
          <w:p w14:paraId="19FABF83" w14:textId="77777777" w:rsidR="00B75986" w:rsidRDefault="00B75986">
            <w:pPr>
              <w:rPr>
                <w:rFonts w:eastAsia="Century Gothic" w:cs="Century Gothic"/>
                <w:color w:val="000000" w:themeColor="text1"/>
                <w:sz w:val="18"/>
                <w:szCs w:val="18"/>
              </w:rPr>
            </w:pPr>
          </w:p>
        </w:tc>
        <w:tc>
          <w:tcPr>
            <w:tcW w:w="2006" w:type="dxa"/>
            <w:tcMar>
              <w:left w:w="105" w:type="dxa"/>
              <w:right w:w="105" w:type="dxa"/>
            </w:tcMar>
          </w:tcPr>
          <w:p w14:paraId="4391BE0F" w14:textId="77777777" w:rsidR="00B75986" w:rsidRDefault="00B75986">
            <w:pPr>
              <w:rPr>
                <w:rFonts w:eastAsia="Century Gothic" w:cs="Century Gothic"/>
                <w:color w:val="000000" w:themeColor="text1"/>
                <w:sz w:val="18"/>
                <w:szCs w:val="18"/>
              </w:rPr>
            </w:pPr>
          </w:p>
        </w:tc>
        <w:tc>
          <w:tcPr>
            <w:tcW w:w="2154" w:type="dxa"/>
            <w:tcMar>
              <w:left w:w="105" w:type="dxa"/>
              <w:right w:w="105" w:type="dxa"/>
            </w:tcMar>
          </w:tcPr>
          <w:p w14:paraId="49352B80" w14:textId="77777777" w:rsidR="00B75986" w:rsidRDefault="00B75986">
            <w:pPr>
              <w:rPr>
                <w:rFonts w:eastAsia="Century Gothic" w:cs="Century Gothic"/>
                <w:color w:val="000000" w:themeColor="text1"/>
                <w:sz w:val="18"/>
                <w:szCs w:val="18"/>
              </w:rPr>
            </w:pPr>
          </w:p>
        </w:tc>
        <w:tc>
          <w:tcPr>
            <w:tcW w:w="2339" w:type="dxa"/>
            <w:tcMar>
              <w:left w:w="105" w:type="dxa"/>
              <w:right w:w="105" w:type="dxa"/>
            </w:tcMar>
          </w:tcPr>
          <w:p w14:paraId="17D2B67A" w14:textId="77777777" w:rsidR="00B75986" w:rsidRDefault="00B75986">
            <w:pPr>
              <w:rPr>
                <w:rFonts w:eastAsia="Century Gothic" w:cs="Century Gothic"/>
                <w:color w:val="000000" w:themeColor="text1"/>
                <w:sz w:val="18"/>
                <w:szCs w:val="18"/>
              </w:rPr>
            </w:pPr>
          </w:p>
        </w:tc>
      </w:tr>
    </w:tbl>
    <w:p w14:paraId="203DB919" w14:textId="77777777" w:rsidR="00B75986" w:rsidRDefault="00B75986" w:rsidP="00B75986">
      <w:pPr>
        <w:spacing w:line="240" w:lineRule="auto"/>
      </w:pPr>
      <w:r>
        <w:br w:type="page"/>
      </w:r>
    </w:p>
    <w:p w14:paraId="7AF2C141" w14:textId="77777777" w:rsidR="00B75986" w:rsidRDefault="00B75986" w:rsidP="00B75986">
      <w:pPr>
        <w:pStyle w:val="Heading2"/>
        <w:spacing w:before="160" w:after="160" w:line="240" w:lineRule="auto"/>
      </w:pPr>
      <w:bookmarkStart w:id="275" w:name="_Ref230258739"/>
      <w:bookmarkStart w:id="276" w:name="_Toc235802769"/>
      <w:r>
        <w:t>Prioritize Climate Vulnerability</w:t>
      </w:r>
      <w:bookmarkEnd w:id="275"/>
      <w:bookmarkEnd w:id="276"/>
    </w:p>
    <w:p w14:paraId="4DECDE43" w14:textId="77777777" w:rsidR="00B75986" w:rsidRPr="004E75A7" w:rsidRDefault="00B75986" w:rsidP="00B75986">
      <w:pPr>
        <w:spacing w:before="160" w:line="240" w:lineRule="auto"/>
        <w:rPr>
          <w:rFonts w:eastAsia="Century Gothic" w:cs="Century Gothic"/>
          <w:b/>
          <w:bCs/>
          <w:i/>
          <w:iCs/>
          <w:color w:val="000000" w:themeColor="text1"/>
        </w:rPr>
      </w:pPr>
      <w:r>
        <w:rPr>
          <w:rFonts w:eastAsia="Century Gothic" w:cs="Century Gothic"/>
          <w:b/>
          <w:bCs/>
          <w:i/>
          <w:iCs/>
          <w:color w:val="000000" w:themeColor="text1"/>
        </w:rPr>
        <w:t>Used in Step 2.4B</w:t>
      </w:r>
    </w:p>
    <w:p w14:paraId="13178FBA" w14:textId="77777777" w:rsidR="00B75986" w:rsidRPr="00F33AEA" w:rsidRDefault="00B75986" w:rsidP="00B75986">
      <w:pPr>
        <w:spacing w:before="160" w:line="240" w:lineRule="auto"/>
        <w:rPr>
          <w:rFonts w:eastAsia="Century Gothic" w:cs="Century Gothic"/>
          <w:color w:val="000000" w:themeColor="text1"/>
        </w:rPr>
      </w:pPr>
      <w:r>
        <w:rPr>
          <w:rFonts w:eastAsia="Century Gothic" w:cs="Century Gothic"/>
          <w:color w:val="000000" w:themeColor="text1"/>
        </w:rPr>
        <w:t>Use the table below to describe vulnerabilities, assign them a Potential Impact Score and Adaptive Capacity Score, and then combine those scores to create an Overall Vulnerability Score.</w:t>
      </w:r>
    </w:p>
    <w:tbl>
      <w:tblPr>
        <w:tblStyle w:val="TableGrid"/>
        <w:tblW w:w="12957" w:type="dxa"/>
        <w:tblLook w:val="04A0" w:firstRow="1" w:lastRow="0" w:firstColumn="1" w:lastColumn="0" w:noHBand="0" w:noVBand="1"/>
        <w:tblCaption w:val="vulnerability score"/>
        <w:tblDescription w:val="fillable table for vulnerability descriptions and their respective potential impact score, adaptive capacity score, and overall vulnerability score."/>
      </w:tblPr>
      <w:tblGrid>
        <w:gridCol w:w="6475"/>
        <w:gridCol w:w="1890"/>
        <w:gridCol w:w="2070"/>
        <w:gridCol w:w="2522"/>
      </w:tblGrid>
      <w:tr w:rsidR="00B75986" w14:paraId="5A7400AA" w14:textId="77777777">
        <w:tc>
          <w:tcPr>
            <w:tcW w:w="6475" w:type="dxa"/>
            <w:vAlign w:val="center"/>
          </w:tcPr>
          <w:p w14:paraId="09F18ED1" w14:textId="77777777" w:rsidR="00B75986" w:rsidRPr="00026CF0" w:rsidRDefault="00B75986">
            <w:pPr>
              <w:jc w:val="center"/>
              <w:rPr>
                <w:b/>
                <w:bCs/>
              </w:rPr>
            </w:pPr>
            <w:r>
              <w:rPr>
                <w:b/>
                <w:bCs/>
              </w:rPr>
              <w:t>Vulnerability Description</w:t>
            </w:r>
          </w:p>
        </w:tc>
        <w:tc>
          <w:tcPr>
            <w:tcW w:w="1890" w:type="dxa"/>
            <w:vAlign w:val="center"/>
          </w:tcPr>
          <w:p w14:paraId="13009CE7" w14:textId="77777777" w:rsidR="00B75986" w:rsidRPr="00026CF0" w:rsidRDefault="00B75986">
            <w:pPr>
              <w:jc w:val="center"/>
              <w:rPr>
                <w:b/>
                <w:bCs/>
              </w:rPr>
            </w:pPr>
            <w:r>
              <w:rPr>
                <w:b/>
                <w:bCs/>
              </w:rPr>
              <w:t>Potential Impact Score</w:t>
            </w:r>
          </w:p>
        </w:tc>
        <w:tc>
          <w:tcPr>
            <w:tcW w:w="2070" w:type="dxa"/>
            <w:vAlign w:val="center"/>
          </w:tcPr>
          <w:p w14:paraId="19900D82" w14:textId="77777777" w:rsidR="00B75986" w:rsidRPr="00026CF0" w:rsidRDefault="00B75986">
            <w:pPr>
              <w:jc w:val="center"/>
              <w:rPr>
                <w:b/>
                <w:bCs/>
              </w:rPr>
            </w:pPr>
            <w:r>
              <w:rPr>
                <w:b/>
                <w:bCs/>
              </w:rPr>
              <w:t>Adaptive Capacity Score</w:t>
            </w:r>
          </w:p>
        </w:tc>
        <w:tc>
          <w:tcPr>
            <w:tcW w:w="2522" w:type="dxa"/>
            <w:vAlign w:val="center"/>
          </w:tcPr>
          <w:p w14:paraId="4662E18F" w14:textId="77777777" w:rsidR="00B75986" w:rsidRPr="00026CF0" w:rsidRDefault="00B75986">
            <w:pPr>
              <w:jc w:val="center"/>
              <w:rPr>
                <w:b/>
                <w:bCs/>
              </w:rPr>
            </w:pPr>
            <w:r>
              <w:rPr>
                <w:b/>
                <w:bCs/>
              </w:rPr>
              <w:t>Overall Vulnerability Score</w:t>
            </w:r>
          </w:p>
        </w:tc>
      </w:tr>
      <w:tr w:rsidR="00B75986" w14:paraId="4B9C5C28" w14:textId="77777777">
        <w:trPr>
          <w:trHeight w:val="634"/>
        </w:trPr>
        <w:tc>
          <w:tcPr>
            <w:tcW w:w="6475" w:type="dxa"/>
          </w:tcPr>
          <w:p w14:paraId="2F4A722B" w14:textId="77777777" w:rsidR="00B75986" w:rsidRDefault="00B75986"/>
        </w:tc>
        <w:tc>
          <w:tcPr>
            <w:tcW w:w="1890" w:type="dxa"/>
          </w:tcPr>
          <w:p w14:paraId="560AB17D" w14:textId="77777777" w:rsidR="00B75986" w:rsidRDefault="00B75986"/>
        </w:tc>
        <w:tc>
          <w:tcPr>
            <w:tcW w:w="2070" w:type="dxa"/>
          </w:tcPr>
          <w:p w14:paraId="7347E864" w14:textId="77777777" w:rsidR="00B75986" w:rsidRDefault="00B75986"/>
        </w:tc>
        <w:tc>
          <w:tcPr>
            <w:tcW w:w="2522" w:type="dxa"/>
          </w:tcPr>
          <w:p w14:paraId="28AB3852" w14:textId="77777777" w:rsidR="00B75986" w:rsidRDefault="00B75986"/>
        </w:tc>
      </w:tr>
      <w:tr w:rsidR="00B75986" w14:paraId="68ACE059" w14:textId="77777777">
        <w:trPr>
          <w:trHeight w:val="634"/>
        </w:trPr>
        <w:tc>
          <w:tcPr>
            <w:tcW w:w="6475" w:type="dxa"/>
          </w:tcPr>
          <w:p w14:paraId="4888577A" w14:textId="77777777" w:rsidR="00B75986" w:rsidRDefault="00B75986"/>
        </w:tc>
        <w:tc>
          <w:tcPr>
            <w:tcW w:w="1890" w:type="dxa"/>
          </w:tcPr>
          <w:p w14:paraId="3190C135" w14:textId="77777777" w:rsidR="00B75986" w:rsidRDefault="00B75986"/>
        </w:tc>
        <w:tc>
          <w:tcPr>
            <w:tcW w:w="2070" w:type="dxa"/>
          </w:tcPr>
          <w:p w14:paraId="1950D896" w14:textId="77777777" w:rsidR="00B75986" w:rsidRDefault="00B75986"/>
        </w:tc>
        <w:tc>
          <w:tcPr>
            <w:tcW w:w="2522" w:type="dxa"/>
          </w:tcPr>
          <w:p w14:paraId="4D91AD29" w14:textId="77777777" w:rsidR="00B75986" w:rsidRDefault="00B75986"/>
        </w:tc>
      </w:tr>
      <w:tr w:rsidR="00B75986" w14:paraId="1785CC4C" w14:textId="77777777">
        <w:trPr>
          <w:trHeight w:val="634"/>
        </w:trPr>
        <w:tc>
          <w:tcPr>
            <w:tcW w:w="6475" w:type="dxa"/>
          </w:tcPr>
          <w:p w14:paraId="4B27AA19" w14:textId="77777777" w:rsidR="00B75986" w:rsidRDefault="00B75986"/>
        </w:tc>
        <w:tc>
          <w:tcPr>
            <w:tcW w:w="1890" w:type="dxa"/>
          </w:tcPr>
          <w:p w14:paraId="4BB54CE9" w14:textId="77777777" w:rsidR="00B75986" w:rsidRDefault="00B75986"/>
        </w:tc>
        <w:tc>
          <w:tcPr>
            <w:tcW w:w="2070" w:type="dxa"/>
          </w:tcPr>
          <w:p w14:paraId="05545998" w14:textId="77777777" w:rsidR="00B75986" w:rsidRDefault="00B75986"/>
        </w:tc>
        <w:tc>
          <w:tcPr>
            <w:tcW w:w="2522" w:type="dxa"/>
          </w:tcPr>
          <w:p w14:paraId="0FFDD29F" w14:textId="77777777" w:rsidR="00B75986" w:rsidRDefault="00B75986"/>
        </w:tc>
      </w:tr>
      <w:tr w:rsidR="00B75986" w14:paraId="77758ED1" w14:textId="77777777">
        <w:trPr>
          <w:trHeight w:val="634"/>
        </w:trPr>
        <w:tc>
          <w:tcPr>
            <w:tcW w:w="6475" w:type="dxa"/>
          </w:tcPr>
          <w:p w14:paraId="02FB2B5F" w14:textId="77777777" w:rsidR="00B75986" w:rsidRDefault="00B75986"/>
        </w:tc>
        <w:tc>
          <w:tcPr>
            <w:tcW w:w="1890" w:type="dxa"/>
          </w:tcPr>
          <w:p w14:paraId="78BB91FB" w14:textId="77777777" w:rsidR="00B75986" w:rsidRDefault="00B75986"/>
        </w:tc>
        <w:tc>
          <w:tcPr>
            <w:tcW w:w="2070" w:type="dxa"/>
          </w:tcPr>
          <w:p w14:paraId="4EDC4C69" w14:textId="77777777" w:rsidR="00B75986" w:rsidRDefault="00B75986"/>
        </w:tc>
        <w:tc>
          <w:tcPr>
            <w:tcW w:w="2522" w:type="dxa"/>
          </w:tcPr>
          <w:p w14:paraId="746C3D38" w14:textId="77777777" w:rsidR="00B75986" w:rsidRDefault="00B75986"/>
        </w:tc>
      </w:tr>
      <w:tr w:rsidR="00B75986" w14:paraId="4AA7FB44" w14:textId="77777777">
        <w:trPr>
          <w:trHeight w:val="634"/>
        </w:trPr>
        <w:tc>
          <w:tcPr>
            <w:tcW w:w="6475" w:type="dxa"/>
          </w:tcPr>
          <w:p w14:paraId="73F4E354" w14:textId="77777777" w:rsidR="00B75986" w:rsidRDefault="00B75986"/>
        </w:tc>
        <w:tc>
          <w:tcPr>
            <w:tcW w:w="1890" w:type="dxa"/>
          </w:tcPr>
          <w:p w14:paraId="14C21404" w14:textId="77777777" w:rsidR="00B75986" w:rsidRDefault="00B75986"/>
        </w:tc>
        <w:tc>
          <w:tcPr>
            <w:tcW w:w="2070" w:type="dxa"/>
          </w:tcPr>
          <w:p w14:paraId="748692B9" w14:textId="77777777" w:rsidR="00B75986" w:rsidRDefault="00B75986"/>
        </w:tc>
        <w:tc>
          <w:tcPr>
            <w:tcW w:w="2522" w:type="dxa"/>
          </w:tcPr>
          <w:p w14:paraId="69B7C907" w14:textId="77777777" w:rsidR="00B75986" w:rsidRDefault="00B75986"/>
        </w:tc>
      </w:tr>
      <w:tr w:rsidR="00B75986" w14:paraId="1EF83EE6" w14:textId="77777777">
        <w:trPr>
          <w:trHeight w:val="634"/>
        </w:trPr>
        <w:tc>
          <w:tcPr>
            <w:tcW w:w="6475" w:type="dxa"/>
          </w:tcPr>
          <w:p w14:paraId="295F44DC" w14:textId="77777777" w:rsidR="00B75986" w:rsidRDefault="00B75986"/>
        </w:tc>
        <w:tc>
          <w:tcPr>
            <w:tcW w:w="1890" w:type="dxa"/>
          </w:tcPr>
          <w:p w14:paraId="46E167A4" w14:textId="77777777" w:rsidR="00B75986" w:rsidRDefault="00B75986"/>
        </w:tc>
        <w:tc>
          <w:tcPr>
            <w:tcW w:w="2070" w:type="dxa"/>
          </w:tcPr>
          <w:p w14:paraId="5051CF80" w14:textId="77777777" w:rsidR="00B75986" w:rsidRDefault="00B75986"/>
        </w:tc>
        <w:tc>
          <w:tcPr>
            <w:tcW w:w="2522" w:type="dxa"/>
          </w:tcPr>
          <w:p w14:paraId="6D9241EE" w14:textId="77777777" w:rsidR="00B75986" w:rsidRDefault="00B75986"/>
        </w:tc>
      </w:tr>
      <w:tr w:rsidR="00B75986" w14:paraId="33E84013" w14:textId="77777777">
        <w:trPr>
          <w:trHeight w:val="634"/>
        </w:trPr>
        <w:tc>
          <w:tcPr>
            <w:tcW w:w="6475" w:type="dxa"/>
          </w:tcPr>
          <w:p w14:paraId="3491C5B6" w14:textId="77777777" w:rsidR="00B75986" w:rsidRDefault="00B75986"/>
        </w:tc>
        <w:tc>
          <w:tcPr>
            <w:tcW w:w="1890" w:type="dxa"/>
          </w:tcPr>
          <w:p w14:paraId="575AADE2" w14:textId="77777777" w:rsidR="00B75986" w:rsidRDefault="00B75986"/>
        </w:tc>
        <w:tc>
          <w:tcPr>
            <w:tcW w:w="2070" w:type="dxa"/>
          </w:tcPr>
          <w:p w14:paraId="4CCD9DFA" w14:textId="77777777" w:rsidR="00B75986" w:rsidRDefault="00B75986"/>
        </w:tc>
        <w:tc>
          <w:tcPr>
            <w:tcW w:w="2522" w:type="dxa"/>
          </w:tcPr>
          <w:p w14:paraId="073268B9" w14:textId="77777777" w:rsidR="00B75986" w:rsidRDefault="00B75986"/>
        </w:tc>
      </w:tr>
      <w:tr w:rsidR="00B75986" w14:paraId="1AF562B0" w14:textId="77777777">
        <w:trPr>
          <w:trHeight w:val="634"/>
        </w:trPr>
        <w:tc>
          <w:tcPr>
            <w:tcW w:w="6475" w:type="dxa"/>
          </w:tcPr>
          <w:p w14:paraId="6FEEDB96" w14:textId="77777777" w:rsidR="00B75986" w:rsidRDefault="00B75986"/>
        </w:tc>
        <w:tc>
          <w:tcPr>
            <w:tcW w:w="1890" w:type="dxa"/>
          </w:tcPr>
          <w:p w14:paraId="396AFCA8" w14:textId="77777777" w:rsidR="00B75986" w:rsidRDefault="00B75986"/>
        </w:tc>
        <w:tc>
          <w:tcPr>
            <w:tcW w:w="2070" w:type="dxa"/>
          </w:tcPr>
          <w:p w14:paraId="586B99EA" w14:textId="77777777" w:rsidR="00B75986" w:rsidRDefault="00B75986"/>
        </w:tc>
        <w:tc>
          <w:tcPr>
            <w:tcW w:w="2522" w:type="dxa"/>
          </w:tcPr>
          <w:p w14:paraId="32FC7A87" w14:textId="77777777" w:rsidR="00B75986" w:rsidRDefault="00B75986"/>
        </w:tc>
      </w:tr>
      <w:tr w:rsidR="00B75986" w14:paraId="03578979" w14:textId="77777777">
        <w:trPr>
          <w:trHeight w:val="634"/>
        </w:trPr>
        <w:tc>
          <w:tcPr>
            <w:tcW w:w="6475" w:type="dxa"/>
          </w:tcPr>
          <w:p w14:paraId="52D7C504" w14:textId="77777777" w:rsidR="00B75986" w:rsidRDefault="00B75986"/>
        </w:tc>
        <w:tc>
          <w:tcPr>
            <w:tcW w:w="1890" w:type="dxa"/>
          </w:tcPr>
          <w:p w14:paraId="3AAE0471" w14:textId="77777777" w:rsidR="00B75986" w:rsidRDefault="00B75986"/>
        </w:tc>
        <w:tc>
          <w:tcPr>
            <w:tcW w:w="2070" w:type="dxa"/>
          </w:tcPr>
          <w:p w14:paraId="40ED42A9" w14:textId="77777777" w:rsidR="00B75986" w:rsidRDefault="00B75986"/>
        </w:tc>
        <w:tc>
          <w:tcPr>
            <w:tcW w:w="2522" w:type="dxa"/>
          </w:tcPr>
          <w:p w14:paraId="69231E8A" w14:textId="77777777" w:rsidR="00B75986" w:rsidRDefault="00B75986"/>
        </w:tc>
      </w:tr>
      <w:tr w:rsidR="00B75986" w14:paraId="6CE7A230" w14:textId="77777777">
        <w:trPr>
          <w:trHeight w:val="634"/>
        </w:trPr>
        <w:tc>
          <w:tcPr>
            <w:tcW w:w="6475" w:type="dxa"/>
          </w:tcPr>
          <w:p w14:paraId="5041ABAA" w14:textId="77777777" w:rsidR="00B75986" w:rsidRDefault="00B75986"/>
        </w:tc>
        <w:tc>
          <w:tcPr>
            <w:tcW w:w="1890" w:type="dxa"/>
          </w:tcPr>
          <w:p w14:paraId="02638841" w14:textId="77777777" w:rsidR="00B75986" w:rsidRDefault="00B75986"/>
        </w:tc>
        <w:tc>
          <w:tcPr>
            <w:tcW w:w="2070" w:type="dxa"/>
          </w:tcPr>
          <w:p w14:paraId="3F6EE3E1" w14:textId="77777777" w:rsidR="00B75986" w:rsidRDefault="00B75986"/>
        </w:tc>
        <w:tc>
          <w:tcPr>
            <w:tcW w:w="2522" w:type="dxa"/>
          </w:tcPr>
          <w:p w14:paraId="1C290669" w14:textId="77777777" w:rsidR="00B75986" w:rsidRDefault="00B75986"/>
        </w:tc>
      </w:tr>
    </w:tbl>
    <w:p w14:paraId="0D46068C" w14:textId="77777777" w:rsidR="00B75986" w:rsidRDefault="00B75986" w:rsidP="00B75986">
      <w:pPr>
        <w:pStyle w:val="Heading2"/>
        <w:spacing w:before="160" w:after="160" w:line="240" w:lineRule="auto"/>
      </w:pPr>
      <w:bookmarkStart w:id="277" w:name="_Draft_Adaptation_Strategies"/>
      <w:bookmarkStart w:id="278" w:name="_Ref230259719"/>
      <w:bookmarkStart w:id="279" w:name="_Toc235802770"/>
      <w:bookmarkEnd w:id="277"/>
      <w:r>
        <w:t>Draft Adaptation Strategies</w:t>
      </w:r>
      <w:bookmarkEnd w:id="278"/>
      <w:bookmarkEnd w:id="279"/>
    </w:p>
    <w:p w14:paraId="5275ED1E" w14:textId="77777777" w:rsidR="00B75986" w:rsidRPr="004E75A7" w:rsidRDefault="00B75986" w:rsidP="00B75986">
      <w:pPr>
        <w:spacing w:before="160" w:line="240" w:lineRule="auto"/>
        <w:rPr>
          <w:b/>
          <w:bCs/>
          <w:i/>
          <w:iCs/>
        </w:rPr>
      </w:pPr>
      <w:r>
        <w:rPr>
          <w:b/>
          <w:bCs/>
          <w:i/>
          <w:iCs/>
        </w:rPr>
        <w:t>Used in Step 3.3B</w:t>
      </w:r>
    </w:p>
    <w:p w14:paraId="111683F3" w14:textId="77777777" w:rsidR="00B75986" w:rsidRDefault="00B75986" w:rsidP="00B75986">
      <w:pPr>
        <w:spacing w:before="160" w:line="240" w:lineRule="auto"/>
      </w:pPr>
      <w:r>
        <w:t>Use the table below to draft adaptation strategies</w:t>
      </w:r>
    </w:p>
    <w:tbl>
      <w:tblPr>
        <w:tblStyle w:val="TableGrid"/>
        <w:tblW w:w="13042"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Caption w:val="draft your adaptation strategies"/>
        <w:tblDescription w:val="Fillable table to put together problem statements and their respective strategy statement, strategy result/objective, climate-related hazard(s) addressed, lead agency, etc."/>
      </w:tblPr>
      <w:tblGrid>
        <w:gridCol w:w="6562"/>
        <w:gridCol w:w="6480"/>
      </w:tblGrid>
      <w:tr w:rsidR="00B75986" w14:paraId="70B03D90" w14:textId="77777777">
        <w:trPr>
          <w:trHeight w:val="285"/>
        </w:trPr>
        <w:tc>
          <w:tcPr>
            <w:tcW w:w="6562" w:type="dxa"/>
            <w:tcMar>
              <w:left w:w="105" w:type="dxa"/>
              <w:right w:w="105" w:type="dxa"/>
            </w:tcMar>
            <w:vAlign w:val="center"/>
          </w:tcPr>
          <w:p w14:paraId="27D0B1E8" w14:textId="051F6C90" w:rsidR="00B75986" w:rsidRDefault="00B75986">
            <w:pPr>
              <w:rPr>
                <w:rFonts w:eastAsia="Century Gothic" w:cs="Century Gothic"/>
                <w:color w:val="000000" w:themeColor="text1"/>
              </w:rPr>
            </w:pPr>
            <w:r>
              <w:rPr>
                <w:rFonts w:eastAsia="Century Gothic" w:cs="Century Gothic"/>
                <w:b/>
                <w:bCs/>
                <w:color w:val="000000" w:themeColor="text1"/>
              </w:rPr>
              <w:t xml:space="preserve">Problem Statement: </w:t>
            </w:r>
            <w:r>
              <w:rPr>
                <w:rFonts w:eastAsia="Century Gothic" w:cs="Century Gothic"/>
                <w:color w:val="000000" w:themeColor="text1"/>
              </w:rPr>
              <w:t>This is the problem statement that the strategy is responding to. This should come out of the risk assessment and reflect community goals.</w:t>
            </w:r>
          </w:p>
        </w:tc>
        <w:tc>
          <w:tcPr>
            <w:tcW w:w="6480" w:type="dxa"/>
            <w:tcMar>
              <w:left w:w="105" w:type="dxa"/>
              <w:right w:w="105" w:type="dxa"/>
            </w:tcMar>
          </w:tcPr>
          <w:p w14:paraId="0C45E6B4" w14:textId="77777777" w:rsidR="00B75986" w:rsidRDefault="00B75986">
            <w:pPr>
              <w:rPr>
                <w:rFonts w:eastAsia="Century Gothic" w:cs="Century Gothic"/>
                <w:color w:val="000000" w:themeColor="text1"/>
              </w:rPr>
            </w:pPr>
          </w:p>
        </w:tc>
      </w:tr>
      <w:tr w:rsidR="00B75986" w14:paraId="1B56D8FB" w14:textId="77777777">
        <w:trPr>
          <w:trHeight w:val="720"/>
        </w:trPr>
        <w:tc>
          <w:tcPr>
            <w:tcW w:w="6562" w:type="dxa"/>
            <w:tcMar>
              <w:left w:w="105" w:type="dxa"/>
              <w:right w:w="105" w:type="dxa"/>
            </w:tcMar>
            <w:vAlign w:val="center"/>
          </w:tcPr>
          <w:p w14:paraId="3436A3AA" w14:textId="77777777" w:rsidR="00B75986" w:rsidRDefault="00B75986">
            <w:pPr>
              <w:rPr>
                <w:rFonts w:eastAsia="Century Gothic" w:cs="Century Gothic"/>
                <w:color w:val="000000" w:themeColor="text1"/>
              </w:rPr>
            </w:pPr>
            <w:r>
              <w:rPr>
                <w:rFonts w:eastAsia="Century Gothic" w:cs="Century Gothic"/>
                <w:b/>
                <w:bCs/>
                <w:color w:val="000000" w:themeColor="text1"/>
              </w:rPr>
              <w:t>Strategy Statement</w:t>
            </w:r>
          </w:p>
        </w:tc>
        <w:tc>
          <w:tcPr>
            <w:tcW w:w="6480" w:type="dxa"/>
            <w:tcMar>
              <w:left w:w="105" w:type="dxa"/>
              <w:right w:w="105" w:type="dxa"/>
            </w:tcMar>
          </w:tcPr>
          <w:p w14:paraId="2F318F65" w14:textId="77777777" w:rsidR="00B75986" w:rsidRDefault="00B75986">
            <w:pPr>
              <w:rPr>
                <w:rFonts w:eastAsia="Century Gothic" w:cs="Century Gothic"/>
                <w:color w:val="000000" w:themeColor="text1"/>
              </w:rPr>
            </w:pPr>
          </w:p>
        </w:tc>
      </w:tr>
      <w:tr w:rsidR="00B75986" w14:paraId="365FDC3A" w14:textId="77777777">
        <w:trPr>
          <w:trHeight w:val="285"/>
        </w:trPr>
        <w:tc>
          <w:tcPr>
            <w:tcW w:w="6562" w:type="dxa"/>
            <w:tcMar>
              <w:left w:w="105" w:type="dxa"/>
              <w:right w:w="105" w:type="dxa"/>
            </w:tcMar>
            <w:vAlign w:val="center"/>
          </w:tcPr>
          <w:p w14:paraId="6DCECD01" w14:textId="77777777" w:rsidR="00B75986" w:rsidRDefault="00B75986">
            <w:pPr>
              <w:rPr>
                <w:rFonts w:eastAsia="Century Gothic" w:cs="Century Gothic"/>
                <w:color w:val="000000" w:themeColor="text1"/>
              </w:rPr>
            </w:pPr>
            <w:r>
              <w:rPr>
                <w:rFonts w:eastAsia="Century Gothic" w:cs="Century Gothic"/>
                <w:b/>
                <w:bCs/>
                <w:color w:val="000000" w:themeColor="text1"/>
              </w:rPr>
              <w:t xml:space="preserve">Strategy Result or Objective: </w:t>
            </w:r>
            <w:r>
              <w:rPr>
                <w:rFonts w:eastAsia="Century Gothic" w:cs="Century Gothic"/>
                <w:color w:val="000000" w:themeColor="text1"/>
              </w:rPr>
              <w:t>A short description of what the strategy is designed to achieve</w:t>
            </w:r>
          </w:p>
        </w:tc>
        <w:tc>
          <w:tcPr>
            <w:tcW w:w="6480" w:type="dxa"/>
            <w:tcMar>
              <w:left w:w="105" w:type="dxa"/>
              <w:right w:w="105" w:type="dxa"/>
            </w:tcMar>
          </w:tcPr>
          <w:p w14:paraId="319B8591" w14:textId="77777777" w:rsidR="00B75986" w:rsidRDefault="00B75986">
            <w:pPr>
              <w:rPr>
                <w:rFonts w:eastAsia="Century Gothic" w:cs="Century Gothic"/>
                <w:color w:val="000000" w:themeColor="text1"/>
              </w:rPr>
            </w:pPr>
          </w:p>
        </w:tc>
      </w:tr>
      <w:tr w:rsidR="00B75986" w14:paraId="1430FE0A" w14:textId="77777777">
        <w:trPr>
          <w:trHeight w:val="720"/>
        </w:trPr>
        <w:tc>
          <w:tcPr>
            <w:tcW w:w="6562" w:type="dxa"/>
            <w:tcMar>
              <w:left w:w="105" w:type="dxa"/>
              <w:right w:w="105" w:type="dxa"/>
            </w:tcMar>
            <w:vAlign w:val="center"/>
          </w:tcPr>
          <w:p w14:paraId="16905AAA" w14:textId="77777777" w:rsidR="00B75986" w:rsidRDefault="00B75986">
            <w:pPr>
              <w:rPr>
                <w:rFonts w:eastAsia="Century Gothic" w:cs="Century Gothic"/>
                <w:color w:val="000000" w:themeColor="text1"/>
              </w:rPr>
            </w:pPr>
            <w:r>
              <w:rPr>
                <w:rFonts w:eastAsia="Century Gothic" w:cs="Century Gothic"/>
                <w:b/>
                <w:bCs/>
                <w:color w:val="000000" w:themeColor="text1"/>
              </w:rPr>
              <w:t>Hazards Addressed</w:t>
            </w:r>
          </w:p>
        </w:tc>
        <w:tc>
          <w:tcPr>
            <w:tcW w:w="6480" w:type="dxa"/>
            <w:tcMar>
              <w:left w:w="105" w:type="dxa"/>
              <w:right w:w="105" w:type="dxa"/>
            </w:tcMar>
          </w:tcPr>
          <w:p w14:paraId="3AF2EB13" w14:textId="77777777" w:rsidR="00B75986" w:rsidRDefault="00B75986">
            <w:pPr>
              <w:rPr>
                <w:rFonts w:eastAsia="Century Gothic" w:cs="Century Gothic"/>
                <w:color w:val="000000" w:themeColor="text1"/>
              </w:rPr>
            </w:pPr>
          </w:p>
        </w:tc>
      </w:tr>
      <w:tr w:rsidR="00B75986" w14:paraId="35329EFC" w14:textId="77777777">
        <w:trPr>
          <w:trHeight w:val="285"/>
        </w:trPr>
        <w:tc>
          <w:tcPr>
            <w:tcW w:w="6562" w:type="dxa"/>
            <w:tcMar>
              <w:left w:w="105" w:type="dxa"/>
              <w:right w:w="105" w:type="dxa"/>
            </w:tcMar>
            <w:vAlign w:val="center"/>
          </w:tcPr>
          <w:p w14:paraId="368E79B5" w14:textId="77777777" w:rsidR="00B75986" w:rsidRPr="00937AA6" w:rsidRDefault="00B75986">
            <w:pPr>
              <w:rPr>
                <w:rFonts w:eastAsia="Century Gothic" w:cs="Century Gothic"/>
                <w:color w:val="000000" w:themeColor="text1"/>
              </w:rPr>
            </w:pPr>
            <w:r>
              <w:rPr>
                <w:rFonts w:eastAsia="Century Gothic" w:cs="Century Gothic"/>
                <w:b/>
                <w:bCs/>
                <w:color w:val="000000" w:themeColor="text1"/>
              </w:rPr>
              <w:t>Lead Agency:</w:t>
            </w:r>
            <w:r>
              <w:rPr>
                <w:rFonts w:eastAsia="Century Gothic" w:cs="Century Gothic"/>
                <w:color w:val="000000" w:themeColor="text1"/>
              </w:rPr>
              <w:t xml:space="preserve"> Which agency has the authority, capacity, and knowledge to implement.</w:t>
            </w:r>
          </w:p>
        </w:tc>
        <w:tc>
          <w:tcPr>
            <w:tcW w:w="6480" w:type="dxa"/>
            <w:tcMar>
              <w:left w:w="105" w:type="dxa"/>
              <w:right w:w="105" w:type="dxa"/>
            </w:tcMar>
          </w:tcPr>
          <w:p w14:paraId="12DFF7D0" w14:textId="77777777" w:rsidR="00B75986" w:rsidRDefault="00B75986">
            <w:pPr>
              <w:rPr>
                <w:rFonts w:eastAsia="Century Gothic" w:cs="Century Gothic"/>
                <w:color w:val="000000" w:themeColor="text1"/>
              </w:rPr>
            </w:pPr>
          </w:p>
        </w:tc>
      </w:tr>
      <w:tr w:rsidR="00B75986" w14:paraId="306CBB41" w14:textId="77777777">
        <w:trPr>
          <w:trHeight w:val="285"/>
        </w:trPr>
        <w:tc>
          <w:tcPr>
            <w:tcW w:w="6562" w:type="dxa"/>
            <w:tcMar>
              <w:left w:w="105" w:type="dxa"/>
              <w:right w:w="105" w:type="dxa"/>
            </w:tcMar>
            <w:vAlign w:val="center"/>
          </w:tcPr>
          <w:p w14:paraId="7209FAC4" w14:textId="59852E92" w:rsidR="00B75986" w:rsidRDefault="00B75986">
            <w:pPr>
              <w:rPr>
                <w:rFonts w:eastAsia="Century Gothic" w:cs="Century Gothic"/>
                <w:color w:val="000000" w:themeColor="text1"/>
              </w:rPr>
            </w:pPr>
            <w:r>
              <w:rPr>
                <w:rFonts w:eastAsia="Century Gothic" w:cs="Century Gothic"/>
                <w:b/>
                <w:bCs/>
                <w:color w:val="000000" w:themeColor="text1"/>
              </w:rPr>
              <w:t>Partners:</w:t>
            </w:r>
            <w:r>
              <w:rPr>
                <w:rFonts w:eastAsia="Century Gothic" w:cs="Century Gothic"/>
                <w:color w:val="000000" w:themeColor="text1"/>
              </w:rPr>
              <w:t xml:space="preserve"> Those who have some decision-making authority, political influence, policy or regulation authority, or who can assist with implementation</w:t>
            </w:r>
          </w:p>
        </w:tc>
        <w:tc>
          <w:tcPr>
            <w:tcW w:w="6480" w:type="dxa"/>
            <w:tcMar>
              <w:left w:w="105" w:type="dxa"/>
              <w:right w:w="105" w:type="dxa"/>
            </w:tcMar>
          </w:tcPr>
          <w:p w14:paraId="03E62D83" w14:textId="77777777" w:rsidR="00B75986" w:rsidRDefault="00B75986">
            <w:pPr>
              <w:rPr>
                <w:rFonts w:eastAsia="Century Gothic" w:cs="Century Gothic"/>
                <w:color w:val="000000" w:themeColor="text1"/>
              </w:rPr>
            </w:pPr>
          </w:p>
        </w:tc>
      </w:tr>
      <w:tr w:rsidR="00B75986" w14:paraId="38C40D9F" w14:textId="77777777">
        <w:trPr>
          <w:trHeight w:val="285"/>
        </w:trPr>
        <w:tc>
          <w:tcPr>
            <w:tcW w:w="6562" w:type="dxa"/>
            <w:tcMar>
              <w:left w:w="105" w:type="dxa"/>
              <w:right w:w="105" w:type="dxa"/>
            </w:tcMar>
            <w:vAlign w:val="center"/>
          </w:tcPr>
          <w:p w14:paraId="56587D16" w14:textId="77777777" w:rsidR="00B75986" w:rsidRPr="004661E0" w:rsidRDefault="00B75986">
            <w:pPr>
              <w:rPr>
                <w:rFonts w:eastAsia="Century Gothic" w:cs="Century Gothic"/>
                <w:color w:val="000000" w:themeColor="text1"/>
              </w:rPr>
            </w:pPr>
            <w:r>
              <w:rPr>
                <w:rFonts w:eastAsia="Century Gothic" w:cs="Century Gothic"/>
                <w:b/>
                <w:bCs/>
                <w:color w:val="000000" w:themeColor="text1"/>
              </w:rPr>
              <w:t xml:space="preserve">Implementation Timeframe </w:t>
            </w:r>
            <w:r>
              <w:rPr>
                <w:rFonts w:eastAsia="Century Gothic" w:cs="Century Gothic"/>
                <w:color w:val="000000" w:themeColor="text1"/>
              </w:rPr>
              <w:t>(e.g., Ongoing, Short-Term, Mid-Term, Long-Term, # of years/months, etc.)</w:t>
            </w:r>
          </w:p>
        </w:tc>
        <w:tc>
          <w:tcPr>
            <w:tcW w:w="6480" w:type="dxa"/>
            <w:tcMar>
              <w:left w:w="105" w:type="dxa"/>
              <w:right w:w="105" w:type="dxa"/>
            </w:tcMar>
          </w:tcPr>
          <w:p w14:paraId="1BC391FB" w14:textId="77777777" w:rsidR="00B75986" w:rsidRPr="00937AA6" w:rsidRDefault="00B75986">
            <w:pPr>
              <w:rPr>
                <w:rFonts w:eastAsia="Century Gothic" w:cs="Century Gothic"/>
                <w:color w:val="000000" w:themeColor="text1"/>
              </w:rPr>
            </w:pPr>
          </w:p>
        </w:tc>
      </w:tr>
      <w:tr w:rsidR="00B75986" w14:paraId="4CF6F317" w14:textId="77777777">
        <w:trPr>
          <w:trHeight w:val="720"/>
        </w:trPr>
        <w:tc>
          <w:tcPr>
            <w:tcW w:w="6562" w:type="dxa"/>
            <w:tcMar>
              <w:left w:w="105" w:type="dxa"/>
              <w:right w:w="105" w:type="dxa"/>
            </w:tcMar>
            <w:vAlign w:val="center"/>
          </w:tcPr>
          <w:p w14:paraId="544B5285" w14:textId="77777777" w:rsidR="00B75986" w:rsidRPr="004661E0" w:rsidRDefault="00B75986">
            <w:pPr>
              <w:rPr>
                <w:rFonts w:eastAsia="Century Gothic" w:cs="Century Gothic"/>
                <w:b/>
                <w:bCs/>
                <w:color w:val="000000" w:themeColor="text1"/>
              </w:rPr>
            </w:pPr>
            <w:r>
              <w:rPr>
                <w:rFonts w:eastAsia="Century Gothic" w:cs="Century Gothic"/>
                <w:b/>
                <w:bCs/>
                <w:color w:val="000000" w:themeColor="text1"/>
              </w:rPr>
              <w:t>Co-Benefits</w:t>
            </w:r>
          </w:p>
        </w:tc>
        <w:tc>
          <w:tcPr>
            <w:tcW w:w="6480" w:type="dxa"/>
            <w:tcMar>
              <w:left w:w="105" w:type="dxa"/>
              <w:right w:w="105" w:type="dxa"/>
            </w:tcMar>
          </w:tcPr>
          <w:p w14:paraId="68A99646" w14:textId="77777777" w:rsidR="00B75986" w:rsidRPr="00937AA6" w:rsidRDefault="00B75986">
            <w:pPr>
              <w:rPr>
                <w:rFonts w:eastAsia="Century Gothic" w:cs="Century Gothic"/>
                <w:color w:val="000000" w:themeColor="text1"/>
              </w:rPr>
            </w:pPr>
          </w:p>
        </w:tc>
      </w:tr>
      <w:tr w:rsidR="00B75986" w14:paraId="5220FEA6" w14:textId="77777777">
        <w:trPr>
          <w:trHeight w:val="720"/>
        </w:trPr>
        <w:tc>
          <w:tcPr>
            <w:tcW w:w="6562" w:type="dxa"/>
            <w:tcMar>
              <w:left w:w="105" w:type="dxa"/>
              <w:right w:w="105" w:type="dxa"/>
            </w:tcMar>
            <w:vAlign w:val="center"/>
          </w:tcPr>
          <w:p w14:paraId="38D89644" w14:textId="77777777" w:rsidR="00B75986" w:rsidRPr="004661E0" w:rsidRDefault="00B75986">
            <w:pPr>
              <w:rPr>
                <w:rFonts w:eastAsia="Century Gothic" w:cs="Century Gothic"/>
                <w:b/>
                <w:bCs/>
                <w:color w:val="000000" w:themeColor="text1"/>
              </w:rPr>
            </w:pPr>
            <w:r>
              <w:rPr>
                <w:rFonts w:eastAsia="Century Gothic" w:cs="Century Gothic"/>
                <w:b/>
                <w:bCs/>
                <w:color w:val="000000" w:themeColor="text1"/>
              </w:rPr>
              <w:t>Monitoring Metrics</w:t>
            </w:r>
          </w:p>
        </w:tc>
        <w:tc>
          <w:tcPr>
            <w:tcW w:w="6480" w:type="dxa"/>
            <w:tcMar>
              <w:left w:w="105" w:type="dxa"/>
              <w:right w:w="105" w:type="dxa"/>
            </w:tcMar>
          </w:tcPr>
          <w:p w14:paraId="68099188" w14:textId="77777777" w:rsidR="00B75986" w:rsidRPr="00937AA6" w:rsidRDefault="00B75986">
            <w:pPr>
              <w:rPr>
                <w:rFonts w:eastAsia="Century Gothic" w:cs="Century Gothic"/>
                <w:color w:val="000000" w:themeColor="text1"/>
              </w:rPr>
            </w:pPr>
          </w:p>
        </w:tc>
      </w:tr>
      <w:tr w:rsidR="00B75986" w14:paraId="6051A975" w14:textId="77777777">
        <w:trPr>
          <w:trHeight w:val="720"/>
        </w:trPr>
        <w:tc>
          <w:tcPr>
            <w:tcW w:w="6562" w:type="dxa"/>
            <w:tcMar>
              <w:left w:w="105" w:type="dxa"/>
              <w:right w:w="105" w:type="dxa"/>
            </w:tcMar>
            <w:vAlign w:val="center"/>
          </w:tcPr>
          <w:p w14:paraId="56D603E4" w14:textId="77777777" w:rsidR="00B75986" w:rsidRPr="004661E0" w:rsidRDefault="00B75986">
            <w:pPr>
              <w:rPr>
                <w:rFonts w:eastAsia="Century Gothic" w:cs="Century Gothic"/>
                <w:b/>
                <w:bCs/>
                <w:color w:val="000000" w:themeColor="text1"/>
              </w:rPr>
            </w:pPr>
            <w:r>
              <w:rPr>
                <w:rFonts w:eastAsia="Century Gothic" w:cs="Century Gothic"/>
                <w:b/>
                <w:bCs/>
                <w:color w:val="000000" w:themeColor="text1"/>
              </w:rPr>
              <w:t>Cost Estimate / Potential Funding Sources</w:t>
            </w:r>
          </w:p>
        </w:tc>
        <w:tc>
          <w:tcPr>
            <w:tcW w:w="6480" w:type="dxa"/>
            <w:tcMar>
              <w:left w:w="105" w:type="dxa"/>
              <w:right w:w="105" w:type="dxa"/>
            </w:tcMar>
          </w:tcPr>
          <w:p w14:paraId="6B6016A5" w14:textId="77777777" w:rsidR="00B75986" w:rsidRPr="00937AA6" w:rsidRDefault="00B75986">
            <w:pPr>
              <w:rPr>
                <w:rFonts w:eastAsia="Century Gothic" w:cs="Century Gothic"/>
                <w:color w:val="000000" w:themeColor="text1"/>
              </w:rPr>
            </w:pPr>
          </w:p>
        </w:tc>
      </w:tr>
    </w:tbl>
    <w:p w14:paraId="37DECE89" w14:textId="77777777" w:rsidR="00B75986" w:rsidRDefault="00B75986" w:rsidP="00B75986">
      <w:pPr>
        <w:spacing w:line="240" w:lineRule="auto"/>
        <w:sectPr w:rsidR="00B75986" w:rsidSect="00B75986">
          <w:footerReference w:type="even" r:id="rId368"/>
          <w:footerReference w:type="default" r:id="rId369"/>
          <w:footerReference w:type="first" r:id="rId370"/>
          <w:pgSz w:w="15840" w:h="12240" w:orient="landscape"/>
          <w:pgMar w:top="1440" w:right="1440" w:bottom="1440" w:left="1440" w:header="720" w:footer="720" w:gutter="0"/>
          <w:cols w:space="720"/>
          <w:docGrid w:linePitch="360"/>
        </w:sectPr>
      </w:pPr>
    </w:p>
    <w:p w14:paraId="3047C155" w14:textId="2367613A" w:rsidR="008B7F9C" w:rsidRPr="005562C8" w:rsidRDefault="00BF1FE4" w:rsidP="002F370C">
      <w:pPr>
        <w:pStyle w:val="Heading1"/>
      </w:pPr>
      <w:bookmarkStart w:id="280" w:name="_Toc235802771"/>
      <w:r>
        <w:t>GLOSSARY</w:t>
      </w:r>
      <w:bookmarkEnd w:id="280"/>
    </w:p>
    <w:p w14:paraId="26521FF3" w14:textId="6F0E2CB8" w:rsidR="00A7680A" w:rsidRDefault="00A7680A" w:rsidP="00D874D3">
      <w:pPr>
        <w:spacing w:before="160" w:line="240" w:lineRule="auto"/>
        <w:rPr>
          <w:color w:val="000000" w:themeColor="text1"/>
          <w:szCs w:val="24"/>
        </w:rPr>
      </w:pPr>
      <w:r>
        <w:rPr>
          <w:b/>
          <w:bCs/>
          <w:color w:val="000000" w:themeColor="text1"/>
          <w:szCs w:val="24"/>
        </w:rPr>
        <w:t>Access and Functional Needs (AFN)</w:t>
      </w:r>
      <w:r>
        <w:rPr>
          <w:b/>
          <w:bCs/>
          <w:color w:val="000000" w:themeColor="text1"/>
          <w:szCs w:val="24"/>
        </w:rPr>
        <w:br/>
      </w:r>
      <w:r>
        <w:rPr>
          <w:color w:val="000000" w:themeColor="text1"/>
          <w:szCs w:val="24"/>
        </w:rPr>
        <w:t>Examples include if an individual has developmental or intellectual disabilities, physical disabilities, chronic conditions, injuries, limited English proficiency or are non-English speaking; and/or are an older adult, child, living in an institutionalized setting, low income, experiencing homelessness, or transportation disadvantaged, including, but not limited to, those who are dependent on public transit, or those who are pregnant (</w:t>
      </w:r>
      <w:hyperlink r:id="rId371">
        <w:r>
          <w:rPr>
            <w:rStyle w:val="Hyperlink"/>
            <w:color w:val="3333FF"/>
            <w:szCs w:val="24"/>
          </w:rPr>
          <w:t>Government Code § 8593.3</w:t>
        </w:r>
      </w:hyperlink>
      <w:r>
        <w:rPr>
          <w:color w:val="000000" w:themeColor="text1"/>
          <w:szCs w:val="24"/>
        </w:rPr>
        <w:t>).</w:t>
      </w:r>
    </w:p>
    <w:p w14:paraId="37A071C3" w14:textId="77A59A48" w:rsidR="00A7680A" w:rsidRDefault="00A7680A" w:rsidP="00233B46">
      <w:pPr>
        <w:spacing w:line="240" w:lineRule="auto"/>
        <w:rPr>
          <w:i/>
          <w:iCs/>
          <w:color w:val="000000" w:themeColor="text1"/>
          <w:szCs w:val="24"/>
        </w:rPr>
      </w:pPr>
      <w:r>
        <w:rPr>
          <w:b/>
          <w:bCs/>
          <w:color w:val="000000" w:themeColor="text1"/>
          <w:szCs w:val="24"/>
        </w:rPr>
        <w:t>Adaptation (Climate Change)</w:t>
      </w:r>
      <w:r>
        <w:rPr>
          <w:b/>
          <w:bCs/>
          <w:color w:val="000000" w:themeColor="text1"/>
          <w:szCs w:val="24"/>
        </w:rPr>
        <w:br/>
      </w:r>
      <w:r>
        <w:rPr>
          <w:color w:val="000000" w:themeColor="text1"/>
          <w:szCs w:val="24"/>
        </w:rPr>
        <w:t>An action or set of actions that reduces physical climate risk (</w:t>
      </w:r>
      <w:hyperlink r:id="rId372" w:history="1">
        <w:r>
          <w:rPr>
            <w:rStyle w:val="Hyperlink"/>
            <w:color w:val="3333FF"/>
            <w:szCs w:val="24"/>
          </w:rPr>
          <w:t>California Climate Adaptation Strategy, 2024</w:t>
        </w:r>
      </w:hyperlink>
      <w:r>
        <w:rPr>
          <w:color w:val="000000" w:themeColor="text1"/>
          <w:szCs w:val="24"/>
        </w:rPr>
        <w:t>).</w:t>
      </w:r>
    </w:p>
    <w:p w14:paraId="2139206E" w14:textId="77777777" w:rsidR="00A7680A" w:rsidRDefault="00A7680A" w:rsidP="00233B46">
      <w:pPr>
        <w:spacing w:line="240" w:lineRule="auto"/>
        <w:rPr>
          <w:color w:val="000000" w:themeColor="text1"/>
          <w:szCs w:val="24"/>
        </w:rPr>
      </w:pPr>
      <w:r>
        <w:rPr>
          <w:b/>
          <w:bCs/>
          <w:color w:val="000000" w:themeColor="text1"/>
          <w:szCs w:val="24"/>
        </w:rPr>
        <w:t>Adaptive Capacity</w:t>
      </w:r>
      <w:r>
        <w:rPr>
          <w:color w:val="000000" w:themeColor="text1"/>
          <w:szCs w:val="24"/>
        </w:rPr>
        <w:br/>
        <w:t>The ability of a system to adjust to climate change (including climate variability and extremes) by coping with consequences, moderating potential damage, or taking advantage of opportunities (5th Assessment placeholder).</w:t>
      </w:r>
    </w:p>
    <w:p w14:paraId="279DE697" w14:textId="15EB764E" w:rsidR="00A7680A" w:rsidRPr="007210A9" w:rsidRDefault="00A7680A" w:rsidP="00233B46">
      <w:pPr>
        <w:spacing w:line="240" w:lineRule="auto"/>
        <w:rPr>
          <w:i/>
          <w:iCs/>
          <w:color w:val="000000" w:themeColor="text1"/>
          <w:szCs w:val="24"/>
        </w:rPr>
      </w:pPr>
      <w:r>
        <w:rPr>
          <w:b/>
          <w:bCs/>
          <w:color w:val="000000" w:themeColor="text1"/>
          <w:szCs w:val="24"/>
        </w:rPr>
        <w:t>Asset</w:t>
      </w:r>
      <w:r>
        <w:rPr>
          <w:b/>
          <w:bCs/>
          <w:color w:val="000000" w:themeColor="text1"/>
          <w:szCs w:val="24"/>
        </w:rPr>
        <w:br/>
      </w:r>
      <w:r>
        <w:rPr>
          <w:color w:val="000000" w:themeColor="text1"/>
          <w:szCs w:val="24"/>
        </w:rPr>
        <w:t>Any human-caused or natural feature that has value, including people, buildings, infrastructure, such as bridges, roads, sewers, and water systems, lifelines, such as electricity and communication resources; and environmental, cultural, or recreational features, such as parks, wetlands, and landmarks (</w:t>
      </w:r>
      <w:hyperlink r:id="rId373" w:history="1">
        <w:r>
          <w:rPr>
            <w:rStyle w:val="Hyperlink"/>
            <w:i/>
            <w:color w:val="3333FF"/>
            <w:szCs w:val="24"/>
          </w:rPr>
          <w:t>2023 California State Hazard Mitigation Plan</w:t>
        </w:r>
      </w:hyperlink>
      <w:r>
        <w:rPr>
          <w:color w:val="000000" w:themeColor="text1"/>
          <w:szCs w:val="24"/>
        </w:rPr>
        <w:t>).</w:t>
      </w:r>
    </w:p>
    <w:p w14:paraId="6FA40565" w14:textId="2952A7BE" w:rsidR="00A7680A" w:rsidRPr="005562C8" w:rsidRDefault="00A7680A" w:rsidP="00233B46">
      <w:pPr>
        <w:spacing w:line="240" w:lineRule="auto"/>
        <w:rPr>
          <w:color w:val="000000" w:themeColor="text1"/>
          <w:szCs w:val="24"/>
        </w:rPr>
      </w:pPr>
      <w:r>
        <w:rPr>
          <w:b/>
          <w:bCs/>
          <w:color w:val="000000" w:themeColor="text1"/>
          <w:szCs w:val="24"/>
        </w:rPr>
        <w:t>Cascading Impacts</w:t>
      </w:r>
      <w:r>
        <w:rPr>
          <w:b/>
          <w:bCs/>
          <w:color w:val="000000" w:themeColor="text1"/>
          <w:szCs w:val="24"/>
        </w:rPr>
        <w:br/>
      </w:r>
      <w:proofErr w:type="spellStart"/>
      <w:r>
        <w:rPr>
          <w:color w:val="000000" w:themeColor="text1"/>
          <w:szCs w:val="24"/>
        </w:rPr>
        <w:t>Impacts</w:t>
      </w:r>
      <w:proofErr w:type="spellEnd"/>
      <w:r>
        <w:rPr>
          <w:color w:val="000000" w:themeColor="text1"/>
          <w:szCs w:val="24"/>
        </w:rPr>
        <w:t xml:space="preserve"> that occur when an extreme hazard generates a sequence of secondary events in natural and human systems that result in physical, natural, social, or economic disruption, whereby the resulting impact is significantly larger than the initial impact. Cascading impacts are complex and multidimensional, and are associated more with the magnitude of vulnerability than with that of the hazard (</w:t>
      </w:r>
      <w:hyperlink r:id="rId374" w:history="1">
        <w:r>
          <w:rPr>
            <w:rStyle w:val="Hyperlink"/>
            <w:color w:val="3333FF"/>
            <w:szCs w:val="24"/>
          </w:rPr>
          <w:t>IPCC, 2022</w:t>
        </w:r>
      </w:hyperlink>
      <w:r>
        <w:rPr>
          <w:color w:val="000000" w:themeColor="text1"/>
          <w:szCs w:val="24"/>
        </w:rPr>
        <w:t>)</w:t>
      </w:r>
      <w:r>
        <w:rPr>
          <w:i/>
          <w:iCs/>
          <w:color w:val="000000" w:themeColor="text1"/>
          <w:szCs w:val="24"/>
        </w:rPr>
        <w:t>.</w:t>
      </w:r>
    </w:p>
    <w:p w14:paraId="026FEC08" w14:textId="7F94887E" w:rsidR="00A7680A" w:rsidRPr="005562C8" w:rsidRDefault="00A7680A" w:rsidP="00233B46">
      <w:pPr>
        <w:spacing w:line="240" w:lineRule="auto"/>
        <w:rPr>
          <w:color w:val="000000" w:themeColor="text1"/>
          <w:szCs w:val="24"/>
        </w:rPr>
      </w:pPr>
      <w:r>
        <w:rPr>
          <w:b/>
          <w:bCs/>
          <w:color w:val="000000" w:themeColor="text1"/>
          <w:szCs w:val="24"/>
        </w:rPr>
        <w:t>Climate Adaptation Planning</w:t>
      </w:r>
      <w:r>
        <w:rPr>
          <w:b/>
          <w:bCs/>
          <w:color w:val="000000" w:themeColor="text1"/>
          <w:szCs w:val="24"/>
        </w:rPr>
        <w:br/>
      </w:r>
      <w:r>
        <w:rPr>
          <w:color w:val="000000" w:themeColor="text1"/>
          <w:szCs w:val="24"/>
        </w:rPr>
        <w:t xml:space="preserve">A structured process used to identify threats and hazards that could affect a community under current and future climate conditions. It helps communities understand the risks these hazards pose and take steps to avoid or minimize climate-related impacts (adapted from </w:t>
      </w:r>
      <w:r>
        <w:rPr>
          <w:szCs w:val="24"/>
        </w:rPr>
        <w:t>2020 APG</w:t>
      </w:r>
      <w:r>
        <w:rPr>
          <w:color w:val="000000" w:themeColor="text1"/>
          <w:szCs w:val="24"/>
        </w:rPr>
        <w:t>).</w:t>
      </w:r>
    </w:p>
    <w:p w14:paraId="1ABE9798" w14:textId="0ED3DBDD" w:rsidR="00A7680A" w:rsidRPr="005562C8" w:rsidRDefault="00A7680A" w:rsidP="00233B46">
      <w:pPr>
        <w:spacing w:line="240" w:lineRule="auto"/>
        <w:rPr>
          <w:color w:val="000000" w:themeColor="text1"/>
          <w:szCs w:val="24"/>
        </w:rPr>
      </w:pPr>
      <w:r>
        <w:rPr>
          <w:b/>
          <w:bCs/>
          <w:color w:val="000000" w:themeColor="text1"/>
          <w:szCs w:val="24"/>
        </w:rPr>
        <w:t>Climate Change Mitigation</w:t>
      </w:r>
      <w:r>
        <w:rPr>
          <w:b/>
          <w:bCs/>
          <w:color w:val="000000" w:themeColor="text1"/>
          <w:szCs w:val="24"/>
        </w:rPr>
        <w:br/>
      </w:r>
      <w:r>
        <w:rPr>
          <w:color w:val="000000" w:themeColor="text1"/>
          <w:szCs w:val="24"/>
        </w:rPr>
        <w:t>Focusing on reducing greenhouse gas emissions to limit the severity of future climate impacts (2020 APG).</w:t>
      </w:r>
    </w:p>
    <w:p w14:paraId="1CCA6DE7" w14:textId="2967D1A9" w:rsidR="00A7680A" w:rsidRPr="005562C8" w:rsidRDefault="00A7680A" w:rsidP="00233B46">
      <w:pPr>
        <w:spacing w:line="240" w:lineRule="auto"/>
        <w:rPr>
          <w:color w:val="000000" w:themeColor="text1"/>
          <w:szCs w:val="24"/>
        </w:rPr>
      </w:pPr>
      <w:r>
        <w:rPr>
          <w:b/>
          <w:bCs/>
          <w:color w:val="000000" w:themeColor="text1"/>
          <w:szCs w:val="24"/>
        </w:rPr>
        <w:t>Climate Change</w:t>
      </w:r>
      <w:r>
        <w:rPr>
          <w:b/>
          <w:bCs/>
          <w:color w:val="000000" w:themeColor="text1"/>
          <w:szCs w:val="24"/>
        </w:rPr>
        <w:br/>
      </w:r>
      <w:r>
        <w:rPr>
          <w:color w:val="000000" w:themeColor="text1"/>
          <w:szCs w:val="24"/>
        </w:rPr>
        <w:t>Refers to a change in the state of the climate that can be identified by changes in the mean and/or the variability of its properties, and that persists for an extended period, typically decades or longer. Climate change may be due to natural internal processes or external forcings such as modulations of the solar cycles, volcanic eruptions, and persistent anthropogenic changes in the composition of the atmosphere or in land use (</w:t>
      </w:r>
      <w:hyperlink r:id="rId375" w:history="1">
        <w:r>
          <w:rPr>
            <w:rStyle w:val="Hyperlink"/>
            <w:color w:val="3333FF"/>
            <w:szCs w:val="24"/>
          </w:rPr>
          <w:t>IPCC, 2022</w:t>
        </w:r>
      </w:hyperlink>
      <w:r>
        <w:rPr>
          <w:color w:val="000000" w:themeColor="text1"/>
          <w:szCs w:val="24"/>
        </w:rPr>
        <w:t>).</w:t>
      </w:r>
    </w:p>
    <w:p w14:paraId="1CE6EC92" w14:textId="21E310D1" w:rsidR="00A7680A" w:rsidRPr="005562C8" w:rsidRDefault="00A7680A" w:rsidP="00233B46">
      <w:pPr>
        <w:spacing w:line="240" w:lineRule="auto"/>
        <w:rPr>
          <w:color w:val="000000" w:themeColor="text1"/>
          <w:szCs w:val="24"/>
        </w:rPr>
      </w:pPr>
      <w:r>
        <w:rPr>
          <w:b/>
          <w:bCs/>
          <w:color w:val="000000" w:themeColor="text1"/>
          <w:szCs w:val="24"/>
        </w:rPr>
        <w:t>Climate Extreme (Extreme Weather or Climate Event)</w:t>
      </w:r>
      <w:r>
        <w:rPr>
          <w:color w:val="000000" w:themeColor="text1"/>
          <w:szCs w:val="24"/>
        </w:rPr>
        <w:br/>
        <w:t>An event that is significantly different from the average or usual weather pattern. This may take place over one day or another period of time. For example, flash floods, wildfires, and heatwaves (5th Assessment placeholder).</w:t>
      </w:r>
    </w:p>
    <w:p w14:paraId="620E529C" w14:textId="369B0230" w:rsidR="00A7680A" w:rsidRPr="005562C8" w:rsidRDefault="00A7680A" w:rsidP="00233B46">
      <w:pPr>
        <w:spacing w:line="240" w:lineRule="auto"/>
        <w:rPr>
          <w:color w:val="000000" w:themeColor="text1"/>
          <w:szCs w:val="24"/>
        </w:rPr>
      </w:pPr>
      <w:r>
        <w:rPr>
          <w:b/>
          <w:bCs/>
          <w:color w:val="000000" w:themeColor="text1"/>
          <w:szCs w:val="24"/>
        </w:rPr>
        <w:t>Climate Justice</w:t>
      </w:r>
      <w:r>
        <w:rPr>
          <w:color w:val="000000" w:themeColor="text1"/>
          <w:szCs w:val="24"/>
        </w:rPr>
        <w:br/>
        <w:t>Recognizing the disproportionate impacts of climate change on low-income communities and communities of color around the world; and the people and places least responsible for the problem. It seeks solutions that address the root causes of climate change and simultaneously address a broad range of social, racial, and environmental injustices (</w:t>
      </w:r>
      <w:hyperlink r:id="rId376" w:history="1">
        <w:r>
          <w:rPr>
            <w:rStyle w:val="Hyperlink"/>
            <w:color w:val="3333FF"/>
            <w:szCs w:val="24"/>
          </w:rPr>
          <w:t>UC Center for Climate Justice</w:t>
        </w:r>
      </w:hyperlink>
      <w:r>
        <w:rPr>
          <w:color w:val="000000" w:themeColor="text1"/>
          <w:szCs w:val="24"/>
        </w:rPr>
        <w:t>; 5th Assessment placeholder).</w:t>
      </w:r>
    </w:p>
    <w:p w14:paraId="5A842601" w14:textId="77777777" w:rsidR="00A7680A" w:rsidRPr="005562C8" w:rsidRDefault="00A7680A" w:rsidP="00233B46">
      <w:pPr>
        <w:spacing w:line="240" w:lineRule="auto"/>
        <w:rPr>
          <w:color w:val="000000" w:themeColor="text1"/>
          <w:szCs w:val="24"/>
        </w:rPr>
      </w:pPr>
      <w:r>
        <w:rPr>
          <w:b/>
          <w:bCs/>
          <w:color w:val="000000" w:themeColor="text1"/>
          <w:szCs w:val="24"/>
        </w:rPr>
        <w:t>Climate Scenarios</w:t>
      </w:r>
      <w:r>
        <w:rPr>
          <w:color w:val="000000" w:themeColor="text1"/>
          <w:szCs w:val="24"/>
        </w:rPr>
        <w:br/>
        <w:t>A coherent, internally consistent and plausible description of possible climatic conditions. It is not a forecast; rather, each scenario is one alternative image of how the climate can unfold. A projection may serve as the raw material for a scenario, but scenarios often require additional information (e.g., about baseline conditions) (5th Assessment placeholder).</w:t>
      </w:r>
    </w:p>
    <w:p w14:paraId="1AB2CD75" w14:textId="3A245B79" w:rsidR="00A7680A" w:rsidRPr="005562C8" w:rsidRDefault="00A7680A" w:rsidP="00233B46">
      <w:pPr>
        <w:spacing w:line="240" w:lineRule="auto"/>
        <w:rPr>
          <w:color w:val="000000" w:themeColor="text1"/>
          <w:szCs w:val="24"/>
        </w:rPr>
      </w:pPr>
      <w:r>
        <w:rPr>
          <w:b/>
          <w:bCs/>
          <w:color w:val="000000" w:themeColor="text1"/>
          <w:szCs w:val="24"/>
        </w:rPr>
        <w:t>Community Lifelines</w:t>
      </w:r>
      <w:r>
        <w:rPr>
          <w:b/>
          <w:bCs/>
          <w:color w:val="000000" w:themeColor="text1"/>
          <w:szCs w:val="24"/>
        </w:rPr>
        <w:br/>
      </w:r>
      <w:r>
        <w:rPr>
          <w:color w:val="000000" w:themeColor="text1"/>
          <w:szCs w:val="24"/>
        </w:rPr>
        <w:t>The most fundamental services in the community that, when stabilized, enable all other aspects of society to function. The integrated network of assets, services and capabilities that make up community lifelines are used day to day to support recurring needs. Lifelines enable the continuous operation of critical government and business functions and are essential to human health and safety or economic security (</w:t>
      </w:r>
      <w:hyperlink r:id="rId377" w:history="1">
        <w:r>
          <w:rPr>
            <w:rStyle w:val="Hyperlink"/>
            <w:color w:val="3333FF"/>
            <w:szCs w:val="24"/>
          </w:rPr>
          <w:t>FEMA, 2025</w:t>
        </w:r>
      </w:hyperlink>
      <w:r>
        <w:rPr>
          <w:color w:val="000000" w:themeColor="text1"/>
          <w:szCs w:val="24"/>
        </w:rPr>
        <w:t>).</w:t>
      </w:r>
    </w:p>
    <w:p w14:paraId="5880B3DB" w14:textId="709A0F17" w:rsidR="00A7680A" w:rsidRPr="005562C8" w:rsidRDefault="00A7680A" w:rsidP="00233B46">
      <w:pPr>
        <w:spacing w:line="240" w:lineRule="auto"/>
        <w:rPr>
          <w:color w:val="000000" w:themeColor="text1"/>
          <w:szCs w:val="24"/>
        </w:rPr>
      </w:pPr>
      <w:r>
        <w:rPr>
          <w:b/>
          <w:bCs/>
          <w:color w:val="000000" w:themeColor="text1"/>
          <w:szCs w:val="24"/>
        </w:rPr>
        <w:t>Community-Based Organization</w:t>
      </w:r>
      <w:r>
        <w:rPr>
          <w:color w:val="000000" w:themeColor="text1"/>
          <w:szCs w:val="24"/>
        </w:rPr>
        <w:br/>
        <w:t>Any organization incorporated for the purpose of providing services or other assistance to economically or socially disadvantaged persons within its designated community (</w:t>
      </w:r>
      <w:hyperlink r:id="rId378" w:history="1">
        <w:r>
          <w:rPr>
            <w:rStyle w:val="Hyperlink"/>
            <w:color w:val="3333FF"/>
            <w:szCs w:val="24"/>
          </w:rPr>
          <w:t>State of California Strategic Growth Council</w:t>
        </w:r>
      </w:hyperlink>
      <w:r>
        <w:rPr>
          <w:color w:val="000000" w:themeColor="text1"/>
          <w:szCs w:val="24"/>
        </w:rPr>
        <w:t>).</w:t>
      </w:r>
    </w:p>
    <w:p w14:paraId="5C80B4CB" w14:textId="36784310" w:rsidR="00A7680A" w:rsidRPr="005562C8" w:rsidRDefault="00A7680A" w:rsidP="00233B46">
      <w:pPr>
        <w:spacing w:line="240" w:lineRule="auto"/>
        <w:rPr>
          <w:color w:val="000000" w:themeColor="text1"/>
          <w:szCs w:val="24"/>
        </w:rPr>
      </w:pPr>
      <w:r>
        <w:rPr>
          <w:b/>
          <w:bCs/>
          <w:color w:val="000000" w:themeColor="text1"/>
          <w:szCs w:val="24"/>
        </w:rPr>
        <w:t>Critical Community Infrastructure</w:t>
      </w:r>
      <w:r>
        <w:rPr>
          <w:b/>
          <w:bCs/>
          <w:color w:val="000000" w:themeColor="text1"/>
          <w:szCs w:val="24"/>
        </w:rPr>
        <w:br/>
      </w:r>
      <w:proofErr w:type="spellStart"/>
      <w:r>
        <w:rPr>
          <w:color w:val="000000" w:themeColor="text1"/>
          <w:szCs w:val="24"/>
        </w:rPr>
        <w:t>Infrastructure</w:t>
      </w:r>
      <w:proofErr w:type="spellEnd"/>
      <w:r>
        <w:rPr>
          <w:color w:val="000000" w:themeColor="text1"/>
          <w:szCs w:val="24"/>
        </w:rPr>
        <w:t xml:space="preserve"> necessary to provide vital community and individual functions, including, but not limited to, drinking and wastewater infrastructure, emergency shelters, communication and warning systems, evacuation routes, emergency power and public medical facilities, schools, town halls, hospitals, health clinics, community centers, community nonprofit facilities providing essential services, libraries, homeless shelters, senior and youth centers, childcare facilities, food banks, grocery stores, and parks and recreation sites (</w:t>
      </w:r>
      <w:hyperlink r:id="rId379" w:history="1">
        <w:r>
          <w:rPr>
            <w:rStyle w:val="Hyperlink"/>
            <w:color w:val="3333FF"/>
            <w:szCs w:val="24"/>
          </w:rPr>
          <w:t>California Prop 4</w:t>
        </w:r>
      </w:hyperlink>
      <w:r>
        <w:rPr>
          <w:color w:val="000000" w:themeColor="text1"/>
          <w:szCs w:val="24"/>
        </w:rPr>
        <w:t>).</w:t>
      </w:r>
    </w:p>
    <w:p w14:paraId="50A4C096" w14:textId="000C390D" w:rsidR="00A7680A" w:rsidRPr="005562C8" w:rsidRDefault="00A7680A" w:rsidP="00233B46">
      <w:pPr>
        <w:spacing w:line="240" w:lineRule="auto"/>
        <w:rPr>
          <w:color w:val="000000" w:themeColor="text1"/>
          <w:szCs w:val="24"/>
        </w:rPr>
      </w:pPr>
      <w:r>
        <w:rPr>
          <w:b/>
          <w:bCs/>
          <w:color w:val="000000" w:themeColor="text1"/>
          <w:szCs w:val="24"/>
        </w:rPr>
        <w:t>Disadvantaged Communities</w:t>
      </w:r>
      <w:r>
        <w:rPr>
          <w:b/>
          <w:bCs/>
          <w:color w:val="000000" w:themeColor="text1"/>
          <w:szCs w:val="24"/>
        </w:rPr>
        <w:br/>
      </w:r>
      <w:r>
        <w:rPr>
          <w:color w:val="000000" w:themeColor="text1"/>
          <w:szCs w:val="24"/>
        </w:rPr>
        <w:t xml:space="preserve">An area identified by the California Environmental Protection Agency pursuant to Section 39711 of the Health and Safety Code, or an area that is low-income and disproportionately affected by environmental pollution and other hazards that can lead to negative health effects, exposure, or environmental degradation </w:t>
      </w:r>
      <w:r>
        <w:rPr>
          <w:iCs/>
          <w:color w:val="000000" w:themeColor="text1"/>
          <w:szCs w:val="24"/>
        </w:rPr>
        <w:t>(</w:t>
      </w:r>
      <w:hyperlink r:id="rId380" w:history="1">
        <w:r>
          <w:rPr>
            <w:rStyle w:val="Hyperlink"/>
            <w:iCs/>
            <w:color w:val="3333FF"/>
            <w:szCs w:val="24"/>
          </w:rPr>
          <w:t>Government Code § 65302.10</w:t>
        </w:r>
      </w:hyperlink>
      <w:r>
        <w:rPr>
          <w:color w:val="000000" w:themeColor="text1"/>
          <w:szCs w:val="24"/>
        </w:rPr>
        <w:t>)</w:t>
      </w:r>
      <w:r>
        <w:rPr>
          <w:i/>
          <w:iCs/>
          <w:color w:val="000000" w:themeColor="text1"/>
          <w:szCs w:val="24"/>
        </w:rPr>
        <w:t>.</w:t>
      </w:r>
      <w:r>
        <w:rPr>
          <w:color w:val="000000" w:themeColor="text1"/>
          <w:szCs w:val="24"/>
        </w:rPr>
        <w:t xml:space="preserve"> California Prop 4 defines </w:t>
      </w:r>
      <w:r>
        <w:rPr>
          <w:b/>
          <w:bCs/>
          <w:color w:val="000000" w:themeColor="text1"/>
          <w:szCs w:val="24"/>
        </w:rPr>
        <w:t>severely disadvantaged community</w:t>
      </w:r>
      <w:r>
        <w:rPr>
          <w:color w:val="000000" w:themeColor="text1"/>
          <w:szCs w:val="24"/>
        </w:rPr>
        <w:t xml:space="preserve"> as a community with a median household income of less than 60 percent of the area average or less than 60 percent of statewide median household income (</w:t>
      </w:r>
      <w:hyperlink r:id="rId381" w:history="1">
        <w:r>
          <w:rPr>
            <w:rStyle w:val="Hyperlink"/>
            <w:color w:val="3333FF"/>
            <w:szCs w:val="24"/>
          </w:rPr>
          <w:t>California Prop 4</w:t>
        </w:r>
      </w:hyperlink>
      <w:r>
        <w:rPr>
          <w:color w:val="000000" w:themeColor="text1"/>
          <w:szCs w:val="24"/>
        </w:rPr>
        <w:t>).</w:t>
      </w:r>
    </w:p>
    <w:p w14:paraId="5B7D2976" w14:textId="3111F836" w:rsidR="00A7680A" w:rsidRPr="003857BA" w:rsidRDefault="00A7680A" w:rsidP="00233B46">
      <w:pPr>
        <w:spacing w:line="240" w:lineRule="auto"/>
        <w:rPr>
          <w:color w:val="000000" w:themeColor="text1"/>
          <w:szCs w:val="24"/>
        </w:rPr>
      </w:pPr>
      <w:r>
        <w:rPr>
          <w:b/>
          <w:bCs/>
          <w:color w:val="000000" w:themeColor="text1"/>
          <w:szCs w:val="24"/>
        </w:rPr>
        <w:t>Disadvantaged Unincorporated Community</w:t>
      </w:r>
      <w:r>
        <w:rPr>
          <w:b/>
          <w:bCs/>
          <w:color w:val="000000" w:themeColor="text1"/>
          <w:szCs w:val="24"/>
        </w:rPr>
        <w:br/>
      </w:r>
      <w:r>
        <w:rPr>
          <w:color w:val="000000" w:themeColor="text1"/>
          <w:szCs w:val="24"/>
        </w:rPr>
        <w:t>A fringe, island, or legacy community in which the median household income is 80 percent or less of the statewide median household income (</w:t>
      </w:r>
      <w:hyperlink r:id="rId382" w:history="1">
        <w:r>
          <w:rPr>
            <w:rStyle w:val="Hyperlink"/>
            <w:color w:val="3333FF"/>
            <w:szCs w:val="24"/>
          </w:rPr>
          <w:t>Government Code § 65302.10</w:t>
        </w:r>
      </w:hyperlink>
      <w:r>
        <w:rPr>
          <w:color w:val="000000" w:themeColor="text1"/>
          <w:szCs w:val="24"/>
        </w:rPr>
        <w:t>)</w:t>
      </w:r>
      <w:r>
        <w:rPr>
          <w:i/>
          <w:iCs/>
          <w:color w:val="000000" w:themeColor="text1"/>
          <w:szCs w:val="24"/>
        </w:rPr>
        <w:t>.</w:t>
      </w:r>
    </w:p>
    <w:p w14:paraId="6BAC6E14" w14:textId="617CD61F" w:rsidR="00A7680A" w:rsidRPr="003857BA" w:rsidRDefault="00A7680A" w:rsidP="00233B46">
      <w:pPr>
        <w:spacing w:line="240" w:lineRule="auto"/>
        <w:rPr>
          <w:color w:val="000000" w:themeColor="text1"/>
          <w:szCs w:val="24"/>
        </w:rPr>
      </w:pPr>
      <w:r>
        <w:rPr>
          <w:b/>
          <w:bCs/>
          <w:color w:val="000000" w:themeColor="text1"/>
          <w:szCs w:val="24"/>
        </w:rPr>
        <w:t>Distributional Equity</w:t>
      </w:r>
      <w:r>
        <w:rPr>
          <w:b/>
          <w:bCs/>
          <w:color w:val="000000" w:themeColor="text1"/>
          <w:szCs w:val="24"/>
        </w:rPr>
        <w:br/>
      </w:r>
      <w:r>
        <w:rPr>
          <w:color w:val="000000" w:themeColor="text1"/>
          <w:szCs w:val="24"/>
        </w:rPr>
        <w:t>Where vulnerable communities and individuals, when appropriate, are prioritized for adaptation action to make up for past underinvestment (</w:t>
      </w:r>
      <w:hyperlink r:id="rId383" w:history="1">
        <w:r>
          <w:rPr>
            <w:rStyle w:val="Hyperlink"/>
            <w:color w:val="3333FF"/>
            <w:szCs w:val="24"/>
          </w:rPr>
          <w:t>California Climate Adaptation Strategy, 2024</w:t>
        </w:r>
      </w:hyperlink>
      <w:r>
        <w:rPr>
          <w:color w:val="000000" w:themeColor="text1"/>
          <w:szCs w:val="24"/>
        </w:rPr>
        <w:t>)</w:t>
      </w:r>
      <w:r>
        <w:rPr>
          <w:i/>
          <w:iCs/>
          <w:color w:val="000000" w:themeColor="text1"/>
          <w:szCs w:val="24"/>
        </w:rPr>
        <w:t>.</w:t>
      </w:r>
    </w:p>
    <w:p w14:paraId="5107E9C7" w14:textId="6AF9C114" w:rsidR="00A7680A" w:rsidRPr="005562C8" w:rsidRDefault="00A7680A" w:rsidP="00233B46">
      <w:pPr>
        <w:spacing w:line="240" w:lineRule="auto"/>
        <w:rPr>
          <w:color w:val="000000" w:themeColor="text1"/>
          <w:szCs w:val="24"/>
        </w:rPr>
      </w:pPr>
      <w:r>
        <w:rPr>
          <w:b/>
          <w:bCs/>
          <w:color w:val="000000" w:themeColor="text1"/>
          <w:szCs w:val="24"/>
        </w:rPr>
        <w:t>Environmental Justice</w:t>
      </w:r>
      <w:r>
        <w:rPr>
          <w:b/>
          <w:bCs/>
          <w:color w:val="000000" w:themeColor="text1"/>
          <w:szCs w:val="24"/>
        </w:rPr>
        <w:br/>
      </w:r>
      <w:r>
        <w:rPr>
          <w:color w:val="000000" w:themeColor="text1"/>
          <w:szCs w:val="24"/>
        </w:rPr>
        <w:t>The fair treatment and meaningful involvement of people of all races, cultures, incomes, and national origins, with respect to the development, adoption, implementation, and enforcement of environmental laws, regulations, and policies (</w:t>
      </w:r>
      <w:hyperlink r:id="rId384" w:history="1">
        <w:r>
          <w:rPr>
            <w:rStyle w:val="Hyperlink"/>
            <w:color w:val="3333FF"/>
            <w:szCs w:val="24"/>
          </w:rPr>
          <w:t>Government Code § 65040.12</w:t>
        </w:r>
      </w:hyperlink>
      <w:r>
        <w:rPr>
          <w:color w:val="000000" w:themeColor="text1"/>
          <w:szCs w:val="24"/>
        </w:rPr>
        <w:t>)</w:t>
      </w:r>
      <w:r>
        <w:rPr>
          <w:i/>
          <w:iCs/>
          <w:color w:val="000000" w:themeColor="text1"/>
          <w:szCs w:val="24"/>
        </w:rPr>
        <w:t>.</w:t>
      </w:r>
    </w:p>
    <w:p w14:paraId="37A06284" w14:textId="36DD9F81" w:rsidR="00A7680A" w:rsidRPr="005562C8" w:rsidRDefault="00A7680A" w:rsidP="00233B46">
      <w:pPr>
        <w:spacing w:line="240" w:lineRule="auto"/>
        <w:rPr>
          <w:color w:val="000000" w:themeColor="text1"/>
          <w:szCs w:val="24"/>
        </w:rPr>
      </w:pPr>
      <w:r w:rsidRPr="00F70EC9">
        <w:rPr>
          <w:b/>
          <w:bCs/>
          <w:color w:val="000000" w:themeColor="text1"/>
          <w:szCs w:val="24"/>
        </w:rPr>
        <w:t>Equity</w:t>
      </w:r>
      <w:r w:rsidRPr="00F70EC9">
        <w:rPr>
          <w:color w:val="000000" w:themeColor="text1"/>
          <w:szCs w:val="24"/>
        </w:rPr>
        <w:t xml:space="preserve"> </w:t>
      </w:r>
      <w:r w:rsidRPr="00F70EC9">
        <w:rPr>
          <w:b/>
          <w:bCs/>
          <w:color w:val="000000" w:themeColor="text1"/>
          <w:szCs w:val="24"/>
        </w:rPr>
        <w:br/>
      </w:r>
      <w:r w:rsidRPr="00F70EC9">
        <w:rPr>
          <w:color w:val="000000" w:themeColor="text1"/>
          <w:szCs w:val="24"/>
        </w:rPr>
        <w:t>All people are justly and fairly included in society and that everyone is able to participate, prosper, and achieve their full potential (2020 APG).</w:t>
      </w:r>
    </w:p>
    <w:p w14:paraId="1EF03906" w14:textId="492C6385" w:rsidR="00A7680A" w:rsidRPr="005562C8" w:rsidRDefault="00A7680A" w:rsidP="00233B46">
      <w:pPr>
        <w:spacing w:line="240" w:lineRule="auto"/>
        <w:rPr>
          <w:color w:val="000000" w:themeColor="text1"/>
          <w:szCs w:val="24"/>
        </w:rPr>
      </w:pPr>
      <w:r>
        <w:rPr>
          <w:b/>
          <w:bCs/>
          <w:color w:val="000000" w:themeColor="text1"/>
          <w:szCs w:val="24"/>
        </w:rPr>
        <w:t>Equity (Climate)</w:t>
      </w:r>
      <w:r>
        <w:rPr>
          <w:color w:val="000000" w:themeColor="text1"/>
          <w:szCs w:val="24"/>
        </w:rPr>
        <w:t xml:space="preserve"> </w:t>
      </w:r>
      <w:r>
        <w:rPr>
          <w:b/>
          <w:bCs/>
          <w:color w:val="000000" w:themeColor="text1"/>
          <w:szCs w:val="24"/>
        </w:rPr>
        <w:br/>
      </w:r>
      <w:r>
        <w:rPr>
          <w:color w:val="000000" w:themeColor="text1"/>
          <w:szCs w:val="24"/>
        </w:rPr>
        <w:t>The central equity challenges for climate change policy involving several core issues: addressing the impacts of climate change, which are felt unequally; identifying who is responsible for causing climate change and for actions to limit its effects; and understanding the ways in which climate policy intersects with other dimensions of human development, both globally and domestically (5th Assessment placeholder).</w:t>
      </w:r>
    </w:p>
    <w:p w14:paraId="156D10F7" w14:textId="2BCEEDD9" w:rsidR="001976E5" w:rsidRPr="00C55517" w:rsidRDefault="00A7680A" w:rsidP="001976E5">
      <w:pPr>
        <w:spacing w:before="160" w:line="240" w:lineRule="auto"/>
        <w:rPr>
          <w:color w:val="000000" w:themeColor="text1"/>
        </w:rPr>
      </w:pPr>
      <w:r>
        <w:rPr>
          <w:b/>
          <w:bCs/>
          <w:color w:val="000000" w:themeColor="text1"/>
          <w:szCs w:val="24"/>
        </w:rPr>
        <w:t>Exposure</w:t>
      </w:r>
      <w:r>
        <w:rPr>
          <w:b/>
          <w:bCs/>
          <w:color w:val="000000" w:themeColor="text1"/>
          <w:szCs w:val="24"/>
        </w:rPr>
        <w:br/>
      </w:r>
      <w:r>
        <w:t xml:space="preserve">Refers to the </w:t>
      </w:r>
      <w:r>
        <w:rPr>
          <w:color w:val="000000" w:themeColor="text1"/>
        </w:rPr>
        <w:t xml:space="preserve">presence of people; livelihoods; species or ecosystems; environmental functions, services, and resources; infrastructure; or economic, social, or cultural assets in places and settings that could be adversely affected </w:t>
      </w:r>
      <w:r w:rsidR="00C55517" w:rsidRPr="00C55517">
        <w:rPr>
          <w:color w:val="000000" w:themeColor="text1"/>
        </w:rPr>
        <w:t xml:space="preserve">(Adapted from </w:t>
      </w:r>
      <w:hyperlink r:id="rId385" w:history="1">
        <w:r w:rsidR="00C55517">
          <w:rPr>
            <w:rStyle w:val="Hyperlink"/>
            <w:color w:val="3333FF"/>
            <w:szCs w:val="24"/>
          </w:rPr>
          <w:t>IPCC, 2022</w:t>
        </w:r>
      </w:hyperlink>
      <w:r w:rsidR="00C55517">
        <w:rPr>
          <w:color w:val="000000" w:themeColor="text1"/>
          <w:szCs w:val="24"/>
        </w:rPr>
        <w:t xml:space="preserve">). </w:t>
      </w:r>
      <w:r w:rsidRPr="00C55517">
        <w:rPr>
          <w:color w:val="000000" w:themeColor="text1"/>
        </w:rPr>
        <w:t>Planning entities should evaluate climate hazards that are relevant to their planning area based on historical occurrences, current conditions, and future projections. Examining how exposure differs across the planning area helps identify potential impacts</w:t>
      </w:r>
      <w:r w:rsidR="00C55517" w:rsidRPr="00C55517">
        <w:rPr>
          <w:color w:val="000000" w:themeColor="text1"/>
        </w:rPr>
        <w:t>.</w:t>
      </w:r>
    </w:p>
    <w:p w14:paraId="1FE0104F" w14:textId="32C7C183" w:rsidR="00A7680A" w:rsidRPr="005562C8" w:rsidRDefault="00A7680A" w:rsidP="00233B46">
      <w:pPr>
        <w:spacing w:line="240" w:lineRule="auto"/>
        <w:rPr>
          <w:b/>
          <w:bCs/>
          <w:color w:val="000000" w:themeColor="text1"/>
          <w:szCs w:val="24"/>
        </w:rPr>
      </w:pPr>
      <w:r>
        <w:rPr>
          <w:b/>
          <w:bCs/>
          <w:color w:val="000000" w:themeColor="text1"/>
          <w:szCs w:val="24"/>
        </w:rPr>
        <w:t>Greenhouse Gas (GHG)</w:t>
      </w:r>
      <w:r>
        <w:rPr>
          <w:b/>
          <w:bCs/>
          <w:color w:val="000000" w:themeColor="text1"/>
          <w:szCs w:val="24"/>
        </w:rPr>
        <w:br/>
      </w:r>
      <w:r>
        <w:rPr>
          <w:color w:val="000000" w:themeColor="text1"/>
          <w:szCs w:val="24"/>
        </w:rPr>
        <w:t>Any gas that absorbs infrared radiation in the atmosphere. Greenhouse gases include, but are not limited to, water vapor, carbon dioxide (CO</w:t>
      </w:r>
      <w:r>
        <w:rPr>
          <w:color w:val="000000" w:themeColor="text1"/>
          <w:szCs w:val="24"/>
          <w:vertAlign w:val="subscript"/>
        </w:rPr>
        <w:t>2</w:t>
      </w:r>
      <w:r>
        <w:rPr>
          <w:color w:val="000000" w:themeColor="text1"/>
          <w:szCs w:val="24"/>
        </w:rPr>
        <w:t>), methane (CH</w:t>
      </w:r>
      <w:r>
        <w:rPr>
          <w:color w:val="000000" w:themeColor="text1"/>
          <w:szCs w:val="24"/>
          <w:vertAlign w:val="subscript"/>
        </w:rPr>
        <w:t>4</w:t>
      </w:r>
      <w:r>
        <w:rPr>
          <w:color w:val="000000" w:themeColor="text1"/>
          <w:szCs w:val="24"/>
        </w:rPr>
        <w:t>), nitrous oxide (N</w:t>
      </w:r>
      <w:r>
        <w:rPr>
          <w:color w:val="000000" w:themeColor="text1"/>
          <w:szCs w:val="24"/>
          <w:vertAlign w:val="subscript"/>
        </w:rPr>
        <w:t>2</w:t>
      </w:r>
      <w:r>
        <w:rPr>
          <w:color w:val="000000" w:themeColor="text1"/>
          <w:szCs w:val="24"/>
        </w:rPr>
        <w:t>O), hydrochlorofluorocarbons (HCFCs), ozone (O</w:t>
      </w:r>
      <w:r>
        <w:rPr>
          <w:color w:val="000000" w:themeColor="text1"/>
          <w:szCs w:val="24"/>
          <w:vertAlign w:val="subscript"/>
        </w:rPr>
        <w:t>3</w:t>
      </w:r>
      <w:r>
        <w:rPr>
          <w:color w:val="000000" w:themeColor="text1"/>
          <w:szCs w:val="24"/>
        </w:rPr>
        <w:t>), hydrofluorocarbons (HFCs), perfluorocarbons (PFCs), and sulfur hexafluoride (SF</w:t>
      </w:r>
      <w:r>
        <w:rPr>
          <w:color w:val="000000" w:themeColor="text1"/>
          <w:szCs w:val="24"/>
          <w:vertAlign w:val="subscript"/>
        </w:rPr>
        <w:t>6</w:t>
      </w:r>
      <w:r>
        <w:rPr>
          <w:color w:val="000000" w:themeColor="text1"/>
          <w:szCs w:val="24"/>
        </w:rPr>
        <w:t>)</w:t>
      </w:r>
      <w:r>
        <w:rPr>
          <w:b/>
          <w:bCs/>
          <w:color w:val="000000" w:themeColor="text1"/>
          <w:szCs w:val="24"/>
        </w:rPr>
        <w:t xml:space="preserve"> </w:t>
      </w:r>
      <w:r>
        <w:rPr>
          <w:iCs/>
          <w:color w:val="000000" w:themeColor="text1"/>
          <w:szCs w:val="24"/>
        </w:rPr>
        <w:t>(</w:t>
      </w:r>
      <w:hyperlink r:id="rId386" w:history="1">
        <w:r>
          <w:rPr>
            <w:rStyle w:val="Hyperlink"/>
            <w:iCs/>
            <w:szCs w:val="24"/>
          </w:rPr>
          <w:t>UNFCC</w:t>
        </w:r>
      </w:hyperlink>
      <w:r>
        <w:rPr>
          <w:iCs/>
          <w:color w:val="000000" w:themeColor="text1"/>
          <w:szCs w:val="24"/>
        </w:rPr>
        <w:t>).</w:t>
      </w:r>
    </w:p>
    <w:p w14:paraId="71DE6710" w14:textId="1EFE2B74" w:rsidR="00A7680A" w:rsidRDefault="00A7680A" w:rsidP="00233B46">
      <w:pPr>
        <w:spacing w:line="240" w:lineRule="auto"/>
        <w:rPr>
          <w:i/>
          <w:color w:val="000000" w:themeColor="text1"/>
        </w:rPr>
      </w:pPr>
      <w:r>
        <w:rPr>
          <w:b/>
          <w:color w:val="000000" w:themeColor="text1"/>
        </w:rPr>
        <w:t>Hazard Mitigation</w:t>
      </w:r>
      <w:r>
        <w:br/>
      </w:r>
      <w:r>
        <w:rPr>
          <w:color w:val="000000" w:themeColor="text1"/>
        </w:rPr>
        <w:t>Any sustainable action that reduces or eliminates long-term risk to people, property, and the environment from future disasters. Mitigation planning breaks the cycle of disaster damage, reconstruction, and repeated damage. Hazard mitigation can be one component of climate change adaptation (</w:t>
      </w:r>
      <w:hyperlink r:id="rId387">
        <w:r>
          <w:rPr>
            <w:rStyle w:val="Hyperlink"/>
            <w:color w:val="3333FF"/>
          </w:rPr>
          <w:t>FEMA, 2025</w:t>
        </w:r>
      </w:hyperlink>
      <w:r>
        <w:rPr>
          <w:color w:val="000000" w:themeColor="text1"/>
        </w:rPr>
        <w:t>).</w:t>
      </w:r>
    </w:p>
    <w:p w14:paraId="7C24B746" w14:textId="01390CA1" w:rsidR="00A7680A" w:rsidRPr="00D33B31" w:rsidRDefault="00A7680A" w:rsidP="00233B46">
      <w:pPr>
        <w:spacing w:line="240" w:lineRule="auto"/>
        <w:rPr>
          <w:i/>
          <w:iCs/>
          <w:color w:val="000000" w:themeColor="text1"/>
          <w:szCs w:val="24"/>
        </w:rPr>
      </w:pPr>
      <w:r>
        <w:rPr>
          <w:b/>
          <w:bCs/>
          <w:color w:val="000000" w:themeColor="text1"/>
          <w:szCs w:val="24"/>
        </w:rPr>
        <w:t>Impact</w:t>
      </w:r>
      <w:r>
        <w:rPr>
          <w:b/>
          <w:bCs/>
          <w:color w:val="000000" w:themeColor="text1"/>
          <w:szCs w:val="24"/>
        </w:rPr>
        <w:br/>
      </w:r>
      <w:r>
        <w:rPr>
          <w:color w:val="000000" w:themeColor="text1"/>
          <w:szCs w:val="24"/>
        </w:rPr>
        <w:t>The consequences or effects of each hazard on the participant's assets are identified in the vulnerability assessment. For example, impacts could be described by referencing historical disaster damages with an estimate of potential future losses (such as percentage of damage vs. total exposure) (</w:t>
      </w:r>
      <w:hyperlink r:id="rId388" w:history="1">
        <w:r>
          <w:rPr>
            <w:rStyle w:val="Hyperlink"/>
            <w:color w:val="3333FF"/>
            <w:szCs w:val="24"/>
          </w:rPr>
          <w:t>FEMA, 2025</w:t>
        </w:r>
      </w:hyperlink>
      <w:r>
        <w:rPr>
          <w:color w:val="000000" w:themeColor="text1"/>
          <w:szCs w:val="24"/>
        </w:rPr>
        <w:t>).</w:t>
      </w:r>
    </w:p>
    <w:p w14:paraId="13425C0B" w14:textId="77777777" w:rsidR="00133C7F" w:rsidRDefault="00133C7F" w:rsidP="00233B46">
      <w:pPr>
        <w:spacing w:line="240" w:lineRule="auto"/>
        <w:rPr>
          <w:b/>
          <w:bCs/>
          <w:color w:val="000000" w:themeColor="text1"/>
          <w:szCs w:val="24"/>
        </w:rPr>
      </w:pPr>
      <w:r>
        <w:rPr>
          <w:b/>
          <w:bCs/>
          <w:color w:val="000000" w:themeColor="text1"/>
          <w:szCs w:val="24"/>
        </w:rPr>
        <w:t>Maladaptation</w:t>
      </w:r>
    </w:p>
    <w:p w14:paraId="489C7E27" w14:textId="752F180D" w:rsidR="004555BE" w:rsidRPr="00C36E1D" w:rsidRDefault="00133C7F" w:rsidP="00233B46">
      <w:pPr>
        <w:spacing w:line="240" w:lineRule="auto"/>
        <w:rPr>
          <w:color w:val="000000" w:themeColor="text1"/>
          <w:szCs w:val="24"/>
        </w:rPr>
      </w:pPr>
      <w:r>
        <w:rPr>
          <w:color w:val="000000" w:themeColor="text1"/>
          <w:szCs w:val="24"/>
        </w:rPr>
        <w:t>Adaptation efforts that worsen a situation, or transfer the challenge from one area, sector, or social group to another (</w:t>
      </w:r>
      <w:hyperlink r:id="rId389" w:history="1">
        <w:r>
          <w:rPr>
            <w:rStyle w:val="Hyperlink"/>
            <w:szCs w:val="24"/>
          </w:rPr>
          <w:t>California Adaptation Planning Guide</w:t>
        </w:r>
      </w:hyperlink>
      <w:r>
        <w:rPr>
          <w:color w:val="000000" w:themeColor="text1"/>
          <w:szCs w:val="24"/>
        </w:rPr>
        <w:t>, 2020).</w:t>
      </w:r>
    </w:p>
    <w:p w14:paraId="0B8EF796" w14:textId="52214912" w:rsidR="00A7680A" w:rsidRPr="00D33B31" w:rsidRDefault="00A7680A" w:rsidP="00233B46">
      <w:pPr>
        <w:spacing w:line="240" w:lineRule="auto"/>
        <w:rPr>
          <w:i/>
          <w:iCs/>
          <w:color w:val="000000" w:themeColor="text1"/>
          <w:szCs w:val="24"/>
        </w:rPr>
      </w:pPr>
      <w:r>
        <w:rPr>
          <w:b/>
          <w:bCs/>
          <w:color w:val="000000" w:themeColor="text1"/>
          <w:szCs w:val="24"/>
        </w:rPr>
        <w:t>Mitigation Actions</w:t>
      </w:r>
      <w:r>
        <w:rPr>
          <w:b/>
          <w:bCs/>
          <w:color w:val="000000" w:themeColor="text1"/>
          <w:szCs w:val="24"/>
        </w:rPr>
        <w:br/>
      </w:r>
      <w:r>
        <w:rPr>
          <w:color w:val="000000" w:themeColor="text1"/>
          <w:szCs w:val="24"/>
        </w:rPr>
        <w:t>A measure, project, plan or activity proposed to reduce current and future vulnerabilities described in the risk assessment (</w:t>
      </w:r>
      <w:hyperlink r:id="rId390" w:history="1">
        <w:r>
          <w:rPr>
            <w:rStyle w:val="Hyperlink"/>
            <w:color w:val="3333FF"/>
            <w:szCs w:val="24"/>
          </w:rPr>
          <w:t>FEMA, 2025</w:t>
        </w:r>
      </w:hyperlink>
      <w:r>
        <w:rPr>
          <w:color w:val="000000" w:themeColor="text1"/>
          <w:szCs w:val="24"/>
        </w:rPr>
        <w:t>).</w:t>
      </w:r>
    </w:p>
    <w:p w14:paraId="06BCE7D9" w14:textId="437F7432" w:rsidR="00A7680A" w:rsidRPr="005562C8" w:rsidRDefault="00A7680A" w:rsidP="00233B46">
      <w:pPr>
        <w:spacing w:line="240" w:lineRule="auto"/>
        <w:rPr>
          <w:i/>
          <w:iCs/>
          <w:color w:val="000000" w:themeColor="text1"/>
          <w:szCs w:val="24"/>
        </w:rPr>
      </w:pPr>
      <w:r>
        <w:rPr>
          <w:b/>
          <w:bCs/>
          <w:color w:val="000000" w:themeColor="text1"/>
          <w:szCs w:val="24"/>
        </w:rPr>
        <w:t>Mitigation Planning</w:t>
      </w:r>
      <w:r>
        <w:rPr>
          <w:b/>
          <w:bCs/>
          <w:color w:val="000000" w:themeColor="text1"/>
          <w:szCs w:val="24"/>
        </w:rPr>
        <w:br/>
      </w:r>
      <w:r>
        <w:rPr>
          <w:color w:val="000000" w:themeColor="text1"/>
          <w:szCs w:val="24"/>
        </w:rPr>
        <w:t>A community-driven process to help state, local, Tribal and territorial (SLTT) governments plan for hazard risk. By planning for risk and setting a strategy for action, governments can reduce the negative impacts of future disasters (</w:t>
      </w:r>
      <w:hyperlink r:id="rId391" w:history="1">
        <w:r>
          <w:rPr>
            <w:rStyle w:val="Hyperlink"/>
            <w:color w:val="3333FF"/>
            <w:szCs w:val="24"/>
          </w:rPr>
          <w:t>FEMA, 2025</w:t>
        </w:r>
      </w:hyperlink>
      <w:r>
        <w:rPr>
          <w:color w:val="000000" w:themeColor="text1"/>
          <w:szCs w:val="24"/>
        </w:rPr>
        <w:t>).</w:t>
      </w:r>
    </w:p>
    <w:p w14:paraId="181725B5" w14:textId="1B53973C" w:rsidR="00A7680A" w:rsidRPr="005562C8" w:rsidRDefault="00A7680A" w:rsidP="00233B46">
      <w:pPr>
        <w:spacing w:line="240" w:lineRule="auto"/>
        <w:rPr>
          <w:i/>
          <w:iCs/>
          <w:color w:val="000000" w:themeColor="text1"/>
          <w:szCs w:val="24"/>
        </w:rPr>
      </w:pPr>
      <w:r>
        <w:rPr>
          <w:b/>
          <w:bCs/>
          <w:color w:val="000000" w:themeColor="text1"/>
          <w:szCs w:val="24"/>
        </w:rPr>
        <w:t>Multi-Benefit Strategies</w:t>
      </w:r>
      <w:r>
        <w:rPr>
          <w:b/>
          <w:bCs/>
          <w:color w:val="000000" w:themeColor="text1"/>
          <w:szCs w:val="24"/>
        </w:rPr>
        <w:br/>
      </w:r>
      <w:proofErr w:type="spellStart"/>
      <w:r>
        <w:rPr>
          <w:color w:val="000000" w:themeColor="text1"/>
          <w:szCs w:val="24"/>
        </w:rPr>
        <w:t>Strategies</w:t>
      </w:r>
      <w:proofErr w:type="spellEnd"/>
      <w:r>
        <w:rPr>
          <w:color w:val="000000" w:themeColor="text1"/>
          <w:szCs w:val="24"/>
        </w:rPr>
        <w:t xml:space="preserve"> intentionally designed to achieve multiple outcomes at once. In addition to reducing vulnerability to climate hazards, they can advance equity, public health, ecosystem health, carbon reduction, and overall community well-being (</w:t>
      </w:r>
      <w:hyperlink r:id="rId392">
        <w:r>
          <w:rPr>
            <w:rStyle w:val="Hyperlink"/>
            <w:color w:val="3333FF"/>
            <w:szCs w:val="24"/>
          </w:rPr>
          <w:t>California Climate Adaptation Strategy, 2024</w:t>
        </w:r>
      </w:hyperlink>
      <w:r>
        <w:rPr>
          <w:color w:val="000000" w:themeColor="text1"/>
          <w:szCs w:val="24"/>
        </w:rPr>
        <w:t>).</w:t>
      </w:r>
    </w:p>
    <w:p w14:paraId="4B0E5B3B" w14:textId="5AC13D8A" w:rsidR="00A7680A" w:rsidRDefault="00A7680A" w:rsidP="00C02BBC">
      <w:pPr>
        <w:pBdr>
          <w:bottom w:val="single" w:sz="1" w:space="2" w:color="E5E7EB"/>
        </w:pBdr>
        <w:spacing w:line="240" w:lineRule="auto"/>
        <w:rPr>
          <w:b/>
          <w:bCs/>
          <w:color w:val="000000" w:themeColor="text1"/>
          <w:szCs w:val="24"/>
        </w:rPr>
      </w:pPr>
      <w:r>
        <w:rPr>
          <w:b/>
          <w:bCs/>
          <w:color w:val="000000" w:themeColor="text1"/>
          <w:szCs w:val="24"/>
        </w:rPr>
        <w:t>Natural Hazard</w:t>
      </w:r>
      <w:r>
        <w:rPr>
          <w:b/>
          <w:bCs/>
          <w:color w:val="000000" w:themeColor="text1"/>
          <w:szCs w:val="24"/>
        </w:rPr>
        <w:br/>
      </w:r>
      <w:r>
        <w:rPr>
          <w:color w:val="000000" w:themeColor="text1"/>
          <w:szCs w:val="24"/>
        </w:rPr>
        <w:t>A source of harm or difficulty created by a meteorological, environmental, or geological event. In climate adaptation planning, hazards refer specifically to climate-related physical events or trends (such as heatwaves, floods, droughts, or sea level rise)</w:t>
      </w:r>
      <w:r>
        <w:rPr>
          <w:i/>
          <w:iCs/>
          <w:color w:val="000000" w:themeColor="text1"/>
          <w:szCs w:val="24"/>
        </w:rPr>
        <w:t xml:space="preserve"> </w:t>
      </w:r>
      <w:r>
        <w:rPr>
          <w:color w:val="000000" w:themeColor="text1"/>
          <w:szCs w:val="24"/>
        </w:rPr>
        <w:t>(</w:t>
      </w:r>
      <w:hyperlink r:id="rId393">
        <w:r>
          <w:rPr>
            <w:rStyle w:val="Hyperlink"/>
            <w:color w:val="3333FF"/>
            <w:szCs w:val="24"/>
          </w:rPr>
          <w:t>FEMA, 2025</w:t>
        </w:r>
      </w:hyperlink>
      <w:r>
        <w:rPr>
          <w:color w:val="000000" w:themeColor="text1"/>
          <w:szCs w:val="24"/>
        </w:rPr>
        <w:t xml:space="preserve">; </w:t>
      </w:r>
      <w:hyperlink r:id="rId394" w:history="1">
        <w:r>
          <w:rPr>
            <w:rStyle w:val="Hyperlink"/>
            <w:color w:val="3333FF"/>
            <w:szCs w:val="24"/>
          </w:rPr>
          <w:t>IPCC, 2022</w:t>
        </w:r>
      </w:hyperlink>
      <w:r>
        <w:rPr>
          <w:color w:val="000000" w:themeColor="text1"/>
          <w:szCs w:val="24"/>
        </w:rPr>
        <w:t>).</w:t>
      </w:r>
    </w:p>
    <w:p w14:paraId="45FE0F83" w14:textId="60CF4C3B" w:rsidR="00E34A20" w:rsidRPr="00C36E1D" w:rsidRDefault="00A7680A" w:rsidP="00C36E1D">
      <w:pPr>
        <w:spacing w:before="120" w:after="120"/>
      </w:pPr>
      <w:r>
        <w:rPr>
          <w:b/>
          <w:bCs/>
          <w:color w:val="000000" w:themeColor="text1"/>
          <w:szCs w:val="24"/>
        </w:rPr>
        <w:t>Nature-Based Solutions</w:t>
      </w:r>
      <w:r>
        <w:rPr>
          <w:b/>
          <w:bCs/>
          <w:color w:val="000000" w:themeColor="text1"/>
          <w:szCs w:val="24"/>
        </w:rPr>
        <w:br/>
      </w:r>
      <w:r>
        <w:rPr>
          <w:rFonts w:eastAsia="Aptos" w:cs="Arial"/>
          <w:color w:val="1A1A1A"/>
        </w:rPr>
        <w:t xml:space="preserve">Land management practices that increase the health and resilience of natural systems, which supports their ability to buffer climate impacts and serve as a durable carbon sink (lands that absorb more carbon than they release) </w:t>
      </w:r>
      <w:r>
        <w:rPr>
          <w:color w:val="000000" w:themeColor="text1"/>
          <w:szCs w:val="24"/>
        </w:rPr>
        <w:t>(</w:t>
      </w:r>
      <w:hyperlink r:id="rId395" w:history="1">
        <w:r>
          <w:rPr>
            <w:rStyle w:val="Hyperlink"/>
            <w:szCs w:val="24"/>
          </w:rPr>
          <w:t>California Climate Adaptation Strategy, 2024</w:t>
        </w:r>
      </w:hyperlink>
      <w:r>
        <w:rPr>
          <w:color w:val="000000" w:themeColor="text1"/>
          <w:szCs w:val="24"/>
        </w:rPr>
        <w:t>).</w:t>
      </w:r>
    </w:p>
    <w:p w14:paraId="67E7D700" w14:textId="6EE907E6" w:rsidR="00A7680A" w:rsidRPr="005562C8" w:rsidRDefault="003000D9" w:rsidP="55DEB025">
      <w:pPr>
        <w:spacing w:line="240" w:lineRule="auto"/>
        <w:rPr>
          <w:color w:val="000000" w:themeColor="text1"/>
        </w:rPr>
      </w:pPr>
      <w:r w:rsidRPr="003000D9">
        <w:rPr>
          <w:b/>
          <w:bCs/>
        </w:rPr>
        <w:t>N</w:t>
      </w:r>
      <w:r w:rsidR="00A7680A" w:rsidRPr="55DEB025">
        <w:rPr>
          <w:b/>
          <w:bCs/>
          <w:color w:val="000000" w:themeColor="text1"/>
        </w:rPr>
        <w:t>onprofit Organization</w:t>
      </w:r>
      <w:r w:rsidR="00A7680A">
        <w:br/>
      </w:r>
      <w:r w:rsidR="00A7680A" w:rsidRPr="55DEB025">
        <w:rPr>
          <w:color w:val="000000" w:themeColor="text1"/>
        </w:rPr>
        <w:t>A nonprofit corporation qualified to do business in California and qualified under Section 501(c)(3) of the Internal Revenue Code (</w:t>
      </w:r>
      <w:hyperlink r:id="rId396">
        <w:r w:rsidR="00A7680A" w:rsidRPr="55DEB025">
          <w:rPr>
            <w:rStyle w:val="Hyperlink"/>
            <w:color w:val="3333FF"/>
          </w:rPr>
          <w:t>California Prop 4</w:t>
        </w:r>
      </w:hyperlink>
      <w:r w:rsidR="00A7680A" w:rsidRPr="55DEB025">
        <w:rPr>
          <w:color w:val="000000" w:themeColor="text1"/>
        </w:rPr>
        <w:t>).</w:t>
      </w:r>
    </w:p>
    <w:p w14:paraId="443011A6" w14:textId="5AD5709B" w:rsidR="00A7680A" w:rsidRPr="005562C8" w:rsidRDefault="00A7680A" w:rsidP="00233B46">
      <w:pPr>
        <w:spacing w:line="240" w:lineRule="auto"/>
        <w:rPr>
          <w:color w:val="000000" w:themeColor="text1"/>
          <w:szCs w:val="24"/>
        </w:rPr>
      </w:pPr>
      <w:r>
        <w:rPr>
          <w:b/>
          <w:bCs/>
          <w:color w:val="000000" w:themeColor="text1"/>
          <w:szCs w:val="24"/>
        </w:rPr>
        <w:t>Plan Alignment</w:t>
      </w:r>
      <w:r>
        <w:rPr>
          <w:b/>
          <w:bCs/>
          <w:color w:val="000000" w:themeColor="text1"/>
          <w:szCs w:val="24"/>
        </w:rPr>
        <w:br/>
      </w:r>
      <w:r>
        <w:rPr>
          <w:color w:val="000000" w:themeColor="text1"/>
          <w:szCs w:val="24"/>
        </w:rPr>
        <w:t xml:space="preserve">The process of leveraging connections, information, and resources to build shared language, data foundations, and processes across multiple planning efforts at any scale </w:t>
      </w:r>
      <w:r>
        <w:rPr>
          <w:rFonts w:eastAsia="Century Gothic" w:cs="Century Gothic"/>
          <w:color w:val="000000" w:themeColor="text1"/>
          <w:szCs w:val="24"/>
        </w:rPr>
        <w:t>(</w:t>
      </w:r>
      <w:hyperlink r:id="rId397" w:history="1">
        <w:r>
          <w:rPr>
            <w:rStyle w:val="Hyperlink"/>
            <w:color w:val="3333FF"/>
            <w:szCs w:val="24"/>
          </w:rPr>
          <w:t>ICARP</w:t>
        </w:r>
      </w:hyperlink>
      <w:r>
        <w:rPr>
          <w:color w:val="000000" w:themeColor="text1"/>
          <w:szCs w:val="24"/>
        </w:rPr>
        <w:t>)</w:t>
      </w:r>
      <w:r>
        <w:rPr>
          <w:rFonts w:eastAsia="Century Gothic" w:cs="Century Gothic"/>
          <w:color w:val="000000" w:themeColor="text1"/>
          <w:szCs w:val="24"/>
        </w:rPr>
        <w:t>.</w:t>
      </w:r>
    </w:p>
    <w:p w14:paraId="0321EC05" w14:textId="4839AE2A" w:rsidR="00A7680A" w:rsidRPr="005562C8" w:rsidRDefault="00A7680A" w:rsidP="00233B46">
      <w:pPr>
        <w:spacing w:line="240" w:lineRule="auto"/>
        <w:rPr>
          <w:color w:val="000000" w:themeColor="text1"/>
          <w:szCs w:val="24"/>
        </w:rPr>
      </w:pPr>
      <w:r>
        <w:rPr>
          <w:b/>
          <w:bCs/>
          <w:color w:val="000000" w:themeColor="text1"/>
          <w:szCs w:val="24"/>
        </w:rPr>
        <w:t>Planning Mechanisms</w:t>
      </w:r>
      <w:r>
        <w:rPr>
          <w:b/>
          <w:bCs/>
          <w:color w:val="000000" w:themeColor="text1"/>
          <w:szCs w:val="24"/>
        </w:rPr>
        <w:br/>
      </w:r>
      <w:r>
        <w:rPr>
          <w:color w:val="000000" w:themeColor="text1"/>
          <w:szCs w:val="24"/>
        </w:rPr>
        <w:t>Refers to the governance structures used to manage local land use development and community decision-making, such as budgets, comprehensive plans, capital improvement plans, economic development strategies or other long-range plans (</w:t>
      </w:r>
      <w:hyperlink r:id="rId398" w:history="1">
        <w:r>
          <w:rPr>
            <w:rStyle w:val="Hyperlink"/>
            <w:color w:val="3333FF"/>
            <w:szCs w:val="24"/>
          </w:rPr>
          <w:t>FEMA, 2025</w:t>
        </w:r>
      </w:hyperlink>
      <w:r>
        <w:rPr>
          <w:color w:val="000000" w:themeColor="text1"/>
          <w:szCs w:val="24"/>
        </w:rPr>
        <w:t>).</w:t>
      </w:r>
    </w:p>
    <w:p w14:paraId="47681FB5" w14:textId="66B84EF1" w:rsidR="00A7680A" w:rsidRPr="005562C8" w:rsidRDefault="00A7680A" w:rsidP="00233B46">
      <w:pPr>
        <w:spacing w:line="240" w:lineRule="auto"/>
        <w:rPr>
          <w:color w:val="000000" w:themeColor="text1"/>
          <w:szCs w:val="24"/>
        </w:rPr>
      </w:pPr>
      <w:r>
        <w:rPr>
          <w:b/>
          <w:bCs/>
          <w:color w:val="000000" w:themeColor="text1"/>
          <w:szCs w:val="24"/>
        </w:rPr>
        <w:t>Plans</w:t>
      </w:r>
      <w:r>
        <w:rPr>
          <w:b/>
          <w:bCs/>
          <w:color w:val="000000" w:themeColor="text1"/>
          <w:szCs w:val="24"/>
        </w:rPr>
        <w:br/>
      </w:r>
      <w:r>
        <w:rPr>
          <w:color w:val="000000" w:themeColor="text1"/>
          <w:szCs w:val="24"/>
        </w:rPr>
        <w:t>Investment strategies developed through a structured planning process. They are used to identify hazards, assess risks and vulnerabilities, and establish strategies (</w:t>
      </w:r>
      <w:hyperlink r:id="rId399">
        <w:r>
          <w:rPr>
            <w:rStyle w:val="Hyperlink"/>
            <w:color w:val="3333FF"/>
            <w:szCs w:val="24"/>
          </w:rPr>
          <w:t>FEMA, 2025</w:t>
        </w:r>
      </w:hyperlink>
      <w:r>
        <w:rPr>
          <w:color w:val="000000" w:themeColor="text1"/>
          <w:szCs w:val="24"/>
        </w:rPr>
        <w:t>).</w:t>
      </w:r>
    </w:p>
    <w:p w14:paraId="00953CD3" w14:textId="2AFD4573" w:rsidR="00A7680A" w:rsidRPr="005562C8" w:rsidRDefault="00A7680A" w:rsidP="00233B46">
      <w:pPr>
        <w:spacing w:line="240" w:lineRule="auto"/>
        <w:rPr>
          <w:color w:val="000000" w:themeColor="text1"/>
          <w:szCs w:val="24"/>
        </w:rPr>
      </w:pPr>
      <w:r>
        <w:rPr>
          <w:b/>
          <w:bCs/>
          <w:color w:val="000000" w:themeColor="text1"/>
          <w:szCs w:val="24"/>
        </w:rPr>
        <w:t>Probability</w:t>
      </w:r>
      <w:r>
        <w:rPr>
          <w:b/>
          <w:bCs/>
          <w:color w:val="000000" w:themeColor="text1"/>
          <w:szCs w:val="24"/>
        </w:rPr>
        <w:br/>
      </w:r>
      <w:r>
        <w:rPr>
          <w:color w:val="000000" w:themeColor="text1"/>
          <w:szCs w:val="24"/>
        </w:rPr>
        <w:t>The likelihood of hazard events occurring. Probabilities have traditionally been determined from the historic frequency of events. With changing climate and the introduction of non-climate stressors, the probability of hazard events also changes (</w:t>
      </w:r>
      <w:hyperlink r:id="rId400" w:history="1">
        <w:r>
          <w:rPr>
            <w:rStyle w:val="Hyperlink"/>
            <w:color w:val="3333FF"/>
            <w:szCs w:val="24"/>
          </w:rPr>
          <w:t>IPCC, 2022</w:t>
        </w:r>
      </w:hyperlink>
      <w:r>
        <w:rPr>
          <w:color w:val="000000" w:themeColor="text1"/>
          <w:szCs w:val="24"/>
        </w:rPr>
        <w:t>).</w:t>
      </w:r>
    </w:p>
    <w:p w14:paraId="784B1B81" w14:textId="2241A0FD" w:rsidR="00A7680A" w:rsidRPr="00DC589A" w:rsidRDefault="00A7680A" w:rsidP="00233B46">
      <w:pPr>
        <w:spacing w:line="240" w:lineRule="auto"/>
        <w:rPr>
          <w:color w:val="000000" w:themeColor="text1"/>
          <w:szCs w:val="24"/>
        </w:rPr>
      </w:pPr>
      <w:r>
        <w:rPr>
          <w:b/>
          <w:bCs/>
          <w:color w:val="000000" w:themeColor="text1"/>
          <w:szCs w:val="24"/>
        </w:rPr>
        <w:t>Procedural Equity</w:t>
      </w:r>
      <w:r>
        <w:rPr>
          <w:b/>
          <w:bCs/>
          <w:color w:val="000000" w:themeColor="text1"/>
          <w:szCs w:val="24"/>
        </w:rPr>
        <w:br/>
      </w:r>
      <w:r>
        <w:rPr>
          <w:color w:val="000000" w:themeColor="text1"/>
          <w:szCs w:val="24"/>
        </w:rPr>
        <w:t>Where vulnerable communities are empowered to influence planning and investment decisions (</w:t>
      </w:r>
      <w:hyperlink r:id="rId401" w:history="1">
        <w:r>
          <w:rPr>
            <w:rStyle w:val="Hyperlink"/>
            <w:color w:val="3333FF"/>
            <w:szCs w:val="24"/>
          </w:rPr>
          <w:t>California Climate Adaptation Strategy, 2024</w:t>
        </w:r>
      </w:hyperlink>
      <w:r>
        <w:rPr>
          <w:color w:val="000000" w:themeColor="text1"/>
          <w:szCs w:val="24"/>
        </w:rPr>
        <w:t>).</w:t>
      </w:r>
    </w:p>
    <w:p w14:paraId="746B0E2F" w14:textId="3B812D76" w:rsidR="00A7680A" w:rsidRPr="005562C8" w:rsidRDefault="00A7680A" w:rsidP="00233B46">
      <w:pPr>
        <w:spacing w:line="240" w:lineRule="auto"/>
        <w:rPr>
          <w:i/>
          <w:iCs/>
          <w:color w:val="000000" w:themeColor="text1"/>
          <w:szCs w:val="24"/>
        </w:rPr>
      </w:pPr>
      <w:r>
        <w:rPr>
          <w:b/>
          <w:bCs/>
          <w:color w:val="000000" w:themeColor="text1"/>
          <w:szCs w:val="24"/>
        </w:rPr>
        <w:t xml:space="preserve">Resilience (Climate) </w:t>
      </w:r>
      <w:r>
        <w:rPr>
          <w:b/>
          <w:bCs/>
          <w:color w:val="000000" w:themeColor="text1"/>
          <w:szCs w:val="24"/>
        </w:rPr>
        <w:br/>
      </w:r>
      <w:r>
        <w:rPr>
          <w:color w:val="000000" w:themeColor="text1"/>
          <w:szCs w:val="24"/>
        </w:rPr>
        <w:t>Describes a state of readiness to face climate risks, while adaptation refers to actions that reduce physical climate risk. Together, these concepts guide local and statewide efforts to prepare for current and future climate impacts (</w:t>
      </w:r>
      <w:hyperlink r:id="rId402" w:history="1">
        <w:r>
          <w:rPr>
            <w:rStyle w:val="Hyperlink"/>
            <w:color w:val="3333FF"/>
            <w:szCs w:val="24"/>
          </w:rPr>
          <w:t>California Climate Adaptation Strategy, 2024</w:t>
        </w:r>
      </w:hyperlink>
      <w:r>
        <w:rPr>
          <w:color w:val="000000" w:themeColor="text1"/>
          <w:szCs w:val="24"/>
        </w:rPr>
        <w:t>).</w:t>
      </w:r>
    </w:p>
    <w:p w14:paraId="4A0C2339" w14:textId="25C17DB0" w:rsidR="00A7680A" w:rsidRPr="005562C8" w:rsidRDefault="00A7680A" w:rsidP="00233B46">
      <w:pPr>
        <w:spacing w:line="240" w:lineRule="auto"/>
        <w:rPr>
          <w:color w:val="000000" w:themeColor="text1"/>
          <w:szCs w:val="24"/>
        </w:rPr>
      </w:pPr>
      <w:r>
        <w:rPr>
          <w:b/>
          <w:bCs/>
          <w:color w:val="000000" w:themeColor="text1"/>
          <w:szCs w:val="24"/>
        </w:rPr>
        <w:t xml:space="preserve">Resilience (Community) </w:t>
      </w:r>
      <w:r>
        <w:rPr>
          <w:b/>
          <w:bCs/>
          <w:color w:val="000000" w:themeColor="text1"/>
          <w:szCs w:val="24"/>
        </w:rPr>
        <w:br/>
      </w:r>
      <w:r>
        <w:rPr>
          <w:color w:val="000000" w:themeColor="text1"/>
          <w:szCs w:val="24"/>
        </w:rPr>
        <w:t>The ability of communities to withstand, recover, and to learn from past disasters to strengthen future response and recovery efforts. This can include but is not limited to physical and psychological health of the population, social and economic equity and well-being of the community, effective risk communication, integration of organizations (governmental and nongovernmental) in planning, response, recovery, and social connectedness for resource exchange, cohesion, response, and recovery (</w:t>
      </w:r>
      <w:hyperlink r:id="rId403">
        <w:r>
          <w:rPr>
            <w:rStyle w:val="Hyperlink"/>
            <w:color w:val="3333FF"/>
            <w:szCs w:val="24"/>
          </w:rPr>
          <w:t>FEMA, 2025</w:t>
        </w:r>
      </w:hyperlink>
      <w:r>
        <w:rPr>
          <w:color w:val="000000" w:themeColor="text1"/>
          <w:szCs w:val="24"/>
        </w:rPr>
        <w:t>).</w:t>
      </w:r>
    </w:p>
    <w:p w14:paraId="4EB02F2D" w14:textId="0A261436" w:rsidR="00A7680A" w:rsidRDefault="00A7680A" w:rsidP="00233B46">
      <w:pPr>
        <w:spacing w:line="240" w:lineRule="auto"/>
        <w:rPr>
          <w:i/>
          <w:iCs/>
          <w:color w:val="000000" w:themeColor="text1"/>
          <w:szCs w:val="24"/>
        </w:rPr>
      </w:pPr>
      <w:r>
        <w:rPr>
          <w:b/>
          <w:bCs/>
          <w:color w:val="000000" w:themeColor="text1"/>
          <w:szCs w:val="24"/>
        </w:rPr>
        <w:t>Risk</w:t>
      </w:r>
      <w:r>
        <w:rPr>
          <w:b/>
          <w:bCs/>
          <w:color w:val="000000" w:themeColor="text1"/>
          <w:szCs w:val="24"/>
        </w:rPr>
        <w:br/>
      </w:r>
      <w:r>
        <w:rPr>
          <w:color w:val="000000" w:themeColor="text1"/>
          <w:szCs w:val="24"/>
        </w:rPr>
        <w:t xml:space="preserve">The potential for adverse consequences of a hazard on lives, livelihoods, health and well-being, ecosystems and species, economic, social and cultural assets, services (including ecosystem services), and infrastructure (adapted from </w:t>
      </w:r>
      <w:hyperlink r:id="rId404" w:history="1">
        <w:r>
          <w:rPr>
            <w:rStyle w:val="Hyperlink"/>
            <w:color w:val="3333FF"/>
            <w:szCs w:val="24"/>
          </w:rPr>
          <w:t>IPCC</w:t>
        </w:r>
      </w:hyperlink>
      <w:r>
        <w:rPr>
          <w:color w:val="000000" w:themeColor="text1"/>
          <w:szCs w:val="24"/>
        </w:rPr>
        <w:t>).</w:t>
      </w:r>
    </w:p>
    <w:p w14:paraId="580EB9A6" w14:textId="77777777" w:rsidR="00A7680A" w:rsidRPr="005562C8" w:rsidRDefault="00A7680A" w:rsidP="00233B46">
      <w:pPr>
        <w:spacing w:line="240" w:lineRule="auto"/>
        <w:rPr>
          <w:color w:val="000000" w:themeColor="text1"/>
          <w:szCs w:val="24"/>
        </w:rPr>
      </w:pPr>
      <w:r>
        <w:rPr>
          <w:b/>
          <w:bCs/>
          <w:color w:val="000000" w:themeColor="text1"/>
          <w:szCs w:val="24"/>
        </w:rPr>
        <w:t>Sensitivity</w:t>
      </w:r>
      <w:r>
        <w:rPr>
          <w:b/>
          <w:bCs/>
          <w:color w:val="000000" w:themeColor="text1"/>
          <w:szCs w:val="24"/>
        </w:rPr>
        <w:br/>
      </w:r>
      <w:r>
        <w:rPr>
          <w:color w:val="000000" w:themeColor="text1"/>
          <w:szCs w:val="24"/>
        </w:rPr>
        <w:t>The degree to which a system is affected, either adversely or beneficially, by climate variability or change. The effect may be direct (e.g., a change in crop yield in response to a change in the mean, range or variability of temperature) or indirect (e.g., damages caused by an increase in the frequency of coastal flooding due to sea level rise) (5th Assessment placeholder)</w:t>
      </w:r>
      <w:r>
        <w:rPr>
          <w:i/>
          <w:iCs/>
          <w:color w:val="000000" w:themeColor="text1"/>
          <w:szCs w:val="24"/>
        </w:rPr>
        <w:t>.</w:t>
      </w:r>
    </w:p>
    <w:p w14:paraId="47F4E926" w14:textId="4D1CD754" w:rsidR="00A7680A" w:rsidRPr="003420D9" w:rsidRDefault="00A7680A" w:rsidP="00233B46">
      <w:pPr>
        <w:spacing w:line="240" w:lineRule="auto"/>
        <w:rPr>
          <w:color w:val="000000" w:themeColor="text1"/>
          <w:szCs w:val="24"/>
        </w:rPr>
      </w:pPr>
      <w:r>
        <w:rPr>
          <w:b/>
          <w:bCs/>
          <w:color w:val="000000" w:themeColor="text1"/>
          <w:szCs w:val="24"/>
        </w:rPr>
        <w:t>Social Vulnerability</w:t>
      </w:r>
      <w:r>
        <w:rPr>
          <w:b/>
          <w:bCs/>
          <w:color w:val="000000" w:themeColor="text1"/>
          <w:szCs w:val="24"/>
        </w:rPr>
        <w:br/>
      </w:r>
      <w:r>
        <w:rPr>
          <w:color w:val="000000" w:themeColor="text1"/>
          <w:szCs w:val="24"/>
        </w:rPr>
        <w:t>Social vulnerability (also referred to as social sensitivity) refers to the conditions that people or communities experience that can make the impacts of climate change more severe or detrimental for them. This can be measured through the socio-economic conditions that exacerbate climate impacts or influence the ability of people or communities to prepare for, respond to, and recover from climate impacts, like age, language proficiency, transportation access, and income. Also: the susceptibility of social groups to the adverse impacts of natural hazards, including disproportionate death, injury, loss, or disruption of livelihood (</w:t>
      </w:r>
      <w:hyperlink r:id="rId405" w:history="1">
        <w:r>
          <w:rPr>
            <w:rStyle w:val="Hyperlink"/>
            <w:color w:val="3333FF"/>
            <w:szCs w:val="24"/>
          </w:rPr>
          <w:t>ICARP</w:t>
        </w:r>
      </w:hyperlink>
      <w:r>
        <w:rPr>
          <w:color w:val="000000" w:themeColor="text1"/>
          <w:szCs w:val="24"/>
        </w:rPr>
        <w:t>;</w:t>
      </w:r>
      <w:r>
        <w:rPr>
          <w:i/>
          <w:iCs/>
          <w:color w:val="000000" w:themeColor="text1"/>
          <w:szCs w:val="24"/>
        </w:rPr>
        <w:t xml:space="preserve"> </w:t>
      </w:r>
      <w:hyperlink r:id="rId406" w:history="1">
        <w:r>
          <w:rPr>
            <w:rStyle w:val="Hyperlink"/>
            <w:i/>
            <w:iCs/>
            <w:color w:val="3333FF"/>
            <w:szCs w:val="24"/>
          </w:rPr>
          <w:t>2023 California State Hazard Mitigation Plan</w:t>
        </w:r>
      </w:hyperlink>
      <w:r>
        <w:rPr>
          <w:color w:val="000000" w:themeColor="text1"/>
          <w:szCs w:val="24"/>
        </w:rPr>
        <w:t>)</w:t>
      </w:r>
      <w:r>
        <w:rPr>
          <w:i/>
          <w:iCs/>
          <w:color w:val="000000" w:themeColor="text1"/>
          <w:szCs w:val="24"/>
        </w:rPr>
        <w:t>.</w:t>
      </w:r>
    </w:p>
    <w:p w14:paraId="19A13A76" w14:textId="781BC1F4" w:rsidR="00A7680A" w:rsidRPr="005562C8" w:rsidRDefault="00A7680A" w:rsidP="00233B46">
      <w:pPr>
        <w:spacing w:line="240" w:lineRule="auto"/>
        <w:rPr>
          <w:color w:val="000000" w:themeColor="text1"/>
          <w:szCs w:val="24"/>
        </w:rPr>
      </w:pPr>
      <w:r>
        <w:rPr>
          <w:b/>
          <w:bCs/>
          <w:color w:val="000000" w:themeColor="text1"/>
          <w:szCs w:val="24"/>
        </w:rPr>
        <w:t>Strategy</w:t>
      </w:r>
      <w:r>
        <w:rPr>
          <w:b/>
          <w:bCs/>
          <w:color w:val="000000" w:themeColor="text1"/>
          <w:szCs w:val="24"/>
        </w:rPr>
        <w:br/>
      </w:r>
      <w:r>
        <w:rPr>
          <w:color w:val="000000" w:themeColor="text1"/>
          <w:szCs w:val="24"/>
        </w:rPr>
        <w:t>A policy, program, project, measure, or action meant to increase resilience. What a strategy or action looks like can vary widely, depending on a community's priorities, values, assets, natural and built environment, and local government context (</w:t>
      </w:r>
      <w:hyperlink r:id="rId407">
        <w:r>
          <w:rPr>
            <w:rStyle w:val="Hyperlink"/>
            <w:color w:val="3333FF"/>
            <w:szCs w:val="24"/>
          </w:rPr>
          <w:t>FEMA, 2025</w:t>
        </w:r>
      </w:hyperlink>
      <w:r>
        <w:rPr>
          <w:color w:val="000000" w:themeColor="text1"/>
          <w:szCs w:val="24"/>
        </w:rPr>
        <w:t>).</w:t>
      </w:r>
    </w:p>
    <w:p w14:paraId="331FCDDB" w14:textId="20B69626" w:rsidR="008110E1" w:rsidRPr="008110E1" w:rsidRDefault="00A7680A" w:rsidP="008110E1">
      <w:pPr>
        <w:spacing w:before="160" w:line="240" w:lineRule="auto"/>
        <w:rPr>
          <w:rFonts w:eastAsiaTheme="minorEastAsia"/>
          <w:szCs w:val="24"/>
        </w:rPr>
      </w:pPr>
      <w:r>
        <w:rPr>
          <w:b/>
          <w:bCs/>
          <w:color w:val="000000" w:themeColor="text1"/>
          <w:szCs w:val="24"/>
        </w:rPr>
        <w:t>Vulnerability (Climate)</w:t>
      </w:r>
      <w:r>
        <w:rPr>
          <w:b/>
          <w:bCs/>
          <w:color w:val="000000" w:themeColor="text1"/>
          <w:szCs w:val="24"/>
        </w:rPr>
        <w:br/>
      </w:r>
      <w:r w:rsidR="008110E1" w:rsidRPr="008110E1">
        <w:rPr>
          <w:rFonts w:eastAsiaTheme="minorEastAsia"/>
          <w:szCs w:val="24"/>
        </w:rPr>
        <w:t>Describes the propensity or predisposition to be adversely affected. Vulnerability encompasses a variety of concepts and elements, including sensitivity or susceptibility to harm and a lack of capacity to cope with and adapt</w:t>
      </w:r>
      <w:r w:rsidR="003D52FB">
        <w:rPr>
          <w:rFonts w:eastAsiaTheme="minorEastAsia"/>
          <w:szCs w:val="24"/>
        </w:rPr>
        <w:t>ive capacity</w:t>
      </w:r>
      <w:r w:rsidR="008110E1">
        <w:rPr>
          <w:rFonts w:eastAsiaTheme="minorEastAsia"/>
          <w:szCs w:val="24"/>
        </w:rPr>
        <w:t xml:space="preserve"> </w:t>
      </w:r>
      <w:r w:rsidR="008110E1">
        <w:rPr>
          <w:color w:val="000000" w:themeColor="text1"/>
          <w:szCs w:val="24"/>
        </w:rPr>
        <w:t>(</w:t>
      </w:r>
      <w:hyperlink r:id="rId408" w:history="1">
        <w:r w:rsidR="008110E1">
          <w:rPr>
            <w:rStyle w:val="Hyperlink"/>
            <w:color w:val="3333FF"/>
            <w:szCs w:val="24"/>
          </w:rPr>
          <w:t>IPCC, 2022</w:t>
        </w:r>
      </w:hyperlink>
      <w:r w:rsidR="008110E1">
        <w:rPr>
          <w:color w:val="000000" w:themeColor="text1"/>
          <w:szCs w:val="24"/>
        </w:rPr>
        <w:t>).</w:t>
      </w:r>
      <w:r w:rsidR="008110E1">
        <w:rPr>
          <w:rFonts w:eastAsiaTheme="minorEastAsia"/>
          <w:szCs w:val="24"/>
        </w:rPr>
        <w:t xml:space="preserve"> </w:t>
      </w:r>
      <w:r w:rsidR="008110E1" w:rsidRPr="008110E1">
        <w:rPr>
          <w:rFonts w:eastAsiaTheme="minorEastAsia"/>
          <w:szCs w:val="24"/>
        </w:rPr>
        <w:t>For example, a home that has been elevated is less vulnerable to flooding than one that has not. Buried utility lines are less vulnerable to wildfire. Natural systems that are protected are less vulnerable to climate impacts than those that have been degraded.</w:t>
      </w:r>
    </w:p>
    <w:p w14:paraId="6870BF19" w14:textId="4887D3CE" w:rsidR="00A7680A" w:rsidRPr="005562C8" w:rsidRDefault="00A7680A" w:rsidP="00233B46">
      <w:pPr>
        <w:spacing w:line="240" w:lineRule="auto"/>
        <w:rPr>
          <w:color w:val="000000" w:themeColor="text1"/>
          <w:szCs w:val="24"/>
        </w:rPr>
      </w:pPr>
      <w:r>
        <w:rPr>
          <w:b/>
          <w:bCs/>
          <w:color w:val="000000" w:themeColor="text1"/>
          <w:szCs w:val="24"/>
        </w:rPr>
        <w:t xml:space="preserve">Vulnerability Assessment (Community) </w:t>
      </w:r>
      <w:r>
        <w:rPr>
          <w:b/>
          <w:bCs/>
          <w:color w:val="000000" w:themeColor="text1"/>
          <w:szCs w:val="24"/>
        </w:rPr>
        <w:br/>
      </w:r>
      <w:r>
        <w:rPr>
          <w:color w:val="000000" w:themeColor="text1"/>
          <w:szCs w:val="24"/>
        </w:rPr>
        <w:t>An analysis of how climate change may harm a community and which elements — people, buildings and structures, resources, and other assets — are most vulnerable to its effects based on an assessment of exposure, sensitivity, the potential impact(s), and the community's adaptive capacity (2020 APG).</w:t>
      </w:r>
    </w:p>
    <w:p w14:paraId="48602163" w14:textId="06A23AB4" w:rsidR="00A7680A" w:rsidRDefault="00A7680A" w:rsidP="00233B46">
      <w:pPr>
        <w:spacing w:line="240" w:lineRule="auto"/>
        <w:rPr>
          <w:color w:val="000000" w:themeColor="text1"/>
          <w:szCs w:val="24"/>
        </w:rPr>
      </w:pPr>
      <w:r>
        <w:rPr>
          <w:b/>
          <w:bCs/>
          <w:color w:val="000000" w:themeColor="text1"/>
          <w:szCs w:val="24"/>
        </w:rPr>
        <w:t>Vulnerable Communities</w:t>
      </w:r>
      <w:r>
        <w:rPr>
          <w:b/>
          <w:bCs/>
          <w:color w:val="000000" w:themeColor="text1"/>
          <w:szCs w:val="24"/>
        </w:rPr>
        <w:br/>
      </w:r>
      <w:r>
        <w:rPr>
          <w:color w:val="000000" w:themeColor="text1"/>
          <w:szCs w:val="24"/>
        </w:rPr>
        <w:t>Those that experience heightened exposure and increased sensitivity to climate change and have less capacity and fewer resources to cope with, adapt to, or recover from climate impacts. These disproportionate effects are caused by physical (built and environmental), social, political, and/or economic factors, which are exacerbated by climate impacts. These factors include, but are not limited to, race, ethnicity, class, gender, sexual orientation, national origin, income inequality, and disability (</w:t>
      </w:r>
      <w:hyperlink r:id="rId409">
        <w:r>
          <w:rPr>
            <w:rStyle w:val="Hyperlink"/>
            <w:color w:val="3333FF"/>
            <w:szCs w:val="24"/>
          </w:rPr>
          <w:t>ICARP, 2026</w:t>
        </w:r>
      </w:hyperlink>
      <w:r>
        <w:rPr>
          <w:color w:val="000000" w:themeColor="text1"/>
          <w:szCs w:val="24"/>
        </w:rPr>
        <w:t xml:space="preserve">; </w:t>
      </w:r>
      <w:hyperlink r:id="rId410">
        <w:r>
          <w:rPr>
            <w:rStyle w:val="Hyperlink"/>
            <w:color w:val="3333FF"/>
            <w:szCs w:val="24"/>
          </w:rPr>
          <w:t>California Climate Adaptation Strategy, 2024</w:t>
        </w:r>
      </w:hyperlink>
      <w:r>
        <w:rPr>
          <w:color w:val="000000" w:themeColor="text1"/>
          <w:szCs w:val="24"/>
        </w:rPr>
        <w:t>).</w:t>
      </w:r>
    </w:p>
    <w:p w14:paraId="27BF5331" w14:textId="77777777" w:rsidR="00631075" w:rsidRDefault="00631075" w:rsidP="00233B46">
      <w:pPr>
        <w:spacing w:line="240" w:lineRule="auto"/>
        <w:rPr>
          <w:color w:val="000000" w:themeColor="text1"/>
          <w:szCs w:val="24"/>
        </w:rPr>
      </w:pPr>
    </w:p>
    <w:p w14:paraId="4B09C71D" w14:textId="77777777" w:rsidR="00631075" w:rsidRDefault="00631075" w:rsidP="00233B46">
      <w:pPr>
        <w:spacing w:line="240" w:lineRule="auto"/>
        <w:rPr>
          <w:color w:val="000000" w:themeColor="text1"/>
          <w:szCs w:val="24"/>
        </w:rPr>
      </w:pPr>
    </w:p>
    <w:p w14:paraId="6CCB0F23" w14:textId="77777777" w:rsidR="00631075" w:rsidRDefault="00631075" w:rsidP="00233B46">
      <w:pPr>
        <w:spacing w:line="240" w:lineRule="auto"/>
        <w:rPr>
          <w:color w:val="000000" w:themeColor="text1"/>
          <w:szCs w:val="24"/>
        </w:rPr>
      </w:pPr>
    </w:p>
    <w:p w14:paraId="7C6CFD4C" w14:textId="77777777" w:rsidR="00631075" w:rsidRDefault="00631075" w:rsidP="00233B46">
      <w:pPr>
        <w:spacing w:line="240" w:lineRule="auto"/>
        <w:rPr>
          <w:color w:val="000000" w:themeColor="text1"/>
          <w:szCs w:val="24"/>
        </w:rPr>
      </w:pPr>
    </w:p>
    <w:p w14:paraId="70ACE1F8" w14:textId="77777777" w:rsidR="00631075" w:rsidRDefault="00631075" w:rsidP="00233B46">
      <w:pPr>
        <w:spacing w:line="240" w:lineRule="auto"/>
        <w:rPr>
          <w:color w:val="000000" w:themeColor="text1"/>
          <w:szCs w:val="24"/>
        </w:rPr>
      </w:pPr>
    </w:p>
    <w:p w14:paraId="38483CEF" w14:textId="77777777" w:rsidR="00631075" w:rsidRDefault="00631075" w:rsidP="00233B46">
      <w:pPr>
        <w:spacing w:line="240" w:lineRule="auto"/>
        <w:rPr>
          <w:color w:val="000000" w:themeColor="text1"/>
          <w:szCs w:val="24"/>
        </w:rPr>
      </w:pPr>
    </w:p>
    <w:p w14:paraId="3EDEF92F" w14:textId="77777777" w:rsidR="00631075" w:rsidRDefault="00631075" w:rsidP="00233B46">
      <w:pPr>
        <w:spacing w:line="240" w:lineRule="auto"/>
        <w:rPr>
          <w:color w:val="000000" w:themeColor="text1"/>
          <w:szCs w:val="24"/>
        </w:rPr>
      </w:pPr>
    </w:p>
    <w:p w14:paraId="01E98A8D" w14:textId="77777777" w:rsidR="00631075" w:rsidRDefault="00631075" w:rsidP="00233B46">
      <w:pPr>
        <w:spacing w:line="240" w:lineRule="auto"/>
        <w:rPr>
          <w:color w:val="000000" w:themeColor="text1"/>
          <w:szCs w:val="24"/>
        </w:rPr>
      </w:pPr>
    </w:p>
    <w:p w14:paraId="37795151" w14:textId="77777777" w:rsidR="00631075" w:rsidRDefault="00631075" w:rsidP="00233B46">
      <w:pPr>
        <w:spacing w:line="240" w:lineRule="auto"/>
        <w:rPr>
          <w:color w:val="000000" w:themeColor="text1"/>
          <w:szCs w:val="24"/>
        </w:rPr>
      </w:pPr>
    </w:p>
    <w:p w14:paraId="32462F23" w14:textId="77777777" w:rsidR="00631075" w:rsidRDefault="00631075" w:rsidP="00233B46">
      <w:pPr>
        <w:spacing w:line="240" w:lineRule="auto"/>
        <w:rPr>
          <w:color w:val="000000" w:themeColor="text1"/>
          <w:szCs w:val="24"/>
        </w:rPr>
      </w:pPr>
    </w:p>
    <w:p w14:paraId="57BF9B1C" w14:textId="77777777" w:rsidR="00631075" w:rsidRDefault="00631075" w:rsidP="00233B46">
      <w:pPr>
        <w:spacing w:line="240" w:lineRule="auto"/>
        <w:rPr>
          <w:color w:val="000000" w:themeColor="text1"/>
          <w:szCs w:val="24"/>
        </w:rPr>
      </w:pPr>
    </w:p>
    <w:p w14:paraId="4F4D9039" w14:textId="77777777" w:rsidR="00631075" w:rsidRDefault="00631075" w:rsidP="00233B46">
      <w:pPr>
        <w:spacing w:line="240" w:lineRule="auto"/>
        <w:rPr>
          <w:color w:val="000000" w:themeColor="text1"/>
          <w:szCs w:val="24"/>
        </w:rPr>
      </w:pPr>
    </w:p>
    <w:p w14:paraId="79119476" w14:textId="77777777" w:rsidR="00631075" w:rsidRDefault="00631075" w:rsidP="00233B46">
      <w:pPr>
        <w:spacing w:line="240" w:lineRule="auto"/>
        <w:rPr>
          <w:color w:val="000000" w:themeColor="text1"/>
          <w:szCs w:val="24"/>
        </w:rPr>
      </w:pPr>
    </w:p>
    <w:p w14:paraId="22702EAE" w14:textId="77777777" w:rsidR="00631075" w:rsidRDefault="00631075" w:rsidP="00233B46">
      <w:pPr>
        <w:spacing w:line="240" w:lineRule="auto"/>
        <w:rPr>
          <w:color w:val="000000" w:themeColor="text1"/>
          <w:szCs w:val="24"/>
        </w:rPr>
      </w:pPr>
    </w:p>
    <w:p w14:paraId="6B8DD0DC" w14:textId="77777777" w:rsidR="00631075" w:rsidRDefault="00631075" w:rsidP="00233B46">
      <w:pPr>
        <w:spacing w:line="240" w:lineRule="auto"/>
        <w:rPr>
          <w:color w:val="000000" w:themeColor="text1"/>
          <w:szCs w:val="24"/>
        </w:rPr>
      </w:pPr>
    </w:p>
    <w:p w14:paraId="6E1AA2DC" w14:textId="77777777" w:rsidR="00631075" w:rsidRDefault="00631075" w:rsidP="00233B46">
      <w:pPr>
        <w:spacing w:line="240" w:lineRule="auto"/>
        <w:rPr>
          <w:color w:val="000000" w:themeColor="text1"/>
          <w:szCs w:val="24"/>
        </w:rPr>
      </w:pPr>
    </w:p>
    <w:p w14:paraId="4E2C723A" w14:textId="77777777" w:rsidR="00631075" w:rsidRDefault="00631075" w:rsidP="00233B46">
      <w:pPr>
        <w:spacing w:line="240" w:lineRule="auto"/>
        <w:rPr>
          <w:color w:val="000000" w:themeColor="text1"/>
          <w:szCs w:val="24"/>
        </w:rPr>
      </w:pPr>
    </w:p>
    <w:p w14:paraId="4971451C" w14:textId="77777777" w:rsidR="00C55517" w:rsidRDefault="00C55517" w:rsidP="00C55517">
      <w:pPr>
        <w:pStyle w:val="Heading1"/>
      </w:pPr>
      <w:bookmarkStart w:id="281" w:name="_Toc235802772"/>
      <w:r>
        <w:t>ACRONYMS</w:t>
      </w:r>
      <w:bookmarkEnd w:id="281"/>
    </w:p>
    <w:tbl>
      <w:tblPr>
        <w:tblStyle w:val="TableGrid"/>
        <w:tblW w:w="9445" w:type="dxa"/>
        <w:tblLook w:val="04A0" w:firstRow="1" w:lastRow="0" w:firstColumn="1" w:lastColumn="0" w:noHBand="0" w:noVBand="1"/>
      </w:tblPr>
      <w:tblGrid>
        <w:gridCol w:w="2065"/>
        <w:gridCol w:w="7380"/>
      </w:tblGrid>
      <w:tr w:rsidR="00C55517" w14:paraId="4A49CA12" w14:textId="77777777">
        <w:trPr>
          <w:tblHeader/>
        </w:trPr>
        <w:tc>
          <w:tcPr>
            <w:tcW w:w="2065" w:type="dxa"/>
            <w:shd w:val="clear" w:color="auto" w:fill="000000" w:themeFill="text1"/>
          </w:tcPr>
          <w:p w14:paraId="19751B11" w14:textId="77777777" w:rsidR="00C55517" w:rsidRPr="005627A0" w:rsidRDefault="00C55517">
            <w:pPr>
              <w:rPr>
                <w:b/>
                <w:bCs/>
              </w:rPr>
            </w:pPr>
            <w:r>
              <w:rPr>
                <w:b/>
                <w:bCs/>
              </w:rPr>
              <w:t>Acronym</w:t>
            </w:r>
          </w:p>
        </w:tc>
        <w:tc>
          <w:tcPr>
            <w:tcW w:w="7380" w:type="dxa"/>
            <w:shd w:val="clear" w:color="auto" w:fill="000000" w:themeFill="text1"/>
          </w:tcPr>
          <w:p w14:paraId="3C9C1120" w14:textId="77777777" w:rsidR="00C55517" w:rsidRPr="005627A0" w:rsidRDefault="00C55517">
            <w:pPr>
              <w:rPr>
                <w:b/>
                <w:bCs/>
              </w:rPr>
            </w:pPr>
            <w:r>
              <w:rPr>
                <w:b/>
                <w:bCs/>
              </w:rPr>
              <w:t>Definition</w:t>
            </w:r>
          </w:p>
        </w:tc>
      </w:tr>
      <w:tr w:rsidR="00C55517" w14:paraId="10BD3938" w14:textId="77777777">
        <w:tc>
          <w:tcPr>
            <w:tcW w:w="2065" w:type="dxa"/>
            <w:vAlign w:val="center"/>
          </w:tcPr>
          <w:p w14:paraId="0BD9FF64" w14:textId="77777777" w:rsidR="00C55517" w:rsidRDefault="00C55517">
            <w:r>
              <w:t>AB</w:t>
            </w:r>
          </w:p>
        </w:tc>
        <w:tc>
          <w:tcPr>
            <w:tcW w:w="7380" w:type="dxa"/>
          </w:tcPr>
          <w:p w14:paraId="4527538E" w14:textId="77777777" w:rsidR="00C55517" w:rsidRDefault="00C55517">
            <w:r>
              <w:t>Assembly Bill</w:t>
            </w:r>
          </w:p>
        </w:tc>
      </w:tr>
      <w:tr w:rsidR="00C55517" w14:paraId="3AC83491" w14:textId="77777777">
        <w:tc>
          <w:tcPr>
            <w:tcW w:w="2065" w:type="dxa"/>
            <w:shd w:val="clear" w:color="auto" w:fill="D9D9D9" w:themeFill="background1" w:themeFillShade="D9"/>
            <w:vAlign w:val="center"/>
          </w:tcPr>
          <w:p w14:paraId="4648C986" w14:textId="77777777" w:rsidR="00C55517" w:rsidRDefault="00C55517">
            <w:r>
              <w:t>ABAG</w:t>
            </w:r>
          </w:p>
        </w:tc>
        <w:tc>
          <w:tcPr>
            <w:tcW w:w="7380" w:type="dxa"/>
            <w:shd w:val="clear" w:color="auto" w:fill="D9D9D9" w:themeFill="background1" w:themeFillShade="D9"/>
          </w:tcPr>
          <w:p w14:paraId="7167EBA6" w14:textId="77777777" w:rsidR="00C55517" w:rsidRDefault="00C55517">
            <w:r>
              <w:t>Association of Bay Area Governments</w:t>
            </w:r>
          </w:p>
        </w:tc>
      </w:tr>
      <w:tr w:rsidR="00C55517" w14:paraId="6A9AB56C" w14:textId="77777777">
        <w:tc>
          <w:tcPr>
            <w:tcW w:w="2065" w:type="dxa"/>
            <w:vAlign w:val="center"/>
          </w:tcPr>
          <w:p w14:paraId="2D9582DB" w14:textId="77777777" w:rsidR="00C55517" w:rsidRDefault="00C55517">
            <w:r>
              <w:t>Adapt-CA</w:t>
            </w:r>
          </w:p>
        </w:tc>
        <w:tc>
          <w:tcPr>
            <w:tcW w:w="7380" w:type="dxa"/>
          </w:tcPr>
          <w:p w14:paraId="5BC9DFC7" w14:textId="77777777" w:rsidR="00C55517" w:rsidRDefault="00C55517">
            <w:r>
              <w:t>Adaptation Capability Advancement Toolkit</w:t>
            </w:r>
          </w:p>
        </w:tc>
      </w:tr>
      <w:tr w:rsidR="00C55517" w14:paraId="4A15884C" w14:textId="77777777">
        <w:tc>
          <w:tcPr>
            <w:tcW w:w="2065" w:type="dxa"/>
            <w:vAlign w:val="center"/>
          </w:tcPr>
          <w:p w14:paraId="4C2EF229" w14:textId="77777777" w:rsidR="00C55517" w:rsidRDefault="00C55517">
            <w:r>
              <w:t>AFN</w:t>
            </w:r>
          </w:p>
        </w:tc>
        <w:tc>
          <w:tcPr>
            <w:tcW w:w="7380" w:type="dxa"/>
          </w:tcPr>
          <w:p w14:paraId="400CE763" w14:textId="77777777" w:rsidR="00C55517" w:rsidRDefault="00C55517">
            <w:r>
              <w:t>Access and Functional Needs</w:t>
            </w:r>
          </w:p>
        </w:tc>
      </w:tr>
      <w:tr w:rsidR="00C55517" w14:paraId="3AB2CF8A" w14:textId="77777777">
        <w:tc>
          <w:tcPr>
            <w:tcW w:w="2065" w:type="dxa"/>
            <w:shd w:val="clear" w:color="auto" w:fill="D9D9D9" w:themeFill="background1" w:themeFillShade="D9"/>
            <w:vAlign w:val="center"/>
          </w:tcPr>
          <w:p w14:paraId="371AA274" w14:textId="77777777" w:rsidR="00C55517" w:rsidRDefault="00C55517">
            <w:r>
              <w:t>APG</w:t>
            </w:r>
          </w:p>
        </w:tc>
        <w:tc>
          <w:tcPr>
            <w:tcW w:w="7380" w:type="dxa"/>
            <w:shd w:val="clear" w:color="auto" w:fill="D9D9D9" w:themeFill="background1" w:themeFillShade="D9"/>
          </w:tcPr>
          <w:p w14:paraId="13D703A0" w14:textId="77777777" w:rsidR="00C55517" w:rsidRDefault="00C55517">
            <w:r>
              <w:t>Adaptation Planning Guide</w:t>
            </w:r>
          </w:p>
        </w:tc>
      </w:tr>
      <w:tr w:rsidR="00C55517" w14:paraId="49B72049" w14:textId="77777777">
        <w:tc>
          <w:tcPr>
            <w:tcW w:w="2065" w:type="dxa"/>
            <w:vAlign w:val="center"/>
          </w:tcPr>
          <w:p w14:paraId="78D0C6BC" w14:textId="77777777" w:rsidR="00C55517" w:rsidRDefault="00C55517">
            <w:r>
              <w:t>ASL</w:t>
            </w:r>
          </w:p>
        </w:tc>
        <w:tc>
          <w:tcPr>
            <w:tcW w:w="7380" w:type="dxa"/>
          </w:tcPr>
          <w:p w14:paraId="7C64FFD2" w14:textId="77777777" w:rsidR="00C55517" w:rsidRDefault="00C55517">
            <w:r>
              <w:t>American Sign Language</w:t>
            </w:r>
          </w:p>
        </w:tc>
      </w:tr>
      <w:tr w:rsidR="00C55517" w14:paraId="266FABEE" w14:textId="77777777">
        <w:tc>
          <w:tcPr>
            <w:tcW w:w="2065" w:type="dxa"/>
            <w:vAlign w:val="center"/>
          </w:tcPr>
          <w:p w14:paraId="115E7A3F" w14:textId="77777777" w:rsidR="00C55517" w:rsidRDefault="00C55517">
            <w:r>
              <w:t>BCDC</w:t>
            </w:r>
          </w:p>
        </w:tc>
        <w:tc>
          <w:tcPr>
            <w:tcW w:w="7380" w:type="dxa"/>
          </w:tcPr>
          <w:p w14:paraId="708481AD" w14:textId="77777777" w:rsidR="00C55517" w:rsidRDefault="00C55517">
            <w:r>
              <w:t>San Francisco Bay Conservation and Development Commission</w:t>
            </w:r>
          </w:p>
        </w:tc>
      </w:tr>
      <w:tr w:rsidR="00C55517" w14:paraId="515DCE3B" w14:textId="77777777">
        <w:tc>
          <w:tcPr>
            <w:tcW w:w="2065" w:type="dxa"/>
            <w:shd w:val="clear" w:color="auto" w:fill="D9D9D9" w:themeFill="background1" w:themeFillShade="D9"/>
            <w:vAlign w:val="center"/>
          </w:tcPr>
          <w:p w14:paraId="25239A76" w14:textId="77777777" w:rsidR="00C55517" w:rsidRDefault="00C55517">
            <w:r>
              <w:t>BCM</w:t>
            </w:r>
          </w:p>
        </w:tc>
        <w:tc>
          <w:tcPr>
            <w:tcW w:w="7380" w:type="dxa"/>
            <w:shd w:val="clear" w:color="auto" w:fill="D9D9D9" w:themeFill="background1" w:themeFillShade="D9"/>
          </w:tcPr>
          <w:p w14:paraId="61E961E7" w14:textId="77777777" w:rsidR="00C55517" w:rsidRDefault="00C55517">
            <w:r>
              <w:t>Basin Characterization Model</w:t>
            </w:r>
          </w:p>
        </w:tc>
      </w:tr>
      <w:tr w:rsidR="00C55517" w14:paraId="1779D855" w14:textId="77777777">
        <w:tc>
          <w:tcPr>
            <w:tcW w:w="2065" w:type="dxa"/>
            <w:vAlign w:val="center"/>
          </w:tcPr>
          <w:p w14:paraId="16BD9C2E" w14:textId="77777777" w:rsidR="00C55517" w:rsidRDefault="00C55517">
            <w:r>
              <w:t>BMI</w:t>
            </w:r>
          </w:p>
        </w:tc>
        <w:tc>
          <w:tcPr>
            <w:tcW w:w="7380" w:type="dxa"/>
          </w:tcPr>
          <w:p w14:paraId="031D5606" w14:textId="77777777" w:rsidR="00C55517" w:rsidRDefault="00C55517">
            <w:r>
              <w:t>Body Mass Index</w:t>
            </w:r>
          </w:p>
        </w:tc>
      </w:tr>
      <w:tr w:rsidR="00C55517" w14:paraId="3CA2FC01" w14:textId="77777777">
        <w:tc>
          <w:tcPr>
            <w:tcW w:w="2065" w:type="dxa"/>
            <w:shd w:val="clear" w:color="auto" w:fill="D9D9D9" w:themeFill="background1" w:themeFillShade="D9"/>
            <w:vAlign w:val="center"/>
          </w:tcPr>
          <w:p w14:paraId="386CF88B" w14:textId="77777777" w:rsidR="00C55517" w:rsidRDefault="00C55517">
            <w:r>
              <w:t>CA</w:t>
            </w:r>
          </w:p>
        </w:tc>
        <w:tc>
          <w:tcPr>
            <w:tcW w:w="7380" w:type="dxa"/>
            <w:shd w:val="clear" w:color="auto" w:fill="D9D9D9" w:themeFill="background1" w:themeFillShade="D9"/>
          </w:tcPr>
          <w:p w14:paraId="4787B7CD" w14:textId="77777777" w:rsidR="00C55517" w:rsidRDefault="00C55517">
            <w:r>
              <w:t>California</w:t>
            </w:r>
          </w:p>
        </w:tc>
      </w:tr>
      <w:tr w:rsidR="00C55517" w14:paraId="26D69F53" w14:textId="77777777">
        <w:tc>
          <w:tcPr>
            <w:tcW w:w="2065" w:type="dxa"/>
            <w:shd w:val="clear" w:color="auto" w:fill="D9D9D9" w:themeFill="background1" w:themeFillShade="D9"/>
            <w:vAlign w:val="center"/>
          </w:tcPr>
          <w:p w14:paraId="53AA859C" w14:textId="77777777" w:rsidR="00C55517" w:rsidRDefault="00C55517">
            <w:r>
              <w:t>CAC</w:t>
            </w:r>
          </w:p>
        </w:tc>
        <w:tc>
          <w:tcPr>
            <w:tcW w:w="7380" w:type="dxa"/>
            <w:shd w:val="clear" w:color="auto" w:fill="D9D9D9" w:themeFill="background1" w:themeFillShade="D9"/>
          </w:tcPr>
          <w:p w14:paraId="4FD483F1" w14:textId="77777777" w:rsidR="00C55517" w:rsidRDefault="00C55517">
            <w:r>
              <w:t>Community Advisory Committee</w:t>
            </w:r>
          </w:p>
        </w:tc>
      </w:tr>
      <w:tr w:rsidR="00C55517" w14:paraId="2D66F161" w14:textId="77777777">
        <w:tc>
          <w:tcPr>
            <w:tcW w:w="2065" w:type="dxa"/>
            <w:vAlign w:val="center"/>
          </w:tcPr>
          <w:p w14:paraId="12AB06C7" w14:textId="77777777" w:rsidR="00C55517" w:rsidRDefault="00C55517">
            <w:r>
              <w:t>CAL FIRE</w:t>
            </w:r>
          </w:p>
        </w:tc>
        <w:tc>
          <w:tcPr>
            <w:tcW w:w="7380" w:type="dxa"/>
          </w:tcPr>
          <w:p w14:paraId="462FA8AE" w14:textId="77777777" w:rsidR="00C55517" w:rsidRDefault="00C55517">
            <w:r>
              <w:t>California Department of Forestry and Fire Protection</w:t>
            </w:r>
          </w:p>
        </w:tc>
      </w:tr>
      <w:tr w:rsidR="00C55517" w14:paraId="1CBDD2EC" w14:textId="77777777">
        <w:tc>
          <w:tcPr>
            <w:tcW w:w="2065" w:type="dxa"/>
            <w:shd w:val="clear" w:color="auto" w:fill="D9D9D9" w:themeFill="background1" w:themeFillShade="D9"/>
            <w:vAlign w:val="center"/>
          </w:tcPr>
          <w:p w14:paraId="6146EBBB" w14:textId="77777777" w:rsidR="00C55517" w:rsidRDefault="00C55517">
            <w:r>
              <w:t>Cal OES</w:t>
            </w:r>
          </w:p>
        </w:tc>
        <w:tc>
          <w:tcPr>
            <w:tcW w:w="7380" w:type="dxa"/>
            <w:shd w:val="clear" w:color="auto" w:fill="D9D9D9" w:themeFill="background1" w:themeFillShade="D9"/>
          </w:tcPr>
          <w:p w14:paraId="78CE486F" w14:textId="77777777" w:rsidR="00C55517" w:rsidRDefault="00C55517">
            <w:r>
              <w:t>California Governor’s Office of Emergency Services</w:t>
            </w:r>
          </w:p>
        </w:tc>
      </w:tr>
      <w:tr w:rsidR="00C55517" w14:paraId="4D0A28D6" w14:textId="77777777">
        <w:tc>
          <w:tcPr>
            <w:tcW w:w="2065" w:type="dxa"/>
            <w:vAlign w:val="center"/>
          </w:tcPr>
          <w:p w14:paraId="3951604E" w14:textId="77777777" w:rsidR="00C55517" w:rsidRDefault="00C55517">
            <w:r>
              <w:t>CAP/CAAP</w:t>
            </w:r>
          </w:p>
        </w:tc>
        <w:tc>
          <w:tcPr>
            <w:tcW w:w="7380" w:type="dxa"/>
          </w:tcPr>
          <w:p w14:paraId="01E86F80" w14:textId="77777777" w:rsidR="00C55517" w:rsidRDefault="00C55517">
            <w:r>
              <w:t>Climate Action and/or Adaptation Plan</w:t>
            </w:r>
          </w:p>
        </w:tc>
      </w:tr>
      <w:tr w:rsidR="00C55517" w14:paraId="1FF94BEF" w14:textId="77777777">
        <w:tc>
          <w:tcPr>
            <w:tcW w:w="2065" w:type="dxa"/>
            <w:shd w:val="clear" w:color="auto" w:fill="D9D9D9" w:themeFill="background1" w:themeFillShade="D9"/>
            <w:vAlign w:val="center"/>
          </w:tcPr>
          <w:p w14:paraId="19CD8173" w14:textId="77777777" w:rsidR="00C55517" w:rsidRDefault="00C55517">
            <w:r>
              <w:t>CBO</w:t>
            </w:r>
          </w:p>
        </w:tc>
        <w:tc>
          <w:tcPr>
            <w:tcW w:w="7380" w:type="dxa"/>
            <w:shd w:val="clear" w:color="auto" w:fill="D9D9D9" w:themeFill="background1" w:themeFillShade="D9"/>
          </w:tcPr>
          <w:p w14:paraId="7BEBCBE0" w14:textId="77777777" w:rsidR="00C55517" w:rsidRDefault="00C55517">
            <w:r>
              <w:t>Community-based organization</w:t>
            </w:r>
          </w:p>
        </w:tc>
      </w:tr>
      <w:tr w:rsidR="00C55517" w14:paraId="38C66BD0" w14:textId="77777777">
        <w:tc>
          <w:tcPr>
            <w:tcW w:w="2065" w:type="dxa"/>
            <w:vAlign w:val="center"/>
          </w:tcPr>
          <w:p w14:paraId="39E2D788" w14:textId="77777777" w:rsidR="00C55517" w:rsidRDefault="00C55517">
            <w:r>
              <w:t>CDAA</w:t>
            </w:r>
          </w:p>
        </w:tc>
        <w:tc>
          <w:tcPr>
            <w:tcW w:w="7380" w:type="dxa"/>
          </w:tcPr>
          <w:p w14:paraId="4E734FBA" w14:textId="77777777" w:rsidR="00C55517" w:rsidRDefault="00C55517">
            <w:r>
              <w:t>California Disaster Assistance Act</w:t>
            </w:r>
          </w:p>
        </w:tc>
      </w:tr>
      <w:tr w:rsidR="00C55517" w14:paraId="22E7E008" w14:textId="77777777">
        <w:tc>
          <w:tcPr>
            <w:tcW w:w="2065" w:type="dxa"/>
            <w:shd w:val="clear" w:color="auto" w:fill="D9D9D9" w:themeFill="background1" w:themeFillShade="D9"/>
            <w:vAlign w:val="center"/>
          </w:tcPr>
          <w:p w14:paraId="2F22CADA" w14:textId="77777777" w:rsidR="00C55517" w:rsidRDefault="00C55517">
            <w:r>
              <w:t>CEQA</w:t>
            </w:r>
          </w:p>
        </w:tc>
        <w:tc>
          <w:tcPr>
            <w:tcW w:w="7380" w:type="dxa"/>
            <w:shd w:val="clear" w:color="auto" w:fill="D9D9D9" w:themeFill="background1" w:themeFillShade="D9"/>
          </w:tcPr>
          <w:p w14:paraId="64CCE130" w14:textId="77777777" w:rsidR="00C55517" w:rsidRDefault="00C55517">
            <w:r>
              <w:t>California Environmental Quality Act</w:t>
            </w:r>
          </w:p>
        </w:tc>
      </w:tr>
      <w:tr w:rsidR="00C55517" w14:paraId="152FED44" w14:textId="77777777">
        <w:tc>
          <w:tcPr>
            <w:tcW w:w="2065" w:type="dxa"/>
            <w:vAlign w:val="center"/>
          </w:tcPr>
          <w:p w14:paraId="348A5478" w14:textId="77777777" w:rsidR="00C55517" w:rsidRDefault="00C55517">
            <w:r>
              <w:t>CFR</w:t>
            </w:r>
          </w:p>
        </w:tc>
        <w:tc>
          <w:tcPr>
            <w:tcW w:w="7380" w:type="dxa"/>
          </w:tcPr>
          <w:p w14:paraId="39D756F6" w14:textId="77777777" w:rsidR="00C55517" w:rsidRDefault="00C55517">
            <w:r>
              <w:t>Code of Federal Regulations</w:t>
            </w:r>
          </w:p>
        </w:tc>
      </w:tr>
      <w:tr w:rsidR="00C55517" w14:paraId="70C43824" w14:textId="77777777">
        <w:tc>
          <w:tcPr>
            <w:tcW w:w="2065" w:type="dxa"/>
            <w:shd w:val="clear" w:color="auto" w:fill="D9D9D9" w:themeFill="background1" w:themeFillShade="D9"/>
            <w:vAlign w:val="center"/>
          </w:tcPr>
          <w:p w14:paraId="6AAE11A2" w14:textId="77777777" w:rsidR="00C55517" w:rsidRDefault="00C55517">
            <w:r>
              <w:t>CGS</w:t>
            </w:r>
          </w:p>
        </w:tc>
        <w:tc>
          <w:tcPr>
            <w:tcW w:w="7380" w:type="dxa"/>
            <w:shd w:val="clear" w:color="auto" w:fill="D9D9D9" w:themeFill="background1" w:themeFillShade="D9"/>
          </w:tcPr>
          <w:p w14:paraId="32E75C14" w14:textId="77777777" w:rsidR="00C55517" w:rsidRDefault="00C55517">
            <w:r>
              <w:t>California Geological Survey</w:t>
            </w:r>
          </w:p>
        </w:tc>
      </w:tr>
      <w:tr w:rsidR="00C55517" w14:paraId="5EB159EB" w14:textId="77777777">
        <w:tc>
          <w:tcPr>
            <w:tcW w:w="2065" w:type="dxa"/>
            <w:vAlign w:val="center"/>
          </w:tcPr>
          <w:p w14:paraId="32AAA4DB" w14:textId="77777777" w:rsidR="00C55517" w:rsidRDefault="00C55517">
            <w:r>
              <w:t>CHA</w:t>
            </w:r>
          </w:p>
        </w:tc>
        <w:tc>
          <w:tcPr>
            <w:tcW w:w="7380" w:type="dxa"/>
          </w:tcPr>
          <w:p w14:paraId="57832F10" w14:textId="77777777" w:rsidR="00C55517" w:rsidRDefault="00C55517">
            <w:r>
              <w:t>Community Health Assessment</w:t>
            </w:r>
          </w:p>
        </w:tc>
      </w:tr>
      <w:tr w:rsidR="00C55517" w14:paraId="6BC5B487" w14:textId="77777777">
        <w:tc>
          <w:tcPr>
            <w:tcW w:w="2065" w:type="dxa"/>
            <w:shd w:val="clear" w:color="auto" w:fill="D9D9D9" w:themeFill="background1" w:themeFillShade="D9"/>
            <w:vAlign w:val="center"/>
          </w:tcPr>
          <w:p w14:paraId="54D375CB" w14:textId="77777777" w:rsidR="00C55517" w:rsidRDefault="00C55517">
            <w:r>
              <w:t>CHAT</w:t>
            </w:r>
          </w:p>
        </w:tc>
        <w:tc>
          <w:tcPr>
            <w:tcW w:w="7380" w:type="dxa"/>
            <w:shd w:val="clear" w:color="auto" w:fill="D9D9D9" w:themeFill="background1" w:themeFillShade="D9"/>
          </w:tcPr>
          <w:p w14:paraId="4F5ADC63" w14:textId="77777777" w:rsidR="00C55517" w:rsidRDefault="00C55517">
            <w:r>
              <w:t>California Heat Assessment Tool</w:t>
            </w:r>
          </w:p>
        </w:tc>
      </w:tr>
      <w:tr w:rsidR="00C55517" w14:paraId="25EB998A" w14:textId="77777777">
        <w:tc>
          <w:tcPr>
            <w:tcW w:w="2065" w:type="dxa"/>
            <w:vAlign w:val="center"/>
          </w:tcPr>
          <w:p w14:paraId="1AAB94D5" w14:textId="77777777" w:rsidR="00C55517" w:rsidRDefault="00C55517">
            <w:r>
              <w:t>CHIP</w:t>
            </w:r>
          </w:p>
        </w:tc>
        <w:tc>
          <w:tcPr>
            <w:tcW w:w="7380" w:type="dxa"/>
          </w:tcPr>
          <w:p w14:paraId="43797789" w14:textId="77777777" w:rsidR="00C55517" w:rsidRDefault="00C55517">
            <w:r>
              <w:t>Community Health Improvement Plan</w:t>
            </w:r>
          </w:p>
        </w:tc>
      </w:tr>
      <w:tr w:rsidR="00C55517" w14:paraId="037C5256" w14:textId="77777777">
        <w:tc>
          <w:tcPr>
            <w:tcW w:w="2065" w:type="dxa"/>
            <w:shd w:val="clear" w:color="auto" w:fill="D9D9D9" w:themeFill="background1" w:themeFillShade="D9"/>
            <w:vAlign w:val="center"/>
          </w:tcPr>
          <w:p w14:paraId="5A6E03A5" w14:textId="77777777" w:rsidR="00C55517" w:rsidRDefault="00C55517">
            <w:r>
              <w:t>CIP</w:t>
            </w:r>
          </w:p>
        </w:tc>
        <w:tc>
          <w:tcPr>
            <w:tcW w:w="7380" w:type="dxa"/>
            <w:shd w:val="clear" w:color="auto" w:fill="D9D9D9" w:themeFill="background1" w:themeFillShade="D9"/>
          </w:tcPr>
          <w:p w14:paraId="498EB9D7" w14:textId="77777777" w:rsidR="00C55517" w:rsidRDefault="00C55517">
            <w:r>
              <w:t>Capital Improvement Plan</w:t>
            </w:r>
          </w:p>
        </w:tc>
      </w:tr>
      <w:tr w:rsidR="00C55517" w14:paraId="45CD4D26" w14:textId="77777777">
        <w:tc>
          <w:tcPr>
            <w:tcW w:w="2065" w:type="dxa"/>
            <w:vAlign w:val="center"/>
          </w:tcPr>
          <w:p w14:paraId="536F6FED" w14:textId="77777777" w:rsidR="00C55517" w:rsidRDefault="00C55517">
            <w:proofErr w:type="spellStart"/>
            <w:r>
              <w:t>ClimRR</w:t>
            </w:r>
            <w:proofErr w:type="spellEnd"/>
          </w:p>
        </w:tc>
        <w:tc>
          <w:tcPr>
            <w:tcW w:w="7380" w:type="dxa"/>
          </w:tcPr>
          <w:p w14:paraId="7525CA42" w14:textId="77777777" w:rsidR="00C55517" w:rsidRDefault="00C55517">
            <w:r>
              <w:t>Climate Risk and Resilience [Portal]</w:t>
            </w:r>
          </w:p>
        </w:tc>
      </w:tr>
      <w:tr w:rsidR="00C55517" w14:paraId="44A6AD81" w14:textId="77777777">
        <w:tc>
          <w:tcPr>
            <w:tcW w:w="2065" w:type="dxa"/>
            <w:shd w:val="clear" w:color="auto" w:fill="D9D9D9" w:themeFill="background1" w:themeFillShade="D9"/>
            <w:vAlign w:val="center"/>
          </w:tcPr>
          <w:p w14:paraId="7015785A" w14:textId="77777777" w:rsidR="00C55517" w:rsidRDefault="00C55517">
            <w:r>
              <w:t>CMRA</w:t>
            </w:r>
          </w:p>
        </w:tc>
        <w:tc>
          <w:tcPr>
            <w:tcW w:w="7380" w:type="dxa"/>
            <w:shd w:val="clear" w:color="auto" w:fill="D9D9D9" w:themeFill="background1" w:themeFillShade="D9"/>
          </w:tcPr>
          <w:p w14:paraId="02B714D4" w14:textId="77777777" w:rsidR="00C55517" w:rsidRDefault="00C55517">
            <w:r>
              <w:t>Climate Mapping for Resilience and Adaptation</w:t>
            </w:r>
          </w:p>
        </w:tc>
      </w:tr>
      <w:tr w:rsidR="00C55517" w14:paraId="245F29CF" w14:textId="77777777">
        <w:tc>
          <w:tcPr>
            <w:tcW w:w="2065" w:type="dxa"/>
            <w:vAlign w:val="center"/>
          </w:tcPr>
          <w:p w14:paraId="495B1950" w14:textId="77777777" w:rsidR="00C55517" w:rsidRDefault="00C55517">
            <w:r>
              <w:t>CNRA</w:t>
            </w:r>
          </w:p>
        </w:tc>
        <w:tc>
          <w:tcPr>
            <w:tcW w:w="7380" w:type="dxa"/>
          </w:tcPr>
          <w:p w14:paraId="46E6EEAC" w14:textId="77777777" w:rsidR="00C55517" w:rsidRDefault="00C55517">
            <w:r>
              <w:t>California Natural Resources Agency</w:t>
            </w:r>
          </w:p>
        </w:tc>
      </w:tr>
      <w:tr w:rsidR="00C55517" w14:paraId="7963F803" w14:textId="77777777">
        <w:tc>
          <w:tcPr>
            <w:tcW w:w="2065" w:type="dxa"/>
            <w:shd w:val="clear" w:color="auto" w:fill="D9D9D9" w:themeFill="background1" w:themeFillShade="D9"/>
            <w:vAlign w:val="center"/>
          </w:tcPr>
          <w:p w14:paraId="71D39E32" w14:textId="77777777" w:rsidR="00C55517" w:rsidRDefault="00C55517">
            <w:r>
              <w:t>COG</w:t>
            </w:r>
          </w:p>
        </w:tc>
        <w:tc>
          <w:tcPr>
            <w:tcW w:w="7380" w:type="dxa"/>
            <w:shd w:val="clear" w:color="auto" w:fill="D9D9D9" w:themeFill="background1" w:themeFillShade="D9"/>
          </w:tcPr>
          <w:p w14:paraId="5E68E69D" w14:textId="77777777" w:rsidR="00C55517" w:rsidRDefault="00C55517">
            <w:r>
              <w:t>Council of Governments</w:t>
            </w:r>
          </w:p>
        </w:tc>
      </w:tr>
      <w:tr w:rsidR="00C55517" w14:paraId="3CBE1EB7" w14:textId="77777777">
        <w:tc>
          <w:tcPr>
            <w:tcW w:w="2065" w:type="dxa"/>
            <w:vAlign w:val="center"/>
          </w:tcPr>
          <w:p w14:paraId="0B2E8946" w14:textId="77777777" w:rsidR="00C55517" w:rsidRDefault="00C55517">
            <w:r>
              <w:t>COPD</w:t>
            </w:r>
          </w:p>
        </w:tc>
        <w:tc>
          <w:tcPr>
            <w:tcW w:w="7380" w:type="dxa"/>
          </w:tcPr>
          <w:p w14:paraId="1354F16A" w14:textId="77777777" w:rsidR="00C55517" w:rsidRDefault="00C55517">
            <w:r>
              <w:t>Chronic Obstructive Pulmonary Disease</w:t>
            </w:r>
          </w:p>
        </w:tc>
      </w:tr>
      <w:tr w:rsidR="00C55517" w14:paraId="7AEEEEF6" w14:textId="77777777">
        <w:tc>
          <w:tcPr>
            <w:tcW w:w="2065" w:type="dxa"/>
            <w:vAlign w:val="center"/>
          </w:tcPr>
          <w:p w14:paraId="64AD1697" w14:textId="77777777" w:rsidR="00C55517" w:rsidRDefault="00C55517">
            <w:r>
              <w:t>CPUC</w:t>
            </w:r>
          </w:p>
        </w:tc>
        <w:tc>
          <w:tcPr>
            <w:tcW w:w="7380" w:type="dxa"/>
          </w:tcPr>
          <w:p w14:paraId="5F487CF7" w14:textId="77777777" w:rsidR="00C55517" w:rsidRDefault="00C55517">
            <w:r>
              <w:t>California Public Utilities Commission</w:t>
            </w:r>
          </w:p>
        </w:tc>
      </w:tr>
      <w:tr w:rsidR="00C55517" w14:paraId="2C2429CB" w14:textId="77777777">
        <w:tc>
          <w:tcPr>
            <w:tcW w:w="2065" w:type="dxa"/>
            <w:shd w:val="clear" w:color="auto" w:fill="D9D9D9" w:themeFill="background1" w:themeFillShade="D9"/>
            <w:vAlign w:val="center"/>
          </w:tcPr>
          <w:p w14:paraId="3B524E66" w14:textId="77777777" w:rsidR="00C55517" w:rsidRDefault="00C55517">
            <w:r>
              <w:t>CWPP</w:t>
            </w:r>
          </w:p>
        </w:tc>
        <w:tc>
          <w:tcPr>
            <w:tcW w:w="7380" w:type="dxa"/>
            <w:shd w:val="clear" w:color="auto" w:fill="D9D9D9" w:themeFill="background1" w:themeFillShade="D9"/>
          </w:tcPr>
          <w:p w14:paraId="5F9682C8" w14:textId="77777777" w:rsidR="00C55517" w:rsidRDefault="00C55517">
            <w:r>
              <w:t>Community Wildfire Protection Plan</w:t>
            </w:r>
          </w:p>
        </w:tc>
      </w:tr>
      <w:tr w:rsidR="00C55517" w14:paraId="26E0315E" w14:textId="77777777">
        <w:tc>
          <w:tcPr>
            <w:tcW w:w="2065" w:type="dxa"/>
            <w:vAlign w:val="center"/>
          </w:tcPr>
          <w:p w14:paraId="0264233F" w14:textId="77777777" w:rsidR="00C55517" w:rsidRDefault="00C55517">
            <w:r>
              <w:t>DWR</w:t>
            </w:r>
          </w:p>
        </w:tc>
        <w:tc>
          <w:tcPr>
            <w:tcW w:w="7380" w:type="dxa"/>
          </w:tcPr>
          <w:p w14:paraId="56A8DAD6" w14:textId="77777777" w:rsidR="00C55517" w:rsidRDefault="00C55517">
            <w:r>
              <w:t>California Department of Water Resources</w:t>
            </w:r>
          </w:p>
        </w:tc>
      </w:tr>
      <w:tr w:rsidR="00C55517" w14:paraId="329CE97A" w14:textId="77777777">
        <w:tc>
          <w:tcPr>
            <w:tcW w:w="2065" w:type="dxa"/>
            <w:vAlign w:val="center"/>
          </w:tcPr>
          <w:p w14:paraId="01D2A3AA" w14:textId="77777777" w:rsidR="00C55517" w:rsidRDefault="00C55517">
            <w:r>
              <w:t>EOP</w:t>
            </w:r>
          </w:p>
        </w:tc>
        <w:tc>
          <w:tcPr>
            <w:tcW w:w="7380" w:type="dxa"/>
          </w:tcPr>
          <w:p w14:paraId="08DD734C" w14:textId="77777777" w:rsidR="00C55517" w:rsidRDefault="00C55517">
            <w:r>
              <w:t>Emergency Operation Plan</w:t>
            </w:r>
          </w:p>
        </w:tc>
      </w:tr>
      <w:tr w:rsidR="00C55517" w14:paraId="1AD8EC12" w14:textId="77777777">
        <w:tc>
          <w:tcPr>
            <w:tcW w:w="2065" w:type="dxa"/>
            <w:shd w:val="clear" w:color="auto" w:fill="D9D9D9" w:themeFill="background1" w:themeFillShade="D9"/>
            <w:vAlign w:val="center"/>
          </w:tcPr>
          <w:p w14:paraId="48B5C700" w14:textId="77777777" w:rsidR="00C55517" w:rsidRDefault="00C55517">
            <w:r>
              <w:t>FEMA</w:t>
            </w:r>
          </w:p>
        </w:tc>
        <w:tc>
          <w:tcPr>
            <w:tcW w:w="7380" w:type="dxa"/>
            <w:shd w:val="clear" w:color="auto" w:fill="D9D9D9" w:themeFill="background1" w:themeFillShade="D9"/>
          </w:tcPr>
          <w:p w14:paraId="00A025DB" w14:textId="77777777" w:rsidR="00C55517" w:rsidRDefault="00C55517">
            <w:r>
              <w:t>Federal Emergency Management Agency</w:t>
            </w:r>
          </w:p>
        </w:tc>
      </w:tr>
      <w:tr w:rsidR="00C55517" w14:paraId="5D1FA2F4" w14:textId="77777777">
        <w:tc>
          <w:tcPr>
            <w:tcW w:w="2065" w:type="dxa"/>
            <w:vAlign w:val="center"/>
          </w:tcPr>
          <w:p w14:paraId="0EE53A25" w14:textId="77777777" w:rsidR="00C55517" w:rsidRDefault="00C55517">
            <w:r>
              <w:t>FHSZ</w:t>
            </w:r>
          </w:p>
        </w:tc>
        <w:tc>
          <w:tcPr>
            <w:tcW w:w="7380" w:type="dxa"/>
          </w:tcPr>
          <w:p w14:paraId="0AF466FD" w14:textId="77777777" w:rsidR="00C55517" w:rsidRDefault="00C55517">
            <w:r>
              <w:t>Fire Hazard Severity Zone</w:t>
            </w:r>
          </w:p>
        </w:tc>
      </w:tr>
      <w:tr w:rsidR="00C55517" w14:paraId="193F3DCA" w14:textId="77777777">
        <w:tc>
          <w:tcPr>
            <w:tcW w:w="2065" w:type="dxa"/>
            <w:shd w:val="clear" w:color="auto" w:fill="D9D9D9" w:themeFill="background1" w:themeFillShade="D9"/>
            <w:vAlign w:val="center"/>
          </w:tcPr>
          <w:p w14:paraId="21BB6530" w14:textId="77777777" w:rsidR="00C55517" w:rsidRDefault="00C55517">
            <w:r>
              <w:t>GCM</w:t>
            </w:r>
          </w:p>
        </w:tc>
        <w:tc>
          <w:tcPr>
            <w:tcW w:w="7380" w:type="dxa"/>
            <w:shd w:val="clear" w:color="auto" w:fill="D9D9D9" w:themeFill="background1" w:themeFillShade="D9"/>
          </w:tcPr>
          <w:p w14:paraId="2D25ABDE" w14:textId="77777777" w:rsidR="00C55517" w:rsidRDefault="00C55517">
            <w:r>
              <w:t>Global Climate Model</w:t>
            </w:r>
          </w:p>
        </w:tc>
      </w:tr>
      <w:tr w:rsidR="00C55517" w14:paraId="53AB57DA" w14:textId="77777777">
        <w:tc>
          <w:tcPr>
            <w:tcW w:w="2065" w:type="dxa"/>
            <w:vAlign w:val="center"/>
          </w:tcPr>
          <w:p w14:paraId="2A323591" w14:textId="77777777" w:rsidR="00C55517" w:rsidRDefault="00C55517">
            <w:r>
              <w:t>GHG</w:t>
            </w:r>
          </w:p>
        </w:tc>
        <w:tc>
          <w:tcPr>
            <w:tcW w:w="7380" w:type="dxa"/>
          </w:tcPr>
          <w:p w14:paraId="633DC494" w14:textId="77777777" w:rsidR="00C55517" w:rsidRDefault="00C55517">
            <w:r>
              <w:t>Greenhouse gas</w:t>
            </w:r>
          </w:p>
        </w:tc>
      </w:tr>
      <w:tr w:rsidR="00C55517" w14:paraId="7F399A37" w14:textId="77777777">
        <w:tc>
          <w:tcPr>
            <w:tcW w:w="2065" w:type="dxa"/>
            <w:shd w:val="clear" w:color="auto" w:fill="D9D9D9" w:themeFill="background1" w:themeFillShade="D9"/>
            <w:vAlign w:val="center"/>
          </w:tcPr>
          <w:p w14:paraId="6F562A39" w14:textId="77777777" w:rsidR="00C55517" w:rsidRDefault="00C55517">
            <w:r>
              <w:t>GIS</w:t>
            </w:r>
          </w:p>
        </w:tc>
        <w:tc>
          <w:tcPr>
            <w:tcW w:w="7380" w:type="dxa"/>
            <w:shd w:val="clear" w:color="auto" w:fill="D9D9D9" w:themeFill="background1" w:themeFillShade="D9"/>
          </w:tcPr>
          <w:p w14:paraId="579EB95A" w14:textId="77777777" w:rsidR="00C55517" w:rsidRDefault="00C55517">
            <w:r>
              <w:t>Geographic Information System</w:t>
            </w:r>
          </w:p>
        </w:tc>
      </w:tr>
      <w:tr w:rsidR="00C55517" w14:paraId="3BAE24C3" w14:textId="77777777">
        <w:tc>
          <w:tcPr>
            <w:tcW w:w="2065" w:type="dxa"/>
            <w:vAlign w:val="center"/>
          </w:tcPr>
          <w:p w14:paraId="5FDE3F18" w14:textId="77777777" w:rsidR="00C55517" w:rsidRDefault="00C55517">
            <w:r>
              <w:t>HCR</w:t>
            </w:r>
          </w:p>
        </w:tc>
        <w:tc>
          <w:tcPr>
            <w:tcW w:w="7380" w:type="dxa"/>
          </w:tcPr>
          <w:p w14:paraId="6C275328" w14:textId="77777777" w:rsidR="00C55517" w:rsidRPr="006D3B29" w:rsidRDefault="00C55517">
            <w:r>
              <w:t>Hazards and Climate Resilience [Plan]</w:t>
            </w:r>
          </w:p>
        </w:tc>
      </w:tr>
      <w:tr w:rsidR="00C55517" w14:paraId="29AF996B" w14:textId="77777777">
        <w:tc>
          <w:tcPr>
            <w:tcW w:w="2065" w:type="dxa"/>
            <w:shd w:val="clear" w:color="auto" w:fill="D9D9D9" w:themeFill="background1" w:themeFillShade="D9"/>
            <w:vAlign w:val="center"/>
          </w:tcPr>
          <w:p w14:paraId="22C510CD" w14:textId="77777777" w:rsidR="00C55517" w:rsidRDefault="00C55517">
            <w:r>
              <w:t>HMP</w:t>
            </w:r>
          </w:p>
        </w:tc>
        <w:tc>
          <w:tcPr>
            <w:tcW w:w="7380" w:type="dxa"/>
            <w:shd w:val="clear" w:color="auto" w:fill="D9D9D9" w:themeFill="background1" w:themeFillShade="D9"/>
          </w:tcPr>
          <w:p w14:paraId="7D2258A4" w14:textId="77777777" w:rsidR="00C55517" w:rsidRDefault="00C55517">
            <w:r>
              <w:t>Hazard Mitigation Plan</w:t>
            </w:r>
          </w:p>
        </w:tc>
      </w:tr>
      <w:tr w:rsidR="00C55517" w14:paraId="282EA54D" w14:textId="77777777">
        <w:tc>
          <w:tcPr>
            <w:tcW w:w="2065" w:type="dxa"/>
            <w:vAlign w:val="center"/>
          </w:tcPr>
          <w:p w14:paraId="509D71DD" w14:textId="77777777" w:rsidR="00C55517" w:rsidRDefault="00C55517">
            <w:r>
              <w:t>IAP2</w:t>
            </w:r>
          </w:p>
        </w:tc>
        <w:tc>
          <w:tcPr>
            <w:tcW w:w="7380" w:type="dxa"/>
          </w:tcPr>
          <w:p w14:paraId="43261CE0" w14:textId="77777777" w:rsidR="00C55517" w:rsidRDefault="00C55517">
            <w:r>
              <w:t>International Association for Public Participation</w:t>
            </w:r>
          </w:p>
        </w:tc>
      </w:tr>
      <w:tr w:rsidR="00C55517" w14:paraId="27990DCC" w14:textId="77777777">
        <w:tc>
          <w:tcPr>
            <w:tcW w:w="2065" w:type="dxa"/>
            <w:shd w:val="clear" w:color="auto" w:fill="D9D9D9" w:themeFill="background1" w:themeFillShade="D9"/>
            <w:vAlign w:val="center"/>
          </w:tcPr>
          <w:p w14:paraId="20885257" w14:textId="77777777" w:rsidR="00C55517" w:rsidRDefault="00C55517">
            <w:r>
              <w:t>ICARP</w:t>
            </w:r>
          </w:p>
        </w:tc>
        <w:tc>
          <w:tcPr>
            <w:tcW w:w="7380" w:type="dxa"/>
            <w:shd w:val="clear" w:color="auto" w:fill="D9D9D9" w:themeFill="background1" w:themeFillShade="D9"/>
          </w:tcPr>
          <w:p w14:paraId="28CBA581" w14:textId="77777777" w:rsidR="00C55517" w:rsidRDefault="00C55517">
            <w:r>
              <w:t>Integrated Climate Adaptation and Resiliency Program</w:t>
            </w:r>
          </w:p>
        </w:tc>
      </w:tr>
      <w:tr w:rsidR="00C55517" w14:paraId="3A0C99A8" w14:textId="77777777">
        <w:tc>
          <w:tcPr>
            <w:tcW w:w="2065" w:type="dxa"/>
            <w:vAlign w:val="center"/>
          </w:tcPr>
          <w:p w14:paraId="35B30CF9" w14:textId="77777777" w:rsidR="00C55517" w:rsidRDefault="00C55517">
            <w:r>
              <w:t>IOOS</w:t>
            </w:r>
          </w:p>
        </w:tc>
        <w:tc>
          <w:tcPr>
            <w:tcW w:w="7380" w:type="dxa"/>
          </w:tcPr>
          <w:p w14:paraId="31057956" w14:textId="77777777" w:rsidR="00C55517" w:rsidRPr="005B476D" w:rsidRDefault="00C55517">
            <w:r>
              <w:t>Integrated Ocean Observing System</w:t>
            </w:r>
          </w:p>
        </w:tc>
      </w:tr>
      <w:tr w:rsidR="00C55517" w14:paraId="73ADFBE8" w14:textId="77777777">
        <w:tc>
          <w:tcPr>
            <w:tcW w:w="2065" w:type="dxa"/>
            <w:vAlign w:val="center"/>
          </w:tcPr>
          <w:p w14:paraId="106F8B77" w14:textId="77777777" w:rsidR="00C55517" w:rsidRDefault="00C55517">
            <w:r>
              <w:t>IPCC</w:t>
            </w:r>
          </w:p>
        </w:tc>
        <w:tc>
          <w:tcPr>
            <w:tcW w:w="7380" w:type="dxa"/>
          </w:tcPr>
          <w:p w14:paraId="22460802" w14:textId="77777777" w:rsidR="00C55517" w:rsidRDefault="00C55517">
            <w:r>
              <w:t>Intergovernmental Panel on Climate Change</w:t>
            </w:r>
          </w:p>
        </w:tc>
      </w:tr>
      <w:tr w:rsidR="00C55517" w14:paraId="2C40A9E4" w14:textId="77777777">
        <w:tc>
          <w:tcPr>
            <w:tcW w:w="2065" w:type="dxa"/>
            <w:vAlign w:val="center"/>
          </w:tcPr>
          <w:p w14:paraId="74A5E28C" w14:textId="77777777" w:rsidR="00C55517" w:rsidRDefault="00C55517">
            <w:r>
              <w:t>IRWMP</w:t>
            </w:r>
          </w:p>
        </w:tc>
        <w:tc>
          <w:tcPr>
            <w:tcW w:w="7380" w:type="dxa"/>
          </w:tcPr>
          <w:p w14:paraId="1AF10B06" w14:textId="77777777" w:rsidR="00C55517" w:rsidRDefault="00C55517">
            <w:r>
              <w:t>Integrated Regional Water Management Plan</w:t>
            </w:r>
          </w:p>
        </w:tc>
      </w:tr>
      <w:tr w:rsidR="00C55517" w14:paraId="53BB8584" w14:textId="77777777">
        <w:tc>
          <w:tcPr>
            <w:tcW w:w="2065" w:type="dxa"/>
            <w:shd w:val="clear" w:color="auto" w:fill="D9D9D9" w:themeFill="background1" w:themeFillShade="D9"/>
            <w:vAlign w:val="center"/>
          </w:tcPr>
          <w:p w14:paraId="47C258F5" w14:textId="77777777" w:rsidR="00C55517" w:rsidRDefault="00C55517">
            <w:r>
              <w:t>ITEP</w:t>
            </w:r>
          </w:p>
        </w:tc>
        <w:tc>
          <w:tcPr>
            <w:tcW w:w="7380" w:type="dxa"/>
            <w:shd w:val="clear" w:color="auto" w:fill="D9D9D9" w:themeFill="background1" w:themeFillShade="D9"/>
          </w:tcPr>
          <w:p w14:paraId="05DB93A3" w14:textId="77777777" w:rsidR="00C55517" w:rsidRDefault="00C55517">
            <w:pPr>
              <w:tabs>
                <w:tab w:val="left" w:pos="2839"/>
              </w:tabs>
            </w:pPr>
            <w:r>
              <w:t>Institute for Tribal Environmental Professionals</w:t>
            </w:r>
          </w:p>
        </w:tc>
      </w:tr>
      <w:tr w:rsidR="00C55517" w14:paraId="3E17142D" w14:textId="77777777">
        <w:tc>
          <w:tcPr>
            <w:tcW w:w="2065" w:type="dxa"/>
            <w:vAlign w:val="center"/>
          </w:tcPr>
          <w:p w14:paraId="5BFE06B9" w14:textId="77777777" w:rsidR="00C55517" w:rsidRDefault="00C55517">
            <w:r>
              <w:t>K-12</w:t>
            </w:r>
          </w:p>
        </w:tc>
        <w:tc>
          <w:tcPr>
            <w:tcW w:w="7380" w:type="dxa"/>
          </w:tcPr>
          <w:p w14:paraId="3B54C505" w14:textId="77777777" w:rsidR="00C55517" w:rsidRDefault="00C55517">
            <w:pPr>
              <w:tabs>
                <w:tab w:val="left" w:pos="2839"/>
              </w:tabs>
            </w:pPr>
            <w:r>
              <w:t>Kindergarten through 12</w:t>
            </w:r>
            <w:r>
              <w:rPr>
                <w:vertAlign w:val="superscript"/>
              </w:rPr>
              <w:t>th</w:t>
            </w:r>
            <w:r>
              <w:t xml:space="preserve"> grade</w:t>
            </w:r>
          </w:p>
        </w:tc>
      </w:tr>
      <w:tr w:rsidR="00C55517" w14:paraId="50FE540D" w14:textId="77777777">
        <w:tc>
          <w:tcPr>
            <w:tcW w:w="2065" w:type="dxa"/>
            <w:shd w:val="clear" w:color="auto" w:fill="D9D9D9" w:themeFill="background1" w:themeFillShade="D9"/>
            <w:vAlign w:val="center"/>
          </w:tcPr>
          <w:p w14:paraId="166DE781" w14:textId="77777777" w:rsidR="00C55517" w:rsidRDefault="00C55517">
            <w:r>
              <w:t>LCI</w:t>
            </w:r>
          </w:p>
        </w:tc>
        <w:tc>
          <w:tcPr>
            <w:tcW w:w="7380" w:type="dxa"/>
            <w:shd w:val="clear" w:color="auto" w:fill="D9D9D9" w:themeFill="background1" w:themeFillShade="D9"/>
          </w:tcPr>
          <w:p w14:paraId="1156FB96" w14:textId="77777777" w:rsidR="00C55517" w:rsidRDefault="00C55517">
            <w:r>
              <w:t>California Governor’s Office of Land use and Climate Innovation, previously called the Governor’s Office of Planning and Research (OPR)</w:t>
            </w:r>
          </w:p>
        </w:tc>
      </w:tr>
      <w:tr w:rsidR="00C55517" w14:paraId="5BB58450" w14:textId="77777777">
        <w:tc>
          <w:tcPr>
            <w:tcW w:w="2065" w:type="dxa"/>
            <w:vAlign w:val="center"/>
          </w:tcPr>
          <w:p w14:paraId="47EB5728" w14:textId="77777777" w:rsidR="00C55517" w:rsidRDefault="00C55517">
            <w:r>
              <w:t>LCP</w:t>
            </w:r>
          </w:p>
        </w:tc>
        <w:tc>
          <w:tcPr>
            <w:tcW w:w="7380" w:type="dxa"/>
          </w:tcPr>
          <w:p w14:paraId="2A7B6A9B" w14:textId="77777777" w:rsidR="00C55517" w:rsidRDefault="00C55517">
            <w:r>
              <w:t>Local Coastal Program</w:t>
            </w:r>
          </w:p>
        </w:tc>
      </w:tr>
      <w:tr w:rsidR="00C55517" w14:paraId="76664A15" w14:textId="77777777">
        <w:tc>
          <w:tcPr>
            <w:tcW w:w="2065" w:type="dxa"/>
            <w:shd w:val="clear" w:color="auto" w:fill="D9D9D9" w:themeFill="background1" w:themeFillShade="D9"/>
            <w:vAlign w:val="center"/>
          </w:tcPr>
          <w:p w14:paraId="5DA1E041" w14:textId="77777777" w:rsidR="00C55517" w:rsidRDefault="00C55517">
            <w:r>
              <w:rPr>
                <w:iCs/>
              </w:rPr>
              <w:t>LGBTQIA+</w:t>
            </w:r>
          </w:p>
        </w:tc>
        <w:tc>
          <w:tcPr>
            <w:tcW w:w="7380" w:type="dxa"/>
            <w:shd w:val="clear" w:color="auto" w:fill="D9D9D9" w:themeFill="background1" w:themeFillShade="D9"/>
          </w:tcPr>
          <w:p w14:paraId="26250CBC" w14:textId="77777777" w:rsidR="00C55517" w:rsidRDefault="00C55517">
            <w:r>
              <w:t>Lesbian, Gay, Bisexual, Transgender, Queer/Questioning, Intersex, Asexual, and more</w:t>
            </w:r>
          </w:p>
        </w:tc>
      </w:tr>
      <w:tr w:rsidR="00C55517" w14:paraId="0703CD12" w14:textId="77777777">
        <w:tc>
          <w:tcPr>
            <w:tcW w:w="2065" w:type="dxa"/>
            <w:vAlign w:val="center"/>
          </w:tcPr>
          <w:p w14:paraId="4D34F3E6" w14:textId="77777777" w:rsidR="00C55517" w:rsidRPr="00B17CBE" w:rsidRDefault="00C55517">
            <w:pPr>
              <w:rPr>
                <w:iCs/>
              </w:rPr>
            </w:pPr>
            <w:r>
              <w:rPr>
                <w:iCs/>
              </w:rPr>
              <w:t>LHMP</w:t>
            </w:r>
          </w:p>
        </w:tc>
        <w:tc>
          <w:tcPr>
            <w:tcW w:w="7380" w:type="dxa"/>
          </w:tcPr>
          <w:p w14:paraId="037DAA88" w14:textId="77777777" w:rsidR="00C55517" w:rsidRDefault="00C55517">
            <w:r>
              <w:t>Local Hazard Mitigation Plan</w:t>
            </w:r>
          </w:p>
        </w:tc>
      </w:tr>
      <w:tr w:rsidR="00C55517" w14:paraId="7D59F373" w14:textId="77777777">
        <w:tc>
          <w:tcPr>
            <w:tcW w:w="2065" w:type="dxa"/>
            <w:shd w:val="clear" w:color="auto" w:fill="D9D9D9" w:themeFill="background1" w:themeFillShade="D9"/>
            <w:vAlign w:val="center"/>
          </w:tcPr>
          <w:p w14:paraId="37DEDEB7" w14:textId="77777777" w:rsidR="00C55517" w:rsidRDefault="00C55517">
            <w:r>
              <w:t>MJHMP</w:t>
            </w:r>
          </w:p>
        </w:tc>
        <w:tc>
          <w:tcPr>
            <w:tcW w:w="7380" w:type="dxa"/>
            <w:shd w:val="clear" w:color="auto" w:fill="D9D9D9" w:themeFill="background1" w:themeFillShade="D9"/>
          </w:tcPr>
          <w:p w14:paraId="7C12EEA4" w14:textId="77777777" w:rsidR="00C55517" w:rsidRDefault="00C55517">
            <w:r>
              <w:t>Multi-Jurisdictional Hazard Mitigation Plan</w:t>
            </w:r>
          </w:p>
        </w:tc>
      </w:tr>
      <w:tr w:rsidR="00C55517" w14:paraId="27DF99EC" w14:textId="77777777">
        <w:tc>
          <w:tcPr>
            <w:tcW w:w="2065" w:type="dxa"/>
            <w:vAlign w:val="center"/>
          </w:tcPr>
          <w:p w14:paraId="7EDD75F0" w14:textId="77777777" w:rsidR="00C55517" w:rsidRDefault="00C55517">
            <w:r>
              <w:t>NBS</w:t>
            </w:r>
          </w:p>
        </w:tc>
        <w:tc>
          <w:tcPr>
            <w:tcW w:w="7380" w:type="dxa"/>
          </w:tcPr>
          <w:p w14:paraId="11027F70" w14:textId="77777777" w:rsidR="00C55517" w:rsidRDefault="00C55517">
            <w:r>
              <w:t>Nature-Based Solutions</w:t>
            </w:r>
          </w:p>
        </w:tc>
      </w:tr>
      <w:tr w:rsidR="00C55517" w14:paraId="12A4393B" w14:textId="77777777">
        <w:tc>
          <w:tcPr>
            <w:tcW w:w="2065" w:type="dxa"/>
            <w:shd w:val="clear" w:color="auto" w:fill="D9D9D9" w:themeFill="background1" w:themeFillShade="D9"/>
            <w:vAlign w:val="center"/>
          </w:tcPr>
          <w:p w14:paraId="4820A8FB" w14:textId="77777777" w:rsidR="00C55517" w:rsidRDefault="00C55517">
            <w:r>
              <w:t>NCA</w:t>
            </w:r>
          </w:p>
        </w:tc>
        <w:tc>
          <w:tcPr>
            <w:tcW w:w="7380" w:type="dxa"/>
            <w:shd w:val="clear" w:color="auto" w:fill="D9D9D9" w:themeFill="background1" w:themeFillShade="D9"/>
          </w:tcPr>
          <w:p w14:paraId="27FF9281" w14:textId="77777777" w:rsidR="00C55517" w:rsidRDefault="00C55517">
            <w:r>
              <w:t>National Climate Assessment</w:t>
            </w:r>
          </w:p>
        </w:tc>
      </w:tr>
      <w:tr w:rsidR="00C55517" w14:paraId="43212889" w14:textId="77777777">
        <w:tc>
          <w:tcPr>
            <w:tcW w:w="2065" w:type="dxa"/>
            <w:vAlign w:val="center"/>
          </w:tcPr>
          <w:p w14:paraId="41344228" w14:textId="77777777" w:rsidR="00C55517" w:rsidRDefault="00C55517">
            <w:r>
              <w:t>NCTCC</w:t>
            </w:r>
          </w:p>
        </w:tc>
        <w:tc>
          <w:tcPr>
            <w:tcW w:w="7380" w:type="dxa"/>
          </w:tcPr>
          <w:p w14:paraId="0CDADB71" w14:textId="77777777" w:rsidR="00C55517" w:rsidRDefault="00C55517">
            <w:r>
              <w:t>Northern California Tribal Climate Collaborative</w:t>
            </w:r>
          </w:p>
        </w:tc>
      </w:tr>
      <w:tr w:rsidR="00C55517" w14:paraId="2F0412E8" w14:textId="77777777">
        <w:tc>
          <w:tcPr>
            <w:tcW w:w="2065" w:type="dxa"/>
            <w:shd w:val="clear" w:color="auto" w:fill="D9D9D9" w:themeFill="background1" w:themeFillShade="D9"/>
            <w:vAlign w:val="center"/>
          </w:tcPr>
          <w:p w14:paraId="6A1CE93B" w14:textId="77777777" w:rsidR="00C55517" w:rsidRDefault="00C55517">
            <w:r>
              <w:t>NFIP</w:t>
            </w:r>
          </w:p>
        </w:tc>
        <w:tc>
          <w:tcPr>
            <w:tcW w:w="7380" w:type="dxa"/>
            <w:shd w:val="clear" w:color="auto" w:fill="D9D9D9" w:themeFill="background1" w:themeFillShade="D9"/>
          </w:tcPr>
          <w:p w14:paraId="722C77FD" w14:textId="77777777" w:rsidR="00C55517" w:rsidRDefault="00C55517">
            <w:r>
              <w:t>National Flood Insurance Program</w:t>
            </w:r>
          </w:p>
        </w:tc>
      </w:tr>
      <w:tr w:rsidR="00C55517" w14:paraId="4FB77BE5" w14:textId="77777777">
        <w:tc>
          <w:tcPr>
            <w:tcW w:w="2065" w:type="dxa"/>
            <w:vAlign w:val="center"/>
          </w:tcPr>
          <w:p w14:paraId="4A561AA2" w14:textId="77777777" w:rsidR="00C55517" w:rsidRDefault="00C55517">
            <w:r>
              <w:t>NOAA</w:t>
            </w:r>
          </w:p>
        </w:tc>
        <w:tc>
          <w:tcPr>
            <w:tcW w:w="7380" w:type="dxa"/>
          </w:tcPr>
          <w:p w14:paraId="64489636" w14:textId="77777777" w:rsidR="00C55517" w:rsidRDefault="00C55517">
            <w:r>
              <w:t>National Oceanic and Atmospheric Association</w:t>
            </w:r>
          </w:p>
        </w:tc>
      </w:tr>
      <w:tr w:rsidR="00C55517" w14:paraId="30C0D28C" w14:textId="77777777">
        <w:tc>
          <w:tcPr>
            <w:tcW w:w="2065" w:type="dxa"/>
            <w:shd w:val="clear" w:color="auto" w:fill="D9D9D9" w:themeFill="background1" w:themeFillShade="D9"/>
            <w:vAlign w:val="center"/>
          </w:tcPr>
          <w:p w14:paraId="4D18D7B5" w14:textId="77777777" w:rsidR="00C55517" w:rsidRDefault="00C55517">
            <w:r>
              <w:t>OCOF</w:t>
            </w:r>
          </w:p>
        </w:tc>
        <w:tc>
          <w:tcPr>
            <w:tcW w:w="7380" w:type="dxa"/>
            <w:shd w:val="clear" w:color="auto" w:fill="D9D9D9" w:themeFill="background1" w:themeFillShade="D9"/>
          </w:tcPr>
          <w:p w14:paraId="4D181A96" w14:textId="77777777" w:rsidR="00C55517" w:rsidRDefault="00C55517">
            <w:r>
              <w:t>Our Coast Our Future</w:t>
            </w:r>
          </w:p>
        </w:tc>
      </w:tr>
      <w:tr w:rsidR="00C55517" w14:paraId="7289944F" w14:textId="77777777">
        <w:tc>
          <w:tcPr>
            <w:tcW w:w="2065" w:type="dxa"/>
            <w:vAlign w:val="center"/>
          </w:tcPr>
          <w:p w14:paraId="705A0778" w14:textId="77777777" w:rsidR="00C55517" w:rsidRDefault="00C55517">
            <w:r>
              <w:t>OEM/OES</w:t>
            </w:r>
          </w:p>
        </w:tc>
        <w:tc>
          <w:tcPr>
            <w:tcW w:w="7380" w:type="dxa"/>
          </w:tcPr>
          <w:p w14:paraId="48DD72CA" w14:textId="77777777" w:rsidR="00C55517" w:rsidRDefault="00C55517">
            <w:r>
              <w:t>Office of Emergency Management/Services</w:t>
            </w:r>
          </w:p>
        </w:tc>
      </w:tr>
      <w:tr w:rsidR="00C55517" w14:paraId="34308F77" w14:textId="77777777">
        <w:tc>
          <w:tcPr>
            <w:tcW w:w="2065" w:type="dxa"/>
            <w:shd w:val="clear" w:color="auto" w:fill="D9D9D9" w:themeFill="background1" w:themeFillShade="D9"/>
            <w:vAlign w:val="center"/>
          </w:tcPr>
          <w:p w14:paraId="230B8E3E" w14:textId="77777777" w:rsidR="00C55517" w:rsidRDefault="00C55517">
            <w:r>
              <w:t>OPR</w:t>
            </w:r>
          </w:p>
        </w:tc>
        <w:tc>
          <w:tcPr>
            <w:tcW w:w="7380" w:type="dxa"/>
            <w:shd w:val="clear" w:color="auto" w:fill="D9D9D9" w:themeFill="background1" w:themeFillShade="D9"/>
          </w:tcPr>
          <w:p w14:paraId="0D5C9799" w14:textId="77777777" w:rsidR="00C55517" w:rsidRDefault="00C55517">
            <w:r>
              <w:t>California Governor’s Office of Planning and Research, now called the Governor’s Office of Land use and Climate Innovation (LCI)</w:t>
            </w:r>
          </w:p>
        </w:tc>
      </w:tr>
      <w:tr w:rsidR="00C55517" w14:paraId="069D846A" w14:textId="77777777">
        <w:tc>
          <w:tcPr>
            <w:tcW w:w="2065" w:type="dxa"/>
            <w:vAlign w:val="center"/>
          </w:tcPr>
          <w:p w14:paraId="45FC9BA0" w14:textId="77777777" w:rsidR="00C55517" w:rsidRDefault="00C55517">
            <w:r>
              <w:t>PA</w:t>
            </w:r>
          </w:p>
        </w:tc>
        <w:tc>
          <w:tcPr>
            <w:tcW w:w="7380" w:type="dxa"/>
          </w:tcPr>
          <w:p w14:paraId="06EB2956" w14:textId="77777777" w:rsidR="00C55517" w:rsidRDefault="00C55517">
            <w:r>
              <w:t>Public Assistance</w:t>
            </w:r>
          </w:p>
        </w:tc>
      </w:tr>
      <w:tr w:rsidR="00C55517" w14:paraId="1724BDB8" w14:textId="77777777">
        <w:tc>
          <w:tcPr>
            <w:tcW w:w="2065" w:type="dxa"/>
            <w:shd w:val="clear" w:color="auto" w:fill="D9D9D9" w:themeFill="background1" w:themeFillShade="D9"/>
            <w:vAlign w:val="center"/>
          </w:tcPr>
          <w:p w14:paraId="63ED8483" w14:textId="77777777" w:rsidR="00C55517" w:rsidRDefault="00C55517">
            <w:r>
              <w:t>PG&amp;E</w:t>
            </w:r>
          </w:p>
        </w:tc>
        <w:tc>
          <w:tcPr>
            <w:tcW w:w="7380" w:type="dxa"/>
            <w:shd w:val="clear" w:color="auto" w:fill="D9D9D9" w:themeFill="background1" w:themeFillShade="D9"/>
          </w:tcPr>
          <w:p w14:paraId="2A0183A9" w14:textId="77777777" w:rsidR="00C55517" w:rsidRDefault="00C55517">
            <w:r>
              <w:t>Pacific Gas &amp; Electric Company</w:t>
            </w:r>
          </w:p>
        </w:tc>
      </w:tr>
      <w:tr w:rsidR="00C55517" w14:paraId="71B8AF47" w14:textId="77777777">
        <w:tc>
          <w:tcPr>
            <w:tcW w:w="2065" w:type="dxa"/>
            <w:vAlign w:val="center"/>
          </w:tcPr>
          <w:p w14:paraId="778EEEB8" w14:textId="77777777" w:rsidR="00C55517" w:rsidRDefault="00C55517">
            <w:r>
              <w:t>PM</w:t>
            </w:r>
          </w:p>
        </w:tc>
        <w:tc>
          <w:tcPr>
            <w:tcW w:w="7380" w:type="dxa"/>
          </w:tcPr>
          <w:p w14:paraId="4168EF7F" w14:textId="77777777" w:rsidR="00C55517" w:rsidRDefault="00C55517">
            <w:r>
              <w:t>Particulate Matter</w:t>
            </w:r>
          </w:p>
        </w:tc>
      </w:tr>
      <w:tr w:rsidR="00C55517" w14:paraId="439804D0" w14:textId="77777777">
        <w:tc>
          <w:tcPr>
            <w:tcW w:w="2065" w:type="dxa"/>
            <w:shd w:val="clear" w:color="auto" w:fill="D9D9D9" w:themeFill="background1" w:themeFillShade="D9"/>
            <w:vAlign w:val="center"/>
          </w:tcPr>
          <w:p w14:paraId="55293652" w14:textId="77777777" w:rsidR="00C55517" w:rsidRDefault="00C55517">
            <w:r>
              <w:t>PSPS</w:t>
            </w:r>
          </w:p>
        </w:tc>
        <w:tc>
          <w:tcPr>
            <w:tcW w:w="7380" w:type="dxa"/>
            <w:shd w:val="clear" w:color="auto" w:fill="D9D9D9" w:themeFill="background1" w:themeFillShade="D9"/>
          </w:tcPr>
          <w:p w14:paraId="2915C7A0" w14:textId="77777777" w:rsidR="00C55517" w:rsidRDefault="00C55517">
            <w:r>
              <w:t>Public Safety Power Shutoff</w:t>
            </w:r>
          </w:p>
        </w:tc>
      </w:tr>
      <w:tr w:rsidR="00C55517" w14:paraId="1AE277A9" w14:textId="77777777">
        <w:tc>
          <w:tcPr>
            <w:tcW w:w="2065" w:type="dxa"/>
            <w:vAlign w:val="center"/>
          </w:tcPr>
          <w:p w14:paraId="39FD888A" w14:textId="77777777" w:rsidR="00C55517" w:rsidRDefault="00C55517">
            <w:r>
              <w:t>RSAP</w:t>
            </w:r>
          </w:p>
        </w:tc>
        <w:tc>
          <w:tcPr>
            <w:tcW w:w="7380" w:type="dxa"/>
          </w:tcPr>
          <w:p w14:paraId="4E6BDBF7" w14:textId="77777777" w:rsidR="00C55517" w:rsidRDefault="00C55517">
            <w:r>
              <w:t>Regional Shoreline Adaptation Plan</w:t>
            </w:r>
          </w:p>
        </w:tc>
      </w:tr>
      <w:tr w:rsidR="00C55517" w14:paraId="7DDFC888" w14:textId="77777777">
        <w:tc>
          <w:tcPr>
            <w:tcW w:w="2065" w:type="dxa"/>
            <w:vAlign w:val="center"/>
          </w:tcPr>
          <w:p w14:paraId="7D155B91" w14:textId="77777777" w:rsidR="00C55517" w:rsidRDefault="00C55517">
            <w:r>
              <w:t>SB</w:t>
            </w:r>
          </w:p>
        </w:tc>
        <w:tc>
          <w:tcPr>
            <w:tcW w:w="7380" w:type="dxa"/>
          </w:tcPr>
          <w:p w14:paraId="3766CD53" w14:textId="77777777" w:rsidR="00C55517" w:rsidRDefault="00C55517">
            <w:r>
              <w:t>Senate Bill</w:t>
            </w:r>
          </w:p>
        </w:tc>
      </w:tr>
      <w:tr w:rsidR="00C55517" w14:paraId="2F4BA991" w14:textId="77777777">
        <w:tc>
          <w:tcPr>
            <w:tcW w:w="2065" w:type="dxa"/>
            <w:shd w:val="clear" w:color="auto" w:fill="D9D9D9" w:themeFill="background1" w:themeFillShade="D9"/>
            <w:vAlign w:val="center"/>
          </w:tcPr>
          <w:p w14:paraId="0D1D1261" w14:textId="77777777" w:rsidR="00C55517" w:rsidRDefault="00C55517">
            <w:r>
              <w:t>SCAG</w:t>
            </w:r>
          </w:p>
        </w:tc>
        <w:tc>
          <w:tcPr>
            <w:tcW w:w="7380" w:type="dxa"/>
            <w:shd w:val="clear" w:color="auto" w:fill="D9D9D9" w:themeFill="background1" w:themeFillShade="D9"/>
          </w:tcPr>
          <w:p w14:paraId="2F56C837" w14:textId="77777777" w:rsidR="00C55517" w:rsidRDefault="00C55517">
            <w:r>
              <w:t>Southern California Association of Governments</w:t>
            </w:r>
          </w:p>
        </w:tc>
      </w:tr>
      <w:tr w:rsidR="00C55517" w14:paraId="0F10FE7C" w14:textId="77777777">
        <w:tc>
          <w:tcPr>
            <w:tcW w:w="2065" w:type="dxa"/>
            <w:vAlign w:val="center"/>
          </w:tcPr>
          <w:p w14:paraId="04B4F360" w14:textId="77777777" w:rsidR="00C55517" w:rsidRDefault="00C55517">
            <w:r>
              <w:t>SLR</w:t>
            </w:r>
          </w:p>
        </w:tc>
        <w:tc>
          <w:tcPr>
            <w:tcW w:w="7380" w:type="dxa"/>
          </w:tcPr>
          <w:p w14:paraId="2CE9593B" w14:textId="77777777" w:rsidR="00C55517" w:rsidRDefault="00C55517">
            <w:r>
              <w:t>Sea Level Rise</w:t>
            </w:r>
          </w:p>
        </w:tc>
      </w:tr>
      <w:tr w:rsidR="00C55517" w14:paraId="0B1A75E2" w14:textId="77777777">
        <w:tc>
          <w:tcPr>
            <w:tcW w:w="2065" w:type="dxa"/>
            <w:shd w:val="clear" w:color="auto" w:fill="D9D9D9" w:themeFill="background1" w:themeFillShade="D9"/>
            <w:vAlign w:val="center"/>
          </w:tcPr>
          <w:p w14:paraId="19FF8A8E" w14:textId="77777777" w:rsidR="00C55517" w:rsidRDefault="00C55517">
            <w:r>
              <w:t>SOE</w:t>
            </w:r>
          </w:p>
        </w:tc>
        <w:tc>
          <w:tcPr>
            <w:tcW w:w="7380" w:type="dxa"/>
            <w:shd w:val="clear" w:color="auto" w:fill="D9D9D9" w:themeFill="background1" w:themeFillShade="D9"/>
          </w:tcPr>
          <w:p w14:paraId="7B732334" w14:textId="77777777" w:rsidR="00C55517" w:rsidRDefault="00C55517">
            <w:r>
              <w:t>State of Emergency</w:t>
            </w:r>
          </w:p>
        </w:tc>
      </w:tr>
      <w:tr w:rsidR="00C55517" w14:paraId="03857506" w14:textId="77777777">
        <w:tc>
          <w:tcPr>
            <w:tcW w:w="2065" w:type="dxa"/>
            <w:vAlign w:val="center"/>
          </w:tcPr>
          <w:p w14:paraId="11291979" w14:textId="77777777" w:rsidR="00C55517" w:rsidRDefault="00C55517">
            <w:r>
              <w:t>SUHI</w:t>
            </w:r>
          </w:p>
        </w:tc>
        <w:tc>
          <w:tcPr>
            <w:tcW w:w="7380" w:type="dxa"/>
          </w:tcPr>
          <w:p w14:paraId="70C2FD89" w14:textId="77777777" w:rsidR="00C55517" w:rsidRDefault="00C55517">
            <w:r>
              <w:t>Surface Urban Heat Island</w:t>
            </w:r>
          </w:p>
        </w:tc>
      </w:tr>
      <w:tr w:rsidR="00C55517" w14:paraId="11A54D4E" w14:textId="77777777">
        <w:tc>
          <w:tcPr>
            <w:tcW w:w="2065" w:type="dxa"/>
            <w:shd w:val="clear" w:color="auto" w:fill="D9D9D9" w:themeFill="background1" w:themeFillShade="D9"/>
            <w:vAlign w:val="center"/>
          </w:tcPr>
          <w:p w14:paraId="31E70B39" w14:textId="77777777" w:rsidR="00C55517" w:rsidRDefault="00C55517">
            <w:r>
              <w:t>SSP</w:t>
            </w:r>
          </w:p>
        </w:tc>
        <w:tc>
          <w:tcPr>
            <w:tcW w:w="7380" w:type="dxa"/>
            <w:shd w:val="clear" w:color="auto" w:fill="D9D9D9" w:themeFill="background1" w:themeFillShade="D9"/>
          </w:tcPr>
          <w:p w14:paraId="07A64B59" w14:textId="77777777" w:rsidR="00C55517" w:rsidRDefault="00C55517">
            <w:r>
              <w:t>Shared Socioeconomic Pathways</w:t>
            </w:r>
          </w:p>
        </w:tc>
      </w:tr>
      <w:tr w:rsidR="00C55517" w14:paraId="4BC92BCF" w14:textId="77777777">
        <w:tc>
          <w:tcPr>
            <w:tcW w:w="2065" w:type="dxa"/>
            <w:vAlign w:val="center"/>
          </w:tcPr>
          <w:p w14:paraId="0D93771D" w14:textId="77777777" w:rsidR="00C55517" w:rsidRDefault="00C55517">
            <w:r>
              <w:t>SHMP</w:t>
            </w:r>
          </w:p>
        </w:tc>
        <w:tc>
          <w:tcPr>
            <w:tcW w:w="7380" w:type="dxa"/>
          </w:tcPr>
          <w:p w14:paraId="6D4D5BD7" w14:textId="77777777" w:rsidR="00C55517" w:rsidRDefault="00C55517">
            <w:r>
              <w:t>State Hazard Mitigation Plan</w:t>
            </w:r>
          </w:p>
        </w:tc>
      </w:tr>
      <w:tr w:rsidR="00C55517" w14:paraId="50875DE1" w14:textId="77777777">
        <w:tc>
          <w:tcPr>
            <w:tcW w:w="2065" w:type="dxa"/>
            <w:shd w:val="clear" w:color="auto" w:fill="D9D9D9" w:themeFill="background1" w:themeFillShade="D9"/>
            <w:vAlign w:val="center"/>
          </w:tcPr>
          <w:p w14:paraId="7FA282D5" w14:textId="77777777" w:rsidR="00C55517" w:rsidRDefault="00C55517">
            <w:r>
              <w:t>THIRA</w:t>
            </w:r>
          </w:p>
        </w:tc>
        <w:tc>
          <w:tcPr>
            <w:tcW w:w="7380" w:type="dxa"/>
            <w:shd w:val="clear" w:color="auto" w:fill="D9D9D9" w:themeFill="background1" w:themeFillShade="D9"/>
          </w:tcPr>
          <w:p w14:paraId="18820F08" w14:textId="77777777" w:rsidR="00C55517" w:rsidRDefault="00C55517">
            <w:r>
              <w:t>Threat and Hazard Identification and Risk Assessment</w:t>
            </w:r>
          </w:p>
        </w:tc>
      </w:tr>
      <w:tr w:rsidR="00C55517" w14:paraId="304F56C2" w14:textId="77777777">
        <w:tc>
          <w:tcPr>
            <w:tcW w:w="2065" w:type="dxa"/>
            <w:vAlign w:val="center"/>
          </w:tcPr>
          <w:p w14:paraId="74294E83" w14:textId="77777777" w:rsidR="00C55517" w:rsidRDefault="00C55517">
            <w:r>
              <w:t>THMP</w:t>
            </w:r>
          </w:p>
        </w:tc>
        <w:tc>
          <w:tcPr>
            <w:tcW w:w="7380" w:type="dxa"/>
          </w:tcPr>
          <w:p w14:paraId="6FB5E642" w14:textId="77777777" w:rsidR="00C55517" w:rsidRDefault="00C55517">
            <w:r>
              <w:t>Tribal Hazard Mitigation Plan</w:t>
            </w:r>
          </w:p>
        </w:tc>
      </w:tr>
      <w:tr w:rsidR="00C55517" w14:paraId="5404262D" w14:textId="77777777">
        <w:tc>
          <w:tcPr>
            <w:tcW w:w="2065" w:type="dxa"/>
            <w:shd w:val="clear" w:color="auto" w:fill="D9D9D9" w:themeFill="background1" w:themeFillShade="D9"/>
            <w:vAlign w:val="center"/>
          </w:tcPr>
          <w:p w14:paraId="6EC00FCA" w14:textId="77777777" w:rsidR="00C55517" w:rsidRDefault="00C55517">
            <w:r>
              <w:t>U.S.</w:t>
            </w:r>
          </w:p>
        </w:tc>
        <w:tc>
          <w:tcPr>
            <w:tcW w:w="7380" w:type="dxa"/>
            <w:shd w:val="clear" w:color="auto" w:fill="D9D9D9" w:themeFill="background1" w:themeFillShade="D9"/>
          </w:tcPr>
          <w:p w14:paraId="592AA4E1" w14:textId="77777777" w:rsidR="00C55517" w:rsidRDefault="00C55517">
            <w:r>
              <w:t>United States</w:t>
            </w:r>
          </w:p>
        </w:tc>
      </w:tr>
      <w:tr w:rsidR="00C55517" w14:paraId="3AFC191D" w14:textId="77777777">
        <w:tc>
          <w:tcPr>
            <w:tcW w:w="2065" w:type="dxa"/>
            <w:vAlign w:val="center"/>
          </w:tcPr>
          <w:p w14:paraId="3E396F67" w14:textId="77777777" w:rsidR="00C55517" w:rsidRDefault="00C55517">
            <w:r>
              <w:t>USFS</w:t>
            </w:r>
          </w:p>
        </w:tc>
        <w:tc>
          <w:tcPr>
            <w:tcW w:w="7380" w:type="dxa"/>
          </w:tcPr>
          <w:p w14:paraId="3C73A134" w14:textId="77777777" w:rsidR="00C55517" w:rsidRDefault="00C55517">
            <w:r>
              <w:t>U.S. Forest Service</w:t>
            </w:r>
          </w:p>
        </w:tc>
      </w:tr>
      <w:tr w:rsidR="00C55517" w14:paraId="0D4CF516" w14:textId="77777777">
        <w:tc>
          <w:tcPr>
            <w:tcW w:w="2065" w:type="dxa"/>
            <w:vAlign w:val="center"/>
          </w:tcPr>
          <w:p w14:paraId="745C437A" w14:textId="77777777" w:rsidR="00C55517" w:rsidRDefault="00C55517">
            <w:r>
              <w:t>USGS</w:t>
            </w:r>
          </w:p>
        </w:tc>
        <w:tc>
          <w:tcPr>
            <w:tcW w:w="7380" w:type="dxa"/>
          </w:tcPr>
          <w:p w14:paraId="12958646" w14:textId="77777777" w:rsidR="00C55517" w:rsidRDefault="00C55517">
            <w:r>
              <w:t>U.S. Geological Survey</w:t>
            </w:r>
          </w:p>
        </w:tc>
      </w:tr>
      <w:tr w:rsidR="00C55517" w14:paraId="10479227" w14:textId="77777777">
        <w:tc>
          <w:tcPr>
            <w:tcW w:w="2065" w:type="dxa"/>
            <w:shd w:val="clear" w:color="auto" w:fill="D9D9D9" w:themeFill="background1" w:themeFillShade="D9"/>
            <w:vAlign w:val="center"/>
          </w:tcPr>
          <w:p w14:paraId="5C6315AC" w14:textId="77777777" w:rsidR="00C55517" w:rsidRDefault="00C55517">
            <w:r>
              <w:t>VCP</w:t>
            </w:r>
          </w:p>
        </w:tc>
        <w:tc>
          <w:tcPr>
            <w:tcW w:w="7380" w:type="dxa"/>
            <w:shd w:val="clear" w:color="auto" w:fill="D9D9D9" w:themeFill="background1" w:themeFillShade="D9"/>
          </w:tcPr>
          <w:p w14:paraId="604348AA" w14:textId="77777777" w:rsidR="00C55517" w:rsidRDefault="00C55517">
            <w:r>
              <w:t>Vulnerable Communities Platform</w:t>
            </w:r>
          </w:p>
        </w:tc>
      </w:tr>
      <w:tr w:rsidR="00C55517" w14:paraId="6BF77A9E" w14:textId="77777777">
        <w:tc>
          <w:tcPr>
            <w:tcW w:w="2065" w:type="dxa"/>
            <w:vAlign w:val="center"/>
          </w:tcPr>
          <w:p w14:paraId="24BEA754" w14:textId="77777777" w:rsidR="00C55517" w:rsidRDefault="00C55517">
            <w:r>
              <w:t>WUI</w:t>
            </w:r>
          </w:p>
        </w:tc>
        <w:tc>
          <w:tcPr>
            <w:tcW w:w="7380" w:type="dxa"/>
          </w:tcPr>
          <w:p w14:paraId="41260E18" w14:textId="77777777" w:rsidR="00C55517" w:rsidRDefault="00C55517">
            <w:r>
              <w:t>Wildland-Urban Interface</w:t>
            </w:r>
          </w:p>
        </w:tc>
      </w:tr>
    </w:tbl>
    <w:p w14:paraId="684A9C8E" w14:textId="77777777" w:rsidR="00631075" w:rsidRDefault="00631075" w:rsidP="00233B46">
      <w:pPr>
        <w:spacing w:line="240" w:lineRule="auto"/>
        <w:rPr>
          <w:color w:val="000000" w:themeColor="text1"/>
          <w:szCs w:val="24"/>
        </w:rPr>
      </w:pPr>
    </w:p>
    <w:p w14:paraId="0B635B7B" w14:textId="77777777" w:rsidR="00631075" w:rsidRDefault="00631075" w:rsidP="00233B46">
      <w:pPr>
        <w:spacing w:line="240" w:lineRule="auto"/>
        <w:rPr>
          <w:color w:val="000000" w:themeColor="text1"/>
          <w:szCs w:val="24"/>
        </w:rPr>
      </w:pPr>
    </w:p>
    <w:p w14:paraId="372FA783" w14:textId="77777777" w:rsidR="00631075" w:rsidRDefault="00631075" w:rsidP="00233B46">
      <w:pPr>
        <w:spacing w:line="240" w:lineRule="auto"/>
        <w:rPr>
          <w:color w:val="000000" w:themeColor="text1"/>
          <w:szCs w:val="24"/>
        </w:rPr>
      </w:pPr>
    </w:p>
    <w:p w14:paraId="6F3B7095" w14:textId="77777777" w:rsidR="00631075" w:rsidRDefault="00631075" w:rsidP="00233B46">
      <w:pPr>
        <w:spacing w:line="240" w:lineRule="auto"/>
        <w:rPr>
          <w:color w:val="000000" w:themeColor="text1"/>
          <w:szCs w:val="24"/>
        </w:rPr>
      </w:pPr>
    </w:p>
    <w:p w14:paraId="50B38386" w14:textId="77777777" w:rsidR="00631075" w:rsidRDefault="00631075" w:rsidP="00233B46">
      <w:pPr>
        <w:spacing w:line="240" w:lineRule="auto"/>
        <w:rPr>
          <w:color w:val="000000" w:themeColor="text1"/>
          <w:szCs w:val="24"/>
        </w:rPr>
      </w:pPr>
    </w:p>
    <w:p w14:paraId="3EB3B5A3" w14:textId="77777777" w:rsidR="00631075" w:rsidRDefault="00631075" w:rsidP="00233B46">
      <w:pPr>
        <w:spacing w:line="240" w:lineRule="auto"/>
        <w:rPr>
          <w:color w:val="000000" w:themeColor="text1"/>
          <w:szCs w:val="24"/>
        </w:rPr>
      </w:pPr>
    </w:p>
    <w:p w14:paraId="4D73EEB2" w14:textId="77777777" w:rsidR="00631075" w:rsidRDefault="00631075" w:rsidP="00233B46">
      <w:pPr>
        <w:spacing w:line="240" w:lineRule="auto"/>
        <w:rPr>
          <w:color w:val="000000" w:themeColor="text1"/>
          <w:szCs w:val="24"/>
        </w:rPr>
      </w:pPr>
    </w:p>
    <w:p w14:paraId="44505446" w14:textId="77777777" w:rsidR="00631075" w:rsidRDefault="00631075" w:rsidP="00233B46">
      <w:pPr>
        <w:spacing w:line="240" w:lineRule="auto"/>
        <w:rPr>
          <w:color w:val="000000" w:themeColor="text1"/>
          <w:szCs w:val="24"/>
        </w:rPr>
      </w:pPr>
    </w:p>
    <w:p w14:paraId="625AEC09" w14:textId="253DFE06" w:rsidR="00631075" w:rsidRPr="00012486" w:rsidRDefault="00631075" w:rsidP="00233B46">
      <w:pPr>
        <w:spacing w:line="240" w:lineRule="auto"/>
        <w:rPr>
          <w:color w:val="000000" w:themeColor="text1"/>
          <w:szCs w:val="24"/>
        </w:rPr>
      </w:pPr>
    </w:p>
    <w:sectPr w:rsidR="00631075" w:rsidRPr="00012486" w:rsidSect="00991A8D">
      <w:footerReference w:type="default" r:id="rId4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D5EE" w14:textId="77777777" w:rsidR="00A95647" w:rsidRDefault="00A95647" w:rsidP="009C5937">
      <w:r>
        <w:separator/>
      </w:r>
    </w:p>
  </w:endnote>
  <w:endnote w:type="continuationSeparator" w:id="0">
    <w:p w14:paraId="5861136D" w14:textId="77777777" w:rsidR="00A95647" w:rsidRDefault="00A95647" w:rsidP="009C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Poppins">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2EC1" w14:textId="27601E83" w:rsidR="009F5E6A" w:rsidRDefault="009F5E6A">
    <w:pPr>
      <w:pStyle w:val="Footer"/>
    </w:pPr>
    <w:r>
      <w:rPr>
        <w:noProof/>
        <w14:ligatures w14:val="standardContextual"/>
      </w:rPr>
      <mc:AlternateContent>
        <mc:Choice Requires="wps">
          <w:drawing>
            <wp:anchor distT="0" distB="0" distL="0" distR="0" simplePos="0" relativeHeight="251652608" behindDoc="0" locked="0" layoutInCell="1" allowOverlap="1" wp14:anchorId="2D7F5EE2" wp14:editId="04330F3A">
              <wp:simplePos x="635" y="635"/>
              <wp:positionH relativeFrom="page">
                <wp:align>left</wp:align>
              </wp:positionH>
              <wp:positionV relativeFrom="page">
                <wp:align>bottom</wp:align>
              </wp:positionV>
              <wp:extent cx="871855" cy="357505"/>
              <wp:effectExtent l="0" t="0" r="4445" b="0"/>
              <wp:wrapNone/>
              <wp:docPr id="38045465" name="Text Box 2" descr="LCI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1855" cy="357505"/>
                      </a:xfrm>
                      <a:prstGeom prst="rect">
                        <a:avLst/>
                      </a:prstGeom>
                      <a:noFill/>
                      <a:ln>
                        <a:noFill/>
                      </a:ln>
                    </wps:spPr>
                    <wps:txbx>
                      <w:txbxContent>
                        <w:p w14:paraId="4B7E31F5" w14:textId="434F6BDB" w:rsidR="009F5E6A" w:rsidRPr="009F5E6A" w:rsidRDefault="009F5E6A" w:rsidP="009F5E6A">
                          <w:pPr>
                            <w:spacing w:after="0"/>
                            <w:rPr>
                              <w:rFonts w:ascii="Aptos" w:eastAsia="Aptos" w:hAnsi="Aptos" w:cs="Aptos"/>
                              <w:noProof/>
                              <w:color w:val="000000"/>
                              <w:sz w:val="20"/>
                              <w:szCs w:val="20"/>
                            </w:rPr>
                          </w:pPr>
                          <w:r w:rsidRPr="009F5E6A">
                            <w:rPr>
                              <w:rFonts w:ascii="Aptos" w:eastAsia="Aptos" w:hAnsi="Aptos" w:cs="Aptos"/>
                              <w:noProof/>
                              <w:color w:val="000000"/>
                              <w:sz w:val="20"/>
                              <w:szCs w:val="20"/>
                            </w:rPr>
                            <w:t>LCI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7F5EE2" id="_x0000_t202" coordsize="21600,21600" o:spt="202" path="m,l,21600r21600,l21600,xe">
              <v:stroke joinstyle="miter"/>
              <v:path gradientshapeok="t" o:connecttype="rect"/>
            </v:shapetype>
            <v:shape id="_x0000_s1040" type="#_x0000_t202" alt="LCI - Public" style="position:absolute;margin-left:0;margin-top:0;width:68.65pt;height:28.15pt;z-index:2516526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" filled="f" stroked="f">
              <v:textbox style="mso-fit-shape-to-text:t" inset="20pt,0,0,15pt">
                <w:txbxContent>
                  <w:p w14:paraId="4B7E31F5" w14:textId="434F6BDB" w:rsidR="009F5E6A" w:rsidRPr="009F5E6A" w:rsidRDefault="009F5E6A" w:rsidP="009F5E6A">
                    <w:pPr>
                      <w:spacing w:after="0"/>
                      <w:rPr>
                        <w:rFonts w:ascii="Aptos" w:eastAsia="Aptos" w:hAnsi="Aptos" w:cs="Aptos"/>
                        <w:noProof/>
                        <w:color w:val="000000"/>
                        <w:sz w:val="20"/>
                        <w:szCs w:val="20"/>
                      </w:rPr>
                    </w:pPr>
                    <w:r w:rsidRPr="009F5E6A">
                      <w:rPr>
                        <w:rFonts w:ascii="Aptos" w:eastAsia="Aptos" w:hAnsi="Aptos" w:cs="Aptos"/>
                        <w:noProof/>
                        <w:color w:val="000000"/>
                        <w:sz w:val="20"/>
                        <w:szCs w:val="20"/>
                      </w:rPr>
                      <w:t>LCI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2381" w14:textId="7FD888B4" w:rsidR="009F5E6A" w:rsidRDefault="009F5E6A">
    <w:pPr>
      <w:pStyle w:val="Footer"/>
    </w:pPr>
    <w:r>
      <w:rPr>
        <w:noProof/>
        <w14:ligatures w14:val="standardContextual"/>
      </w:rPr>
      <mc:AlternateContent>
        <mc:Choice Requires="wps">
          <w:drawing>
            <wp:anchor distT="0" distB="0" distL="0" distR="0" simplePos="0" relativeHeight="251653632" behindDoc="0" locked="0" layoutInCell="1" allowOverlap="1" wp14:anchorId="310159E0" wp14:editId="3BD5F6EE">
              <wp:simplePos x="635" y="635"/>
              <wp:positionH relativeFrom="page">
                <wp:align>left</wp:align>
              </wp:positionH>
              <wp:positionV relativeFrom="page">
                <wp:align>bottom</wp:align>
              </wp:positionV>
              <wp:extent cx="871855" cy="357505"/>
              <wp:effectExtent l="0" t="0" r="4445" b="0"/>
              <wp:wrapNone/>
              <wp:docPr id="1044300690" name="Text Box 1" descr="LCI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1855" cy="357505"/>
                      </a:xfrm>
                      <a:prstGeom prst="rect">
                        <a:avLst/>
                      </a:prstGeom>
                      <a:noFill/>
                      <a:ln>
                        <a:noFill/>
                      </a:ln>
                    </wps:spPr>
                    <wps:txbx>
                      <w:txbxContent>
                        <w:p w14:paraId="3F0ACA7B" w14:textId="1C069EB0" w:rsidR="009F5E6A" w:rsidRPr="009F5E6A" w:rsidRDefault="009F5E6A" w:rsidP="009F5E6A">
                          <w:pPr>
                            <w:spacing w:after="0"/>
                            <w:rPr>
                              <w:rFonts w:ascii="Aptos" w:eastAsia="Aptos" w:hAnsi="Aptos" w:cs="Aptos"/>
                              <w:noProof/>
                              <w:color w:val="000000"/>
                              <w:sz w:val="20"/>
                              <w:szCs w:val="20"/>
                            </w:rPr>
                          </w:pPr>
                          <w:r w:rsidRPr="009F5E6A">
                            <w:rPr>
                              <w:rFonts w:ascii="Aptos" w:eastAsia="Aptos" w:hAnsi="Aptos" w:cs="Aptos"/>
                              <w:noProof/>
                              <w:color w:val="000000"/>
                              <w:sz w:val="20"/>
                              <w:szCs w:val="20"/>
                            </w:rPr>
                            <w:t>LCI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0159E0" id="_x0000_t202" coordsize="21600,21600" o:spt="202" path="m,l,21600r21600,l21600,xe">
              <v:stroke joinstyle="miter"/>
              <v:path gradientshapeok="t" o:connecttype="rect"/>
            </v:shapetype>
            <v:shape id="Text Box 1" o:spid="_x0000_s1041" type="#_x0000_t202" alt="LCI - Public" style="position:absolute;margin-left:0;margin-top:0;width:68.65pt;height:28.15pt;z-index:251653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" filled="f" stroked="f">
              <v:textbox style="mso-fit-shape-to-text:t" inset="20pt,0,0,15pt">
                <w:txbxContent>
                  <w:p w14:paraId="3F0ACA7B" w14:textId="1C069EB0" w:rsidR="009F5E6A" w:rsidRPr="009F5E6A" w:rsidRDefault="009F5E6A" w:rsidP="009F5E6A">
                    <w:pPr>
                      <w:spacing w:after="0"/>
                      <w:rPr>
                        <w:rFonts w:ascii="Aptos" w:eastAsia="Aptos" w:hAnsi="Aptos" w:cs="Aptos"/>
                        <w:noProof/>
                        <w:color w:val="000000"/>
                        <w:sz w:val="20"/>
                        <w:szCs w:val="20"/>
                      </w:rPr>
                    </w:pPr>
                    <w:r w:rsidRPr="009F5E6A">
                      <w:rPr>
                        <w:rFonts w:ascii="Aptos" w:eastAsia="Aptos" w:hAnsi="Aptos" w:cs="Aptos"/>
                        <w:noProof/>
                        <w:color w:val="000000"/>
                        <w:sz w:val="20"/>
                        <w:szCs w:val="20"/>
                      </w:rPr>
                      <w:t>LCI -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3834" w14:textId="7B10429B" w:rsidR="009D5D4B" w:rsidRPr="00242E64" w:rsidRDefault="009D5D4B">
    <w:pPr>
      <w:pStyle w:val="Footer"/>
      <w:rPr>
        <w:szCs w:val="24"/>
      </w:rPr>
    </w:pPr>
    <w:r w:rsidRPr="00242E64">
      <w:rPr>
        <w:b/>
        <w:bCs/>
        <w:noProof/>
        <w:szCs w:val="24"/>
      </w:rPr>
      <mc:AlternateContent>
        <mc:Choice Requires="wps">
          <w:drawing>
            <wp:anchor distT="45720" distB="45720" distL="114300" distR="114300" simplePos="0" relativeHeight="251654656" behindDoc="0" locked="0" layoutInCell="1" allowOverlap="1" wp14:anchorId="6C35EEA4" wp14:editId="6C10FBEB">
              <wp:simplePos x="0" y="0"/>
              <wp:positionH relativeFrom="column">
                <wp:posOffset>4571365</wp:posOffset>
              </wp:positionH>
              <wp:positionV relativeFrom="paragraph">
                <wp:posOffset>-59104</wp:posOffset>
              </wp:positionV>
              <wp:extent cx="1431925" cy="1404620"/>
              <wp:effectExtent l="0" t="0" r="0" b="0"/>
              <wp:wrapSquare wrapText="bothSides"/>
              <wp:docPr id="1994770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4620"/>
                      </a:xfrm>
                      <a:prstGeom prst="rect">
                        <a:avLst/>
                      </a:prstGeom>
                      <a:noFill/>
                      <a:ln w="9525">
                        <a:noFill/>
                        <a:miter lim="800000"/>
                        <a:headEnd/>
                        <a:tailEnd/>
                      </a:ln>
                    </wps:spPr>
                    <wps:txbx>
                      <w:txbxContent>
                        <w:p w14:paraId="7613B010" w14:textId="77777777" w:rsidR="009D5D4B" w:rsidRDefault="009D5D4B" w:rsidP="00493582">
                          <w:pPr>
                            <w:pStyle w:val="Footer"/>
                            <w:jc w:val="right"/>
                          </w:pPr>
                          <w:r>
                            <w:t xml:space="preserve"> </w:t>
                          </w:r>
                          <w:sdt>
                            <w:sdtPr>
                              <w:id w:val="-14956434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5EEA4" id="_x0000_t202" coordsize="21600,21600" o:spt="202" path="m,l,21600r21600,l21600,xe">
              <v:stroke joinstyle="miter"/>
              <v:path gradientshapeok="t" o:connecttype="rect"/>
            </v:shapetype>
            <v:shape id="_x0000_s1042" type="#_x0000_t202" style="position:absolute;margin-left:359.95pt;margin-top:-4.65pt;width:112.75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" filled="f" stroked="f">
              <v:textbox style="mso-fit-shape-to-text:t">
                <w:txbxContent>
                  <w:p w14:paraId="7613B010" w14:textId="77777777" w:rsidR="009D5D4B" w:rsidRDefault="009D5D4B" w:rsidP="00493582">
                    <w:pPr>
                      <w:pStyle w:val="Footer"/>
                      <w:jc w:val="right"/>
                    </w:pPr>
                    <w:r>
                      <w:t xml:space="preserve"> </w:t>
                    </w:r>
                    <w:sdt>
                      <w:sdtPr>
                        <w:id w:val="-14956434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v:textbox>
              <w10:wrap type="square"/>
            </v:shape>
          </w:pict>
        </mc:Fallback>
      </mc:AlternateContent>
    </w:r>
    <w:r w:rsidRPr="00242E64">
      <w:rPr>
        <w:b/>
        <w:bCs/>
        <w:noProof/>
        <w:szCs w:val="24"/>
        <w14:ligatures w14:val="standardContextual"/>
      </w:rPr>
      <mc:AlternateContent>
        <mc:Choice Requires="wps">
          <w:drawing>
            <wp:anchor distT="0" distB="0" distL="114300" distR="114300" simplePos="0" relativeHeight="251657728" behindDoc="0" locked="0" layoutInCell="1" allowOverlap="1" wp14:anchorId="629D4767" wp14:editId="46C91CF3">
              <wp:simplePos x="0" y="0"/>
              <wp:positionH relativeFrom="column">
                <wp:posOffset>7950</wp:posOffset>
              </wp:positionH>
              <wp:positionV relativeFrom="paragraph">
                <wp:posOffset>-45002</wp:posOffset>
              </wp:positionV>
              <wp:extent cx="5915771" cy="0"/>
              <wp:effectExtent l="0" t="0" r="0" b="0"/>
              <wp:wrapNone/>
              <wp:docPr id="143982420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7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3790DD" id="Straight Connector 1" o:spid="_x0000_s1026" alt="&quot;&quot;"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3.55pt" to="466.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" strokecolor="black [3213]" strokeweight=".5pt">
              <v:stroke joinstyle="miter"/>
            </v:line>
          </w:pict>
        </mc:Fallback>
      </mc:AlternateContent>
    </w:r>
    <w:r w:rsidRPr="00242E64">
      <w:rPr>
        <w:b/>
        <w:bCs/>
        <w:noProof/>
        <w:szCs w:val="24"/>
        <w14:ligatures w14:val="standardContextual"/>
      </w:rPr>
      <w:t>P</w:t>
    </w:r>
    <w:r w:rsidR="00242E64" w:rsidRPr="00242E64">
      <w:rPr>
        <w:b/>
        <w:bCs/>
        <w:noProof/>
        <w:szCs w:val="24"/>
        <w14:ligatures w14:val="standardContextual"/>
      </w:rPr>
      <w:t>UBLIC REVIEW DRAFT</w:t>
    </w:r>
    <w:r w:rsidR="00242E64" w:rsidRPr="00242E64">
      <w:rPr>
        <w:noProof/>
        <w:szCs w:val="24"/>
        <w14:ligatures w14:val="standardContextual"/>
      </w:rPr>
      <w:t xml:space="preserve"> </w:t>
    </w:r>
    <w:r w:rsidRPr="00242E64">
      <w:rPr>
        <w:noProof/>
        <w:szCs w:val="24"/>
        <w14:ligatures w14:val="standardContextual"/>
      </w:rPr>
      <w:t>July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18E9" w14:textId="77777777" w:rsidR="00B75986" w:rsidRDefault="00B75986">
    <w:pPr>
      <w:pStyle w:val="Footer"/>
    </w:pPr>
    <w:r>
      <w:rPr>
        <w:noProof/>
        <w14:ligatures w14:val="standardContextual"/>
      </w:rPr>
      <mc:AlternateContent>
        <mc:Choice Requires="wps">
          <w:drawing>
            <wp:anchor distT="0" distB="0" distL="0" distR="0" simplePos="0" relativeHeight="251658752" behindDoc="0" locked="0" layoutInCell="1" allowOverlap="1" wp14:anchorId="586E3787" wp14:editId="17551C66">
              <wp:simplePos x="635" y="635"/>
              <wp:positionH relativeFrom="page">
                <wp:align>left</wp:align>
              </wp:positionH>
              <wp:positionV relativeFrom="page">
                <wp:align>bottom</wp:align>
              </wp:positionV>
              <wp:extent cx="878840" cy="370840"/>
              <wp:effectExtent l="0" t="0" r="16510" b="0"/>
              <wp:wrapNone/>
              <wp:docPr id="1841223533" name="Text Box 2" descr="LCI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8840" cy="370840"/>
                      </a:xfrm>
                      <a:prstGeom prst="rect">
                        <a:avLst/>
                      </a:prstGeom>
                      <a:noFill/>
                      <a:ln>
                        <a:noFill/>
                      </a:ln>
                    </wps:spPr>
                    <wps:txbx>
                      <w:txbxContent>
                        <w:p w14:paraId="79A64039" w14:textId="77777777" w:rsidR="00B75986" w:rsidRPr="004007D5" w:rsidRDefault="00B75986">
                          <w:pPr>
                            <w:spacing w:after="0"/>
                            <w:rPr>
                              <w:rFonts w:ascii="Aptos" w:eastAsia="Aptos" w:hAnsi="Aptos" w:cs="Aptos"/>
                              <w:noProof/>
                              <w:color w:val="000000"/>
                              <w:sz w:val="20"/>
                              <w:szCs w:val="20"/>
                            </w:rPr>
                          </w:pPr>
                          <w:r w:rsidRPr="004007D5">
                            <w:rPr>
                              <w:rFonts w:ascii="Aptos" w:eastAsia="Aptos" w:hAnsi="Aptos" w:cs="Aptos"/>
                              <w:noProof/>
                              <w:color w:val="000000"/>
                              <w:sz w:val="20"/>
                              <w:szCs w:val="20"/>
                            </w:rPr>
                            <w:t>LCI - Public</w:t>
                          </w:r>
                        </w:p>
                        <w:p w14:paraId="3065FB63" w14:textId="77777777" w:rsidR="00B75986" w:rsidRDefault="00B75986"/>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6E3787" id="_x0000_t202" coordsize="21600,21600" o:spt="202" path="m,l,21600r21600,l21600,xe">
              <v:stroke joinstyle="miter"/>
              <v:path gradientshapeok="t" o:connecttype="rect"/>
            </v:shapetype>
            <v:shape id="_x0000_s1043" type="#_x0000_t202" alt="LCI - Public" style="position:absolute;margin-left:0;margin-top:0;width:69.2pt;height:29.2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" filled="f" stroked="f">
              <v:textbox style="mso-fit-shape-to-text:t" inset="20pt,0,0,15pt">
                <w:txbxContent>
                  <w:p w14:paraId="79A64039" w14:textId="77777777" w:rsidR="00B75986" w:rsidRPr="004007D5" w:rsidRDefault="00B75986">
                    <w:pPr>
                      <w:spacing w:after="0"/>
                      <w:rPr>
                        <w:rFonts w:ascii="Aptos" w:eastAsia="Aptos" w:hAnsi="Aptos" w:cs="Aptos"/>
                        <w:noProof/>
                        <w:color w:val="000000"/>
                        <w:sz w:val="20"/>
                        <w:szCs w:val="20"/>
                      </w:rPr>
                    </w:pPr>
                    <w:r w:rsidRPr="004007D5">
                      <w:rPr>
                        <w:rFonts w:ascii="Aptos" w:eastAsia="Aptos" w:hAnsi="Aptos" w:cs="Aptos"/>
                        <w:noProof/>
                        <w:color w:val="000000"/>
                        <w:sz w:val="20"/>
                        <w:szCs w:val="20"/>
                      </w:rPr>
                      <w:t>LCI - Public</w:t>
                    </w:r>
                  </w:p>
                  <w:p w14:paraId="3065FB63" w14:textId="77777777" w:rsidR="00B75986" w:rsidRDefault="00B75986"/>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C8C2" w14:textId="77777777" w:rsidR="00B75986" w:rsidRDefault="00B75986">
    <w:pPr>
      <w:pStyle w:val="Footer"/>
    </w:pPr>
    <w:r>
      <w:rPr>
        <w:noProof/>
      </w:rPr>
      <mc:AlternateContent>
        <mc:Choice Requires="wps">
          <w:drawing>
            <wp:anchor distT="45720" distB="45720" distL="114300" distR="114300" simplePos="0" relativeHeight="251659776" behindDoc="0" locked="0" layoutInCell="1" allowOverlap="1" wp14:anchorId="372F2D2D" wp14:editId="27E4F310">
              <wp:simplePos x="0" y="0"/>
              <wp:positionH relativeFrom="column">
                <wp:posOffset>6885467</wp:posOffset>
              </wp:positionH>
              <wp:positionV relativeFrom="paragraph">
                <wp:posOffset>-59055</wp:posOffset>
              </wp:positionV>
              <wp:extent cx="1431925" cy="1404620"/>
              <wp:effectExtent l="0" t="0" r="0" b="0"/>
              <wp:wrapSquare wrapText="bothSides"/>
              <wp:docPr id="2142763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4620"/>
                      </a:xfrm>
                      <a:prstGeom prst="rect">
                        <a:avLst/>
                      </a:prstGeom>
                      <a:noFill/>
                      <a:ln w="9525">
                        <a:noFill/>
                        <a:miter lim="800000"/>
                        <a:headEnd/>
                        <a:tailEnd/>
                      </a:ln>
                    </wps:spPr>
                    <wps:txbx>
                      <w:txbxContent>
                        <w:p w14:paraId="79FABE78" w14:textId="77777777" w:rsidR="00B75986" w:rsidRDefault="00B75986" w:rsidP="00493582">
                          <w:pPr>
                            <w:pStyle w:val="Footer"/>
                            <w:jc w:val="right"/>
                          </w:pPr>
                          <w:r>
                            <w:t xml:space="preserve">Page </w:t>
                          </w:r>
                          <w:sdt>
                            <w:sdtPr>
                              <w:id w:val="5472681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F2D2D" id="_x0000_t202" coordsize="21600,21600" o:spt="202" path="m,l,21600r21600,l21600,xe">
              <v:stroke joinstyle="miter"/>
              <v:path gradientshapeok="t" o:connecttype="rect"/>
            </v:shapetype>
            <v:shape id="_x0000_s1044" type="#_x0000_t202" style="position:absolute;margin-left:542.15pt;margin-top:-4.65pt;width:112.7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" filled="f" stroked="f">
              <v:textbox style="mso-fit-shape-to-text:t">
                <w:txbxContent>
                  <w:p w14:paraId="79FABE78" w14:textId="77777777" w:rsidR="00B75986" w:rsidRDefault="00B75986" w:rsidP="00493582">
                    <w:pPr>
                      <w:pStyle w:val="Footer"/>
                      <w:jc w:val="right"/>
                    </w:pPr>
                    <w:r>
                      <w:t xml:space="preserve">Page </w:t>
                    </w:r>
                    <w:sdt>
                      <w:sdtPr>
                        <w:id w:val="5472681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v:textbox>
              <w10:wrap type="square"/>
            </v:shape>
          </w:pict>
        </mc:Fallback>
      </mc:AlternateContent>
    </w:r>
    <w:r>
      <w:rPr>
        <w:noProof/>
        <w14:ligatures w14:val="standardContextual"/>
      </w:rPr>
      <mc:AlternateContent>
        <mc:Choice Requires="wps">
          <w:drawing>
            <wp:anchor distT="0" distB="0" distL="114300" distR="114300" simplePos="0" relativeHeight="251660800" behindDoc="0" locked="0" layoutInCell="1" allowOverlap="1" wp14:anchorId="154D6CE1" wp14:editId="5656B2D4">
              <wp:simplePos x="0" y="0"/>
              <wp:positionH relativeFrom="column">
                <wp:posOffset>10633</wp:posOffset>
              </wp:positionH>
              <wp:positionV relativeFrom="paragraph">
                <wp:posOffset>-47226</wp:posOffset>
              </wp:positionV>
              <wp:extent cx="8229600" cy="0"/>
              <wp:effectExtent l="0" t="0" r="0" b="0"/>
              <wp:wrapNone/>
              <wp:docPr id="317689101" name="Straight Connector 1"/>
              <wp:cNvGraphicFramePr/>
              <a:graphic xmlns:a="http://schemas.openxmlformats.org/drawingml/2006/main">
                <a:graphicData uri="http://schemas.microsoft.com/office/word/2010/wordprocessingShape">
                  <wps:wsp>
                    <wps:cNvCnPr/>
                    <wps:spPr>
                      <a:xfrm>
                        <a:off x="0" y="0"/>
                        <a:ext cx="8229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10CBDD" id="Straight Connector 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3.7pt" to="648.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" strokecolor="black [3213]" strokeweight=".5pt">
              <v:stroke joinstyle="miter"/>
            </v:line>
          </w:pict>
        </mc:Fallback>
      </mc:AlternateContent>
    </w:r>
    <w:r w:rsidRPr="00032BF5">
      <w:rPr>
        <w:i/>
        <w:iCs/>
        <w:noProof/>
        <w14:ligatures w14:val="standardContextual"/>
      </w:rPr>
      <w:t>Public Comment Draft – Cal OES – July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A9C8" w14:textId="77777777" w:rsidR="00B75986" w:rsidRDefault="00B75986">
    <w:pPr>
      <w:pStyle w:val="Footer"/>
    </w:pPr>
    <w:r>
      <w:rPr>
        <w:noProof/>
        <w14:ligatures w14:val="standardContextual"/>
      </w:rPr>
      <mc:AlternateContent>
        <mc:Choice Requires="wps">
          <w:drawing>
            <wp:anchor distT="0" distB="0" distL="0" distR="0" simplePos="0" relativeHeight="251661824" behindDoc="0" locked="0" layoutInCell="1" allowOverlap="1" wp14:anchorId="5717469B" wp14:editId="32FC8F1D">
              <wp:simplePos x="635" y="635"/>
              <wp:positionH relativeFrom="page">
                <wp:align>left</wp:align>
              </wp:positionH>
              <wp:positionV relativeFrom="page">
                <wp:align>bottom</wp:align>
              </wp:positionV>
              <wp:extent cx="878840" cy="370840"/>
              <wp:effectExtent l="0" t="0" r="16510" b="0"/>
              <wp:wrapNone/>
              <wp:docPr id="493115005" name="Text Box 1" descr="LCI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8840" cy="370840"/>
                      </a:xfrm>
                      <a:prstGeom prst="rect">
                        <a:avLst/>
                      </a:prstGeom>
                      <a:noFill/>
                      <a:ln>
                        <a:noFill/>
                      </a:ln>
                    </wps:spPr>
                    <wps:txbx>
                      <w:txbxContent>
                        <w:p w14:paraId="2369F3DD" w14:textId="77777777" w:rsidR="00B75986" w:rsidRPr="004007D5" w:rsidRDefault="00B75986">
                          <w:pPr>
                            <w:spacing w:after="0"/>
                            <w:rPr>
                              <w:rFonts w:ascii="Aptos" w:eastAsia="Aptos" w:hAnsi="Aptos" w:cs="Aptos"/>
                              <w:noProof/>
                              <w:color w:val="000000"/>
                              <w:sz w:val="20"/>
                              <w:szCs w:val="20"/>
                            </w:rPr>
                          </w:pPr>
                          <w:r w:rsidRPr="004007D5">
                            <w:rPr>
                              <w:rFonts w:ascii="Aptos" w:eastAsia="Aptos" w:hAnsi="Aptos" w:cs="Aptos"/>
                              <w:noProof/>
                              <w:color w:val="000000"/>
                              <w:sz w:val="20"/>
                              <w:szCs w:val="20"/>
                            </w:rPr>
                            <w:t>LCI - Public</w:t>
                          </w:r>
                        </w:p>
                        <w:p w14:paraId="068058D5" w14:textId="77777777" w:rsidR="00E2651C" w:rsidRDefault="00E2651C"/>
                        <w:p w14:paraId="0CE366D8" w14:textId="4C2A1BFB" w:rsidR="00B75986" w:rsidRDefault="00B75986"/>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17469B" id="_x0000_t202" coordsize="21600,21600" o:spt="202" path="m,l,21600r21600,l21600,xe">
              <v:stroke joinstyle="miter"/>
              <v:path gradientshapeok="t" o:connecttype="rect"/>
            </v:shapetype>
            <v:shape id="_x0000_s1045" type="#_x0000_t202" alt="LCI - Public" style="position:absolute;margin-left:0;margin-top:0;width:69.2pt;height:29.2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U8EQIAACEEAAAOAAAAZHJzL2Uyb0RvYy54bWysU01v2zAMvQ/YfxB0X+xkzZoZ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" filled="f" stroked="f">
              <v:textbox style="mso-fit-shape-to-text:t" inset="20pt,0,0,15pt">
                <w:txbxContent>
                  <w:p w14:paraId="2369F3DD" w14:textId="77777777" w:rsidR="00B75986" w:rsidRPr="004007D5" w:rsidRDefault="00B75986">
                    <w:pPr>
                      <w:spacing w:after="0"/>
                      <w:rPr>
                        <w:rFonts w:ascii="Aptos" w:eastAsia="Aptos" w:hAnsi="Aptos" w:cs="Aptos"/>
                        <w:noProof/>
                        <w:color w:val="000000"/>
                        <w:sz w:val="20"/>
                        <w:szCs w:val="20"/>
                      </w:rPr>
                    </w:pPr>
                    <w:r w:rsidRPr="004007D5">
                      <w:rPr>
                        <w:rFonts w:ascii="Aptos" w:eastAsia="Aptos" w:hAnsi="Aptos" w:cs="Aptos"/>
                        <w:noProof/>
                        <w:color w:val="000000"/>
                        <w:sz w:val="20"/>
                        <w:szCs w:val="20"/>
                      </w:rPr>
                      <w:t>LCI - Public</w:t>
                    </w:r>
                  </w:p>
                  <w:p w14:paraId="068058D5" w14:textId="77777777" w:rsidR="00E2651C" w:rsidRDefault="00E2651C"/>
                  <w:p w14:paraId="0CE366D8" w14:textId="4C2A1BFB" w:rsidR="00B75986" w:rsidRDefault="00B75986"/>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BB9A" w14:textId="1B02E3FB" w:rsidR="00252FC1" w:rsidRPr="00381C03" w:rsidRDefault="00381C03" w:rsidP="00381C03">
    <w:pPr>
      <w:pStyle w:val="Footer"/>
    </w:pPr>
    <w:r w:rsidRPr="00A26DC3">
      <w:rPr>
        <w:noProof/>
      </w:rPr>
      <mc:AlternateContent>
        <mc:Choice Requires="wps">
          <w:drawing>
            <wp:anchor distT="45720" distB="45720" distL="114300" distR="114300" simplePos="0" relativeHeight="251655680" behindDoc="0" locked="0" layoutInCell="1" allowOverlap="1" wp14:anchorId="3F2A5D78" wp14:editId="57508781">
              <wp:simplePos x="0" y="0"/>
              <wp:positionH relativeFrom="column">
                <wp:posOffset>4571365</wp:posOffset>
              </wp:positionH>
              <wp:positionV relativeFrom="paragraph">
                <wp:posOffset>-59104</wp:posOffset>
              </wp:positionV>
              <wp:extent cx="1431925" cy="1404620"/>
              <wp:effectExtent l="0" t="0" r="0" b="0"/>
              <wp:wrapSquare wrapText="bothSides"/>
              <wp:docPr id="53443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4620"/>
                      </a:xfrm>
                      <a:prstGeom prst="rect">
                        <a:avLst/>
                      </a:prstGeom>
                      <a:noFill/>
                      <a:ln w="9525">
                        <a:noFill/>
                        <a:miter lim="800000"/>
                        <a:headEnd/>
                        <a:tailEnd/>
                      </a:ln>
                    </wps:spPr>
                    <wps:txbx>
                      <w:txbxContent>
                        <w:p w14:paraId="5A93471A" w14:textId="77777777" w:rsidR="00381C03" w:rsidRDefault="00381C03" w:rsidP="00381C03">
                          <w:pPr>
                            <w:pStyle w:val="Footer"/>
                            <w:jc w:val="right"/>
                          </w:pPr>
                          <w:r>
                            <w:t xml:space="preserve"> </w:t>
                          </w:r>
                          <w:sdt>
                            <w:sdtPr>
                              <w:id w:val="-18047681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A5D78" id="_x0000_t202" coordsize="21600,21600" o:spt="202" path="m,l,21600r21600,l21600,xe">
              <v:stroke joinstyle="miter"/>
              <v:path gradientshapeok="t" o:connecttype="rect"/>
            </v:shapetype>
            <v:shape id="_x0000_s1046" type="#_x0000_t202" style="position:absolute;margin-left:359.95pt;margin-top:-4.65pt;width:112.75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" filled="f" stroked="f">
              <v:textbox style="mso-fit-shape-to-text:t">
                <w:txbxContent>
                  <w:p w14:paraId="5A93471A" w14:textId="77777777" w:rsidR="00381C03" w:rsidRDefault="00381C03" w:rsidP="00381C03">
                    <w:pPr>
                      <w:pStyle w:val="Footer"/>
                      <w:jc w:val="right"/>
                    </w:pPr>
                    <w:r>
                      <w:t xml:space="preserve"> </w:t>
                    </w:r>
                    <w:sdt>
                      <w:sdtPr>
                        <w:id w:val="-18047681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txbxContent>
              </v:textbox>
              <w10:wrap type="square"/>
            </v:shape>
          </w:pict>
        </mc:Fallback>
      </mc:AlternateContent>
    </w:r>
    <w:r w:rsidRPr="00A26DC3">
      <w:rPr>
        <w:noProof/>
        <w14:ligatures w14:val="standardContextual"/>
      </w:rPr>
      <mc:AlternateContent>
        <mc:Choice Requires="wps">
          <w:drawing>
            <wp:anchor distT="0" distB="0" distL="114300" distR="114300" simplePos="0" relativeHeight="251656704" behindDoc="0" locked="0" layoutInCell="1" allowOverlap="1" wp14:anchorId="476B4192" wp14:editId="78BF527B">
              <wp:simplePos x="0" y="0"/>
              <wp:positionH relativeFrom="column">
                <wp:posOffset>7950</wp:posOffset>
              </wp:positionH>
              <wp:positionV relativeFrom="paragraph">
                <wp:posOffset>-45002</wp:posOffset>
              </wp:positionV>
              <wp:extent cx="5915771" cy="0"/>
              <wp:effectExtent l="0" t="0" r="0" b="0"/>
              <wp:wrapNone/>
              <wp:docPr id="150636733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7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D2147" id="Straight Connector 1" o:spid="_x0000_s1026" alt="&quot;&quot;"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65pt,-3.55pt" to="466.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" strokecolor="black [3213]" strokeweight=".5pt">
              <v:stroke joinstyle="miter"/>
            </v:line>
          </w:pict>
        </mc:Fallback>
      </mc:AlternateContent>
    </w:r>
    <w:r w:rsidRPr="00A26DC3">
      <w:rPr>
        <w:noProof/>
        <w14:ligatures w14:val="standardContextual"/>
      </w:rPr>
      <w:t>Cal OES – Public Comment Draft APG –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AE2AB" w14:textId="77777777" w:rsidR="00A95647" w:rsidRDefault="00A95647" w:rsidP="009C5937">
      <w:r>
        <w:separator/>
      </w:r>
    </w:p>
  </w:footnote>
  <w:footnote w:type="continuationSeparator" w:id="0">
    <w:p w14:paraId="791CE655" w14:textId="77777777" w:rsidR="00A95647" w:rsidRDefault="00A95647" w:rsidP="009C5937">
      <w:r>
        <w:continuationSeparator/>
      </w:r>
    </w:p>
  </w:footnote>
  <w:footnote w:id="1">
    <w:p w14:paraId="085DE571" w14:textId="77777777" w:rsidR="006D5AD4" w:rsidRPr="002B2583" w:rsidRDefault="006D5AD4" w:rsidP="006D5AD4">
      <w:pPr>
        <w:pStyle w:val="FootnoteText"/>
      </w:pPr>
      <w:r>
        <w:rPr>
          <w:rStyle w:val="FootnoteReference"/>
        </w:rPr>
        <w:footnoteRef/>
      </w:r>
      <w:r>
        <w:t xml:space="preserve"> </w:t>
      </w:r>
      <w:r w:rsidRPr="002B2583">
        <w:t xml:space="preserve">This guidance does not address CEQA-qualified plans for reducing greenhouse gas emissions prepared pursuant to CEQA Guidelines </w:t>
      </w:r>
      <w:hyperlink r:id="rId1" w:history="1">
        <w:r>
          <w:rPr>
            <w:rStyle w:val="Hyperlink"/>
          </w:rPr>
          <w:t>Section 15183.5</w:t>
        </w:r>
      </w:hyperlink>
      <w:r>
        <w:t xml:space="preserve">. </w:t>
      </w:r>
      <w:r w:rsidRPr="002B2583">
        <w:t>For guidance on preparing a CEQA-qualified CAP</w:t>
      </w:r>
      <w:r>
        <w:t xml:space="preserve"> or CAAP</w:t>
      </w:r>
      <w:r w:rsidRPr="002B2583">
        <w:t xml:space="preserve">, refer to </w:t>
      </w:r>
      <w:hyperlink r:id="rId2" w:history="1">
        <w:r w:rsidRPr="002B2583">
          <w:rPr>
            <w:rStyle w:val="Hyperlink"/>
          </w:rPr>
          <w:t>Chapter 8</w:t>
        </w:r>
      </w:hyperlink>
      <w:r w:rsidRPr="002B2583">
        <w:t xml:space="preserve"> of the Governor’s Office of Land Use and Climate Innovation’s General Plan Guidelines.</w:t>
      </w:r>
    </w:p>
    <w:p w14:paraId="1537E822" w14:textId="77777777" w:rsidR="006D5AD4" w:rsidRDefault="006D5AD4" w:rsidP="006D5AD4">
      <w:pPr>
        <w:pStyle w:val="FootnoteText"/>
      </w:pPr>
    </w:p>
  </w:footnote>
  <w:footnote w:id="2">
    <w:p w14:paraId="1CD13027" w14:textId="77777777" w:rsidR="006D5AD4" w:rsidRPr="007C76C1" w:rsidRDefault="006D5AD4" w:rsidP="006D5AD4">
      <w:pPr>
        <w:rPr>
          <w:b/>
          <w:bCs/>
          <w:sz w:val="20"/>
          <w:szCs w:val="18"/>
        </w:rPr>
      </w:pPr>
      <w:r>
        <w:rPr>
          <w:rStyle w:val="FootnoteReference"/>
        </w:rPr>
        <w:footnoteRef/>
      </w:r>
      <w:r>
        <w:t xml:space="preserve"> </w:t>
      </w:r>
      <w:r w:rsidRPr="007C76C1">
        <w:rPr>
          <w:sz w:val="20"/>
          <w:szCs w:val="18"/>
        </w:rPr>
        <w:t xml:space="preserve">Tribes may participate in a multi-jurisdictional Local Hazard Mitigation Plan (LHMP) alongside local governments. However, federally recognized tribes must independently meet the tribal mitigation planning requirements under </w:t>
      </w:r>
      <w:hyperlink r:id="rId3" w:history="1">
        <w:r w:rsidRPr="007C76C1">
          <w:rPr>
            <w:rStyle w:val="Hyperlink"/>
            <w:color w:val="3333FF"/>
            <w:sz w:val="20"/>
            <w:szCs w:val="18"/>
          </w:rPr>
          <w:t>44 CFR § 201.7</w:t>
        </w:r>
      </w:hyperlink>
      <w:r w:rsidRPr="007C76C1">
        <w:rPr>
          <w:sz w:val="20"/>
          <w:szCs w:val="18"/>
        </w:rPr>
        <w:t xml:space="preserve">. </w:t>
      </w:r>
      <w:r w:rsidRPr="00192A8C">
        <w:rPr>
          <w:sz w:val="20"/>
          <w:szCs w:val="18"/>
        </w:rPr>
        <w:t xml:space="preserve">When a non-federally recognized tribe participates in an LHMP, it must meet the local mitigation planning requirements specified in </w:t>
      </w:r>
      <w:hyperlink r:id="rId4" w:history="1">
        <w:r w:rsidRPr="007C76C1">
          <w:rPr>
            <w:rStyle w:val="Hyperlink"/>
            <w:sz w:val="20"/>
            <w:szCs w:val="18"/>
          </w:rPr>
          <w:t>44 CFR § 201.6</w:t>
        </w:r>
      </w:hyperlink>
      <w:r w:rsidRPr="007C76C1">
        <w:rPr>
          <w:sz w:val="20"/>
          <w:szCs w:val="18"/>
        </w:rPr>
        <w:t>.</w:t>
      </w:r>
    </w:p>
    <w:p w14:paraId="20310CCE" w14:textId="77777777" w:rsidR="006D5AD4" w:rsidRPr="007C76C1" w:rsidRDefault="006D5AD4" w:rsidP="006D5AD4">
      <w:pPr>
        <w:rPr>
          <w:b/>
          <w:bCs/>
          <w:sz w:val="20"/>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2C3D" w14:textId="7A1B2C3D" w:rsidR="0024058D" w:rsidRDefault="00987FAD">
    <w:pPr>
      <w:pStyle w:val="Header"/>
    </w:pPr>
    <w:r>
      <w:rPr>
        <w:noProof/>
      </w:rPr>
      <w:pict w14:anchorId="30D449B6">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f" shapetype="f"/>
        </v:shapetype>
      </w:pict>
    </w:r>
    <w:r>
      <w:rPr>
        <w:noProof/>
      </w:rPr>
      <w:pict w14:anchorId="5B1C9A17">
        <v:shape id="PublicCommentDraftWatermark" o:spid="_x0000_s1025" type="#_x0000_m1026" style="position:absolute;margin-left:0;margin-top:0;width:451pt;height:225.5pt;rotation:315;z-index:-251652608;mso-position-horizontal:center;mso-position-horizontal-relative:margin;mso-position-vertical:center;mso-position-vertical-relative:margin" o:spt="136" o:allowincell="f" adj="10800" path="m@7,l@8,m@5,21600l@6,21600e" fillcolor="silver" stroked="f">
          <v:fill opacity=".5"/>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Calibri&quot;;font-size:1pt" fitshape="t" string="PUBLIC COMMENT DRAFT"/>
          <v:handles>
            <v:h position="#0,bottomRight" xrange="6629,14971"/>
          </v:handles>
          <o:lock v:ext="edit" text="f" shapetype="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4F60" w14:textId="35F4C2FD" w:rsidR="00AB09F6" w:rsidRPr="00EA6FEC" w:rsidRDefault="00244841" w:rsidP="00C56361">
    <w:pPr>
      <w:spacing w:before="20"/>
      <w:rPr>
        <w:b/>
      </w:rPr>
    </w:pPr>
    <w:r>
      <w:rPr>
        <w:b/>
      </w:rPr>
      <w:t>2026</w:t>
    </w:r>
    <w:r w:rsidR="00EA6FEC" w:rsidRPr="00C42AFF">
      <w:rPr>
        <w:b/>
        <w:spacing w:val="9"/>
      </w:rPr>
      <w:t xml:space="preserve"> </w:t>
    </w:r>
    <w:r w:rsidR="00EA6FEC" w:rsidRPr="00C42AFF">
      <w:rPr>
        <w:b/>
      </w:rPr>
      <w:t>Adaptation</w:t>
    </w:r>
    <w:r w:rsidR="00EA6FEC" w:rsidRPr="00C42AFF">
      <w:rPr>
        <w:b/>
        <w:spacing w:val="10"/>
      </w:rPr>
      <w:t xml:space="preserve"> </w:t>
    </w:r>
    <w:r w:rsidR="00EA6FEC" w:rsidRPr="00C42AFF">
      <w:rPr>
        <w:b/>
      </w:rPr>
      <w:t>Planning</w:t>
    </w:r>
    <w:r w:rsidR="00EA6FEC" w:rsidRPr="00C42AFF">
      <w:rPr>
        <w:b/>
        <w:spacing w:val="10"/>
      </w:rPr>
      <w:t xml:space="preserve"> </w:t>
    </w:r>
    <w:r w:rsidR="00EA6FEC" w:rsidRPr="00C42AFF">
      <w:rPr>
        <w:b/>
        <w:spacing w:val="-4"/>
      </w:rPr>
      <w:t>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4AEC" w14:textId="77777777" w:rsidR="007C58F6" w:rsidRDefault="007C58F6" w:rsidP="00CE2563">
    <w:pPr>
      <w:pStyle w:val="BodyText"/>
    </w:pPr>
    <w:r>
      <w:rPr>
        <w:noProof/>
      </w:rPr>
      <mc:AlternateContent>
        <mc:Choice Requires="wpg">
          <w:drawing>
            <wp:anchor distT="0" distB="0" distL="0" distR="0" simplePos="0" relativeHeight="251651584" behindDoc="1" locked="0" layoutInCell="1" allowOverlap="1" wp14:anchorId="2B091804" wp14:editId="449A7955">
              <wp:simplePos x="0" y="0"/>
              <wp:positionH relativeFrom="page">
                <wp:posOffset>0</wp:posOffset>
              </wp:positionH>
              <wp:positionV relativeFrom="page">
                <wp:posOffset>-7937</wp:posOffset>
              </wp:positionV>
              <wp:extent cx="7780655" cy="1066800"/>
              <wp:effectExtent l="0" t="0" r="0" b="0"/>
              <wp:wrapNone/>
              <wp:docPr id="1405526291" name="Group 1405526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655" cy="1066800"/>
                        <a:chOff x="0" y="0"/>
                        <a:chExt cx="7780655" cy="1066800"/>
                      </a:xfrm>
                    </wpg:grpSpPr>
                    <pic:pic xmlns:pic="http://schemas.openxmlformats.org/drawingml/2006/picture">
                      <pic:nvPicPr>
                        <pic:cNvPr id="718027282" name="Image 526"/>
                        <pic:cNvPicPr/>
                      </pic:nvPicPr>
                      <pic:blipFill>
                        <a:blip r:embed="rId1" cstate="print"/>
                        <a:stretch>
                          <a:fillRect/>
                        </a:stretch>
                      </pic:blipFill>
                      <pic:spPr>
                        <a:xfrm>
                          <a:off x="0" y="7937"/>
                          <a:ext cx="7772400" cy="1027684"/>
                        </a:xfrm>
                        <a:prstGeom prst="rect">
                          <a:avLst/>
                        </a:prstGeom>
                      </pic:spPr>
                    </pic:pic>
                    <wps:wsp>
                      <wps:cNvPr id="1047169890" name="Graphic 527"/>
                      <wps:cNvSpPr/>
                      <wps:spPr>
                        <a:xfrm>
                          <a:off x="2775641" y="7937"/>
                          <a:ext cx="4996815" cy="889000"/>
                        </a:xfrm>
                        <a:custGeom>
                          <a:avLst/>
                          <a:gdLst/>
                          <a:ahLst/>
                          <a:cxnLst/>
                          <a:rect l="l" t="t" r="r" b="b"/>
                          <a:pathLst>
                            <a:path w="4996815" h="889000">
                              <a:moveTo>
                                <a:pt x="0" y="0"/>
                              </a:moveTo>
                              <a:lnTo>
                                <a:pt x="59529" y="22783"/>
                              </a:lnTo>
                              <a:lnTo>
                                <a:pt x="127392" y="48143"/>
                              </a:lnTo>
                              <a:lnTo>
                                <a:pt x="196987" y="73509"/>
                              </a:lnTo>
                              <a:lnTo>
                                <a:pt x="268325" y="98862"/>
                              </a:lnTo>
                              <a:lnTo>
                                <a:pt x="304653" y="111527"/>
                              </a:lnTo>
                              <a:lnTo>
                                <a:pt x="341423" y="124182"/>
                              </a:lnTo>
                              <a:lnTo>
                                <a:pt x="378636" y="136823"/>
                              </a:lnTo>
                              <a:lnTo>
                                <a:pt x="416295" y="149449"/>
                              </a:lnTo>
                              <a:lnTo>
                                <a:pt x="454400" y="162057"/>
                              </a:lnTo>
                              <a:lnTo>
                                <a:pt x="492955" y="174643"/>
                              </a:lnTo>
                              <a:lnTo>
                                <a:pt x="531960" y="187207"/>
                              </a:lnTo>
                              <a:lnTo>
                                <a:pt x="571417" y="199746"/>
                              </a:lnTo>
                              <a:lnTo>
                                <a:pt x="611329" y="212256"/>
                              </a:lnTo>
                              <a:lnTo>
                                <a:pt x="651697" y="224735"/>
                              </a:lnTo>
                              <a:lnTo>
                                <a:pt x="692523" y="237182"/>
                              </a:lnTo>
                              <a:lnTo>
                                <a:pt x="733808" y="249594"/>
                              </a:lnTo>
                              <a:lnTo>
                                <a:pt x="775555" y="261967"/>
                              </a:lnTo>
                              <a:lnTo>
                                <a:pt x="817766" y="274300"/>
                              </a:lnTo>
                              <a:lnTo>
                                <a:pt x="860442" y="286590"/>
                              </a:lnTo>
                              <a:lnTo>
                                <a:pt x="903584" y="298835"/>
                              </a:lnTo>
                              <a:lnTo>
                                <a:pt x="947196" y="311032"/>
                              </a:lnTo>
                              <a:lnTo>
                                <a:pt x="991278" y="323179"/>
                              </a:lnTo>
                              <a:lnTo>
                                <a:pt x="1035833" y="335273"/>
                              </a:lnTo>
                              <a:lnTo>
                                <a:pt x="1080861" y="347312"/>
                              </a:lnTo>
                              <a:lnTo>
                                <a:pt x="1126366" y="359293"/>
                              </a:lnTo>
                              <a:lnTo>
                                <a:pt x="1172349" y="371214"/>
                              </a:lnTo>
                              <a:lnTo>
                                <a:pt x="1218812" y="383073"/>
                              </a:lnTo>
                              <a:lnTo>
                                <a:pt x="1265755" y="394866"/>
                              </a:lnTo>
                              <a:lnTo>
                                <a:pt x="1313183" y="406592"/>
                              </a:lnTo>
                              <a:lnTo>
                                <a:pt x="1361095" y="418248"/>
                              </a:lnTo>
                              <a:lnTo>
                                <a:pt x="1409495" y="429831"/>
                              </a:lnTo>
                              <a:lnTo>
                                <a:pt x="1458383" y="441340"/>
                              </a:lnTo>
                              <a:lnTo>
                                <a:pt x="1507761" y="452771"/>
                              </a:lnTo>
                              <a:lnTo>
                                <a:pt x="1557632" y="464122"/>
                              </a:lnTo>
                              <a:lnTo>
                                <a:pt x="1607998" y="475391"/>
                              </a:lnTo>
                              <a:lnTo>
                                <a:pt x="1658859" y="486574"/>
                              </a:lnTo>
                              <a:lnTo>
                                <a:pt x="1710218" y="497671"/>
                              </a:lnTo>
                              <a:lnTo>
                                <a:pt x="1762077" y="508678"/>
                              </a:lnTo>
                              <a:lnTo>
                                <a:pt x="1814437" y="519593"/>
                              </a:lnTo>
                              <a:lnTo>
                                <a:pt x="1867301" y="530412"/>
                              </a:lnTo>
                              <a:lnTo>
                                <a:pt x="1920669" y="541135"/>
                              </a:lnTo>
                              <a:lnTo>
                                <a:pt x="1974545" y="551758"/>
                              </a:lnTo>
                              <a:lnTo>
                                <a:pt x="2028929" y="562279"/>
                              </a:lnTo>
                              <a:lnTo>
                                <a:pt x="2083823" y="572696"/>
                              </a:lnTo>
                              <a:lnTo>
                                <a:pt x="2139230" y="583005"/>
                              </a:lnTo>
                              <a:lnTo>
                                <a:pt x="2195151" y="593205"/>
                              </a:lnTo>
                              <a:lnTo>
                                <a:pt x="2251589" y="603292"/>
                              </a:lnTo>
                              <a:lnTo>
                                <a:pt x="2308543" y="613266"/>
                              </a:lnTo>
                              <a:lnTo>
                                <a:pt x="2366018" y="623122"/>
                              </a:lnTo>
                              <a:lnTo>
                                <a:pt x="2424014" y="632859"/>
                              </a:lnTo>
                              <a:lnTo>
                                <a:pt x="2482533" y="642474"/>
                              </a:lnTo>
                              <a:lnTo>
                                <a:pt x="2541577" y="651965"/>
                              </a:lnTo>
                              <a:lnTo>
                                <a:pt x="2601148" y="661329"/>
                              </a:lnTo>
                              <a:lnTo>
                                <a:pt x="2661247" y="670563"/>
                              </a:lnTo>
                              <a:lnTo>
                                <a:pt x="2721877" y="679666"/>
                              </a:lnTo>
                              <a:lnTo>
                                <a:pt x="2783040" y="688635"/>
                              </a:lnTo>
                              <a:lnTo>
                                <a:pt x="2844736" y="697467"/>
                              </a:lnTo>
                              <a:lnTo>
                                <a:pt x="2906968" y="706160"/>
                              </a:lnTo>
                              <a:lnTo>
                                <a:pt x="2969738" y="714711"/>
                              </a:lnTo>
                              <a:lnTo>
                                <a:pt x="3033048" y="723118"/>
                              </a:lnTo>
                              <a:lnTo>
                                <a:pt x="3096899" y="731378"/>
                              </a:lnTo>
                              <a:lnTo>
                                <a:pt x="3161293" y="739490"/>
                              </a:lnTo>
                              <a:lnTo>
                                <a:pt x="3226232" y="747450"/>
                              </a:lnTo>
                              <a:lnTo>
                                <a:pt x="3291718" y="755256"/>
                              </a:lnTo>
                              <a:lnTo>
                                <a:pt x="3357752" y="762905"/>
                              </a:lnTo>
                              <a:lnTo>
                                <a:pt x="3424337" y="770396"/>
                              </a:lnTo>
                              <a:lnTo>
                                <a:pt x="3491474" y="777725"/>
                              </a:lnTo>
                              <a:lnTo>
                                <a:pt x="3559165" y="784891"/>
                              </a:lnTo>
                              <a:lnTo>
                                <a:pt x="3627412" y="791890"/>
                              </a:lnTo>
                              <a:lnTo>
                                <a:pt x="3696217" y="798720"/>
                              </a:lnTo>
                              <a:lnTo>
                                <a:pt x="3765581" y="805379"/>
                              </a:lnTo>
                              <a:lnTo>
                                <a:pt x="3835506" y="811864"/>
                              </a:lnTo>
                              <a:lnTo>
                                <a:pt x="3905994" y="818173"/>
                              </a:lnTo>
                              <a:lnTo>
                                <a:pt x="3977048" y="824303"/>
                              </a:lnTo>
                              <a:lnTo>
                                <a:pt x="4048668" y="830253"/>
                              </a:lnTo>
                              <a:lnTo>
                                <a:pt x="4120857" y="836018"/>
                              </a:lnTo>
                              <a:lnTo>
                                <a:pt x="4193616" y="841598"/>
                              </a:lnTo>
                              <a:lnTo>
                                <a:pt x="4266947" y="846989"/>
                              </a:lnTo>
                              <a:lnTo>
                                <a:pt x="4340852" y="852188"/>
                              </a:lnTo>
                              <a:lnTo>
                                <a:pt x="4415333" y="857195"/>
                              </a:lnTo>
                              <a:lnTo>
                                <a:pt x="4490392" y="862005"/>
                              </a:lnTo>
                              <a:lnTo>
                                <a:pt x="4566030" y="866617"/>
                              </a:lnTo>
                              <a:lnTo>
                                <a:pt x="4642249" y="871028"/>
                              </a:lnTo>
                              <a:lnTo>
                                <a:pt x="4719051" y="875236"/>
                              </a:lnTo>
                              <a:lnTo>
                                <a:pt x="4796438" y="879238"/>
                              </a:lnTo>
                              <a:lnTo>
                                <a:pt x="4874412" y="883032"/>
                              </a:lnTo>
                              <a:lnTo>
                                <a:pt x="4952974" y="886614"/>
                              </a:lnTo>
                              <a:lnTo>
                                <a:pt x="4996758" y="888478"/>
                              </a:lnTo>
                            </a:path>
                          </a:pathLst>
                        </a:custGeom>
                        <a:ln w="15875">
                          <a:solidFill>
                            <a:srgbClr val="FFFFFF"/>
                          </a:solidFill>
                          <a:prstDash val="solid"/>
                        </a:ln>
                      </wps:spPr>
                      <wps:bodyPr wrap="square" lIns="0" tIns="0" rIns="0" bIns="0" rtlCol="0">
                        <a:prstTxWarp prst="textNoShape">
                          <a:avLst/>
                        </a:prstTxWarp>
                        <a:noAutofit/>
                      </wps:bodyPr>
                    </wps:wsp>
                    <wps:wsp>
                      <wps:cNvPr id="484093731" name="Graphic 528"/>
                      <wps:cNvSpPr/>
                      <wps:spPr>
                        <a:xfrm>
                          <a:off x="1582394" y="7937"/>
                          <a:ext cx="6190615" cy="1052195"/>
                        </a:xfrm>
                        <a:custGeom>
                          <a:avLst/>
                          <a:gdLst/>
                          <a:ahLst/>
                          <a:cxnLst/>
                          <a:rect l="l" t="t" r="r" b="b"/>
                          <a:pathLst>
                            <a:path w="6190615" h="1052195">
                              <a:moveTo>
                                <a:pt x="0" y="0"/>
                              </a:moveTo>
                              <a:lnTo>
                                <a:pt x="46934" y="20813"/>
                              </a:lnTo>
                              <a:lnTo>
                                <a:pt x="108381" y="47449"/>
                              </a:lnTo>
                              <a:lnTo>
                                <a:pt x="171679" y="74217"/>
                              </a:lnTo>
                              <a:lnTo>
                                <a:pt x="236845" y="101095"/>
                              </a:lnTo>
                              <a:lnTo>
                                <a:pt x="303896" y="128056"/>
                              </a:lnTo>
                              <a:lnTo>
                                <a:pt x="372850" y="155078"/>
                              </a:lnTo>
                              <a:lnTo>
                                <a:pt x="443724" y="182136"/>
                              </a:lnTo>
                              <a:lnTo>
                                <a:pt x="479886" y="195672"/>
                              </a:lnTo>
                              <a:lnTo>
                                <a:pt x="516535" y="209207"/>
                              </a:lnTo>
                              <a:lnTo>
                                <a:pt x="553672" y="222740"/>
                              </a:lnTo>
                              <a:lnTo>
                                <a:pt x="591301" y="236266"/>
                              </a:lnTo>
                              <a:lnTo>
                                <a:pt x="629422" y="249784"/>
                              </a:lnTo>
                              <a:lnTo>
                                <a:pt x="668039" y="263290"/>
                              </a:lnTo>
                              <a:lnTo>
                                <a:pt x="707153" y="276780"/>
                              </a:lnTo>
                              <a:lnTo>
                                <a:pt x="746766" y="290253"/>
                              </a:lnTo>
                              <a:lnTo>
                                <a:pt x="786881" y="303705"/>
                              </a:lnTo>
                              <a:lnTo>
                                <a:pt x="827500" y="317133"/>
                              </a:lnTo>
                              <a:lnTo>
                                <a:pt x="868626" y="330535"/>
                              </a:lnTo>
                              <a:lnTo>
                                <a:pt x="910259" y="343906"/>
                              </a:lnTo>
                              <a:lnTo>
                                <a:pt x="952403" y="357244"/>
                              </a:lnTo>
                              <a:lnTo>
                                <a:pt x="995059" y="370547"/>
                              </a:lnTo>
                              <a:lnTo>
                                <a:pt x="1038230" y="383810"/>
                              </a:lnTo>
                              <a:lnTo>
                                <a:pt x="1081918" y="397031"/>
                              </a:lnTo>
                              <a:lnTo>
                                <a:pt x="1126125" y="410208"/>
                              </a:lnTo>
                              <a:lnTo>
                                <a:pt x="1170853" y="423337"/>
                              </a:lnTo>
                              <a:lnTo>
                                <a:pt x="1216105" y="436414"/>
                              </a:lnTo>
                              <a:lnTo>
                                <a:pt x="1261882" y="449438"/>
                              </a:lnTo>
                              <a:lnTo>
                                <a:pt x="1308187" y="462405"/>
                              </a:lnTo>
                              <a:lnTo>
                                <a:pt x="1355022" y="475312"/>
                              </a:lnTo>
                              <a:lnTo>
                                <a:pt x="1402390" y="488156"/>
                              </a:lnTo>
                              <a:lnTo>
                                <a:pt x="1450291" y="500934"/>
                              </a:lnTo>
                              <a:lnTo>
                                <a:pt x="1498729" y="513643"/>
                              </a:lnTo>
                              <a:lnTo>
                                <a:pt x="1547705" y="526280"/>
                              </a:lnTo>
                              <a:lnTo>
                                <a:pt x="1597222" y="538842"/>
                              </a:lnTo>
                              <a:lnTo>
                                <a:pt x="1647283" y="551327"/>
                              </a:lnTo>
                              <a:lnTo>
                                <a:pt x="1697888" y="563730"/>
                              </a:lnTo>
                              <a:lnTo>
                                <a:pt x="1749041" y="576049"/>
                              </a:lnTo>
                              <a:lnTo>
                                <a:pt x="1800743" y="588282"/>
                              </a:lnTo>
                              <a:lnTo>
                                <a:pt x="1852996" y="600424"/>
                              </a:lnTo>
                              <a:lnTo>
                                <a:pt x="1905804" y="612474"/>
                              </a:lnTo>
                              <a:lnTo>
                                <a:pt x="1959167" y="624427"/>
                              </a:lnTo>
                              <a:lnTo>
                                <a:pt x="2013089" y="636282"/>
                              </a:lnTo>
                              <a:lnTo>
                                <a:pt x="2067571" y="648034"/>
                              </a:lnTo>
                              <a:lnTo>
                                <a:pt x="2122616" y="659682"/>
                              </a:lnTo>
                              <a:lnTo>
                                <a:pt x="2178225" y="671222"/>
                              </a:lnTo>
                              <a:lnTo>
                                <a:pt x="2234401" y="682650"/>
                              </a:lnTo>
                              <a:lnTo>
                                <a:pt x="2291146" y="693965"/>
                              </a:lnTo>
                              <a:lnTo>
                                <a:pt x="2348462" y="705163"/>
                              </a:lnTo>
                              <a:lnTo>
                                <a:pt x="2406352" y="716241"/>
                              </a:lnTo>
                              <a:lnTo>
                                <a:pt x="2464817" y="727195"/>
                              </a:lnTo>
                              <a:lnTo>
                                <a:pt x="2523860" y="738024"/>
                              </a:lnTo>
                              <a:lnTo>
                                <a:pt x="2583482" y="748724"/>
                              </a:lnTo>
                              <a:lnTo>
                                <a:pt x="2643687" y="759292"/>
                              </a:lnTo>
                              <a:lnTo>
                                <a:pt x="2704476" y="769725"/>
                              </a:lnTo>
                              <a:lnTo>
                                <a:pt x="2765851" y="780020"/>
                              </a:lnTo>
                              <a:lnTo>
                                <a:pt x="2827815" y="790174"/>
                              </a:lnTo>
                              <a:lnTo>
                                <a:pt x="2890369" y="800184"/>
                              </a:lnTo>
                              <a:lnTo>
                                <a:pt x="2953517" y="810047"/>
                              </a:lnTo>
                              <a:lnTo>
                                <a:pt x="3017259" y="819760"/>
                              </a:lnTo>
                              <a:lnTo>
                                <a:pt x="3081599" y="829320"/>
                              </a:lnTo>
                              <a:lnTo>
                                <a:pt x="3146538" y="838724"/>
                              </a:lnTo>
                              <a:lnTo>
                                <a:pt x="3212079" y="847969"/>
                              </a:lnTo>
                              <a:lnTo>
                                <a:pt x="3278224" y="857052"/>
                              </a:lnTo>
                              <a:lnTo>
                                <a:pt x="3344974" y="865970"/>
                              </a:lnTo>
                              <a:lnTo>
                                <a:pt x="3412332" y="874720"/>
                              </a:lnTo>
                              <a:lnTo>
                                <a:pt x="3480301" y="883299"/>
                              </a:lnTo>
                              <a:lnTo>
                                <a:pt x="3548882" y="891704"/>
                              </a:lnTo>
                              <a:lnTo>
                                <a:pt x="3618078" y="899932"/>
                              </a:lnTo>
                              <a:lnTo>
                                <a:pt x="3687891" y="907980"/>
                              </a:lnTo>
                              <a:lnTo>
                                <a:pt x="3758322" y="915845"/>
                              </a:lnTo>
                              <a:lnTo>
                                <a:pt x="3829375" y="923524"/>
                              </a:lnTo>
                              <a:lnTo>
                                <a:pt x="3901051" y="931014"/>
                              </a:lnTo>
                              <a:lnTo>
                                <a:pt x="3973352" y="938312"/>
                              </a:lnTo>
                              <a:lnTo>
                                <a:pt x="4046281" y="945415"/>
                              </a:lnTo>
                              <a:lnTo>
                                <a:pt x="4119840" y="952320"/>
                              </a:lnTo>
                              <a:lnTo>
                                <a:pt x="4194031" y="959024"/>
                              </a:lnTo>
                              <a:lnTo>
                                <a:pt x="4268856" y="965524"/>
                              </a:lnTo>
                              <a:lnTo>
                                <a:pt x="4344317" y="971817"/>
                              </a:lnTo>
                              <a:lnTo>
                                <a:pt x="4420416" y="977900"/>
                              </a:lnTo>
                              <a:lnTo>
                                <a:pt x="4497157" y="983770"/>
                              </a:lnTo>
                              <a:lnTo>
                                <a:pt x="4574540" y="989424"/>
                              </a:lnTo>
                              <a:lnTo>
                                <a:pt x="4652568" y="994859"/>
                              </a:lnTo>
                              <a:lnTo>
                                <a:pt x="4731243" y="1000072"/>
                              </a:lnTo>
                              <a:lnTo>
                                <a:pt x="4810568" y="1005059"/>
                              </a:lnTo>
                              <a:lnTo>
                                <a:pt x="4890544" y="1009819"/>
                              </a:lnTo>
                              <a:lnTo>
                                <a:pt x="4971174" y="1014348"/>
                              </a:lnTo>
                              <a:lnTo>
                                <a:pt x="5052460" y="1018643"/>
                              </a:lnTo>
                              <a:lnTo>
                                <a:pt x="5134404" y="1022700"/>
                              </a:lnTo>
                              <a:lnTo>
                                <a:pt x="5217008" y="1026518"/>
                              </a:lnTo>
                              <a:lnTo>
                                <a:pt x="5300274" y="1030093"/>
                              </a:lnTo>
                              <a:lnTo>
                                <a:pt x="5384205" y="1033421"/>
                              </a:lnTo>
                              <a:lnTo>
                                <a:pt x="5468802" y="1036501"/>
                              </a:lnTo>
                              <a:lnTo>
                                <a:pt x="5554069" y="1039328"/>
                              </a:lnTo>
                              <a:lnTo>
                                <a:pt x="5640006" y="1041901"/>
                              </a:lnTo>
                              <a:lnTo>
                                <a:pt x="5726617" y="1044215"/>
                              </a:lnTo>
                              <a:lnTo>
                                <a:pt x="5813903" y="1046269"/>
                              </a:lnTo>
                              <a:lnTo>
                                <a:pt x="5901867" y="1048058"/>
                              </a:lnTo>
                              <a:lnTo>
                                <a:pt x="5990510" y="1049580"/>
                              </a:lnTo>
                              <a:lnTo>
                                <a:pt x="6079835" y="1050833"/>
                              </a:lnTo>
                              <a:lnTo>
                                <a:pt x="6169845" y="1051812"/>
                              </a:lnTo>
                              <a:lnTo>
                                <a:pt x="6190005" y="1051968"/>
                              </a:lnTo>
                            </a:path>
                          </a:pathLst>
                        </a:custGeom>
                        <a:ln w="12699">
                          <a:solidFill>
                            <a:srgbClr val="FFFFFF"/>
                          </a:solidFill>
                          <a:prstDash val="solid"/>
                        </a:ln>
                      </wps:spPr>
                      <wps:bodyPr wrap="square" lIns="0" tIns="0" rIns="0" bIns="0" rtlCol="0">
                        <a:prstTxWarp prst="textNoShape">
                          <a:avLst/>
                        </a:prstTxWarp>
                        <a:noAutofit/>
                      </wps:bodyPr>
                    </wps:wsp>
                    <wps:wsp>
                      <wps:cNvPr id="100756701" name="Graphic 529"/>
                      <wps:cNvSpPr/>
                      <wps:spPr>
                        <a:xfrm>
                          <a:off x="796552" y="7937"/>
                          <a:ext cx="6976109" cy="951865"/>
                        </a:xfrm>
                        <a:custGeom>
                          <a:avLst/>
                          <a:gdLst/>
                          <a:ahLst/>
                          <a:cxnLst/>
                          <a:rect l="l" t="t" r="r" b="b"/>
                          <a:pathLst>
                            <a:path w="6976109" h="951865">
                              <a:moveTo>
                                <a:pt x="0" y="0"/>
                              </a:moveTo>
                              <a:lnTo>
                                <a:pt x="43738" y="14576"/>
                              </a:lnTo>
                              <a:lnTo>
                                <a:pt x="102995" y="33952"/>
                              </a:lnTo>
                              <a:lnTo>
                                <a:pt x="163964" y="53475"/>
                              </a:lnTo>
                              <a:lnTo>
                                <a:pt x="226659" y="73131"/>
                              </a:lnTo>
                              <a:lnTo>
                                <a:pt x="291095" y="92905"/>
                              </a:lnTo>
                              <a:lnTo>
                                <a:pt x="357286" y="112784"/>
                              </a:lnTo>
                              <a:lnTo>
                                <a:pt x="425249" y="132754"/>
                              </a:lnTo>
                              <a:lnTo>
                                <a:pt x="494996" y="152800"/>
                              </a:lnTo>
                              <a:lnTo>
                                <a:pt x="566544" y="172908"/>
                              </a:lnTo>
                              <a:lnTo>
                                <a:pt x="639906" y="193065"/>
                              </a:lnTo>
                              <a:lnTo>
                                <a:pt x="677272" y="203157"/>
                              </a:lnTo>
                              <a:lnTo>
                                <a:pt x="715098" y="213256"/>
                              </a:lnTo>
                              <a:lnTo>
                                <a:pt x="753384" y="223360"/>
                              </a:lnTo>
                              <a:lnTo>
                                <a:pt x="792134" y="233467"/>
                              </a:lnTo>
                              <a:lnTo>
                                <a:pt x="831348" y="243575"/>
                              </a:lnTo>
                              <a:lnTo>
                                <a:pt x="871029" y="253684"/>
                              </a:lnTo>
                              <a:lnTo>
                                <a:pt x="911178" y="263790"/>
                              </a:lnTo>
                              <a:lnTo>
                                <a:pt x="951798" y="273893"/>
                              </a:lnTo>
                              <a:lnTo>
                                <a:pt x="992890" y="283990"/>
                              </a:lnTo>
                              <a:lnTo>
                                <a:pt x="1034455" y="294080"/>
                              </a:lnTo>
                              <a:lnTo>
                                <a:pt x="1076497" y="304160"/>
                              </a:lnTo>
                              <a:lnTo>
                                <a:pt x="1119016" y="314230"/>
                              </a:lnTo>
                              <a:lnTo>
                                <a:pt x="1162015" y="324287"/>
                              </a:lnTo>
                              <a:lnTo>
                                <a:pt x="1205495" y="334330"/>
                              </a:lnTo>
                              <a:lnTo>
                                <a:pt x="1249458" y="344357"/>
                              </a:lnTo>
                              <a:lnTo>
                                <a:pt x="1293906" y="354366"/>
                              </a:lnTo>
                              <a:lnTo>
                                <a:pt x="1338842" y="364355"/>
                              </a:lnTo>
                              <a:lnTo>
                                <a:pt x="1384265" y="374323"/>
                              </a:lnTo>
                              <a:lnTo>
                                <a:pt x="1430180" y="384268"/>
                              </a:lnTo>
                              <a:lnTo>
                                <a:pt x="1476587" y="394188"/>
                              </a:lnTo>
                              <a:lnTo>
                                <a:pt x="1523488" y="404081"/>
                              </a:lnTo>
                              <a:lnTo>
                                <a:pt x="1570885" y="413946"/>
                              </a:lnTo>
                              <a:lnTo>
                                <a:pt x="1618780" y="423781"/>
                              </a:lnTo>
                              <a:lnTo>
                                <a:pt x="1667176" y="433583"/>
                              </a:lnTo>
                              <a:lnTo>
                                <a:pt x="1716072" y="443352"/>
                              </a:lnTo>
                              <a:lnTo>
                                <a:pt x="1765472" y="453086"/>
                              </a:lnTo>
                              <a:lnTo>
                                <a:pt x="1815378" y="462782"/>
                              </a:lnTo>
                              <a:lnTo>
                                <a:pt x="1865790" y="472439"/>
                              </a:lnTo>
                              <a:lnTo>
                                <a:pt x="1916712" y="482055"/>
                              </a:lnTo>
                              <a:lnTo>
                                <a:pt x="1968145" y="491629"/>
                              </a:lnTo>
                              <a:lnTo>
                                <a:pt x="2020090" y="501159"/>
                              </a:lnTo>
                              <a:lnTo>
                                <a:pt x="2072550" y="510642"/>
                              </a:lnTo>
                              <a:lnTo>
                                <a:pt x="2125526" y="520078"/>
                              </a:lnTo>
                              <a:lnTo>
                                <a:pt x="2179020" y="529464"/>
                              </a:lnTo>
                              <a:lnTo>
                                <a:pt x="2233035" y="538799"/>
                              </a:lnTo>
                              <a:lnTo>
                                <a:pt x="2287571" y="548081"/>
                              </a:lnTo>
                              <a:lnTo>
                                <a:pt x="2342631" y="557308"/>
                              </a:lnTo>
                              <a:lnTo>
                                <a:pt x="2398217" y="566478"/>
                              </a:lnTo>
                              <a:lnTo>
                                <a:pt x="2454331" y="575590"/>
                              </a:lnTo>
                              <a:lnTo>
                                <a:pt x="2510973" y="584642"/>
                              </a:lnTo>
                              <a:lnTo>
                                <a:pt x="2568147" y="593632"/>
                              </a:lnTo>
                              <a:lnTo>
                                <a:pt x="2625854" y="602558"/>
                              </a:lnTo>
                              <a:lnTo>
                                <a:pt x="2684095" y="611419"/>
                              </a:lnTo>
                              <a:lnTo>
                                <a:pt x="2742873" y="620213"/>
                              </a:lnTo>
                              <a:lnTo>
                                <a:pt x="2802190" y="628938"/>
                              </a:lnTo>
                              <a:lnTo>
                                <a:pt x="2862047" y="637592"/>
                              </a:lnTo>
                              <a:lnTo>
                                <a:pt x="2922447" y="646173"/>
                              </a:lnTo>
                              <a:lnTo>
                                <a:pt x="2983390" y="654680"/>
                              </a:lnTo>
                              <a:lnTo>
                                <a:pt x="3044879" y="663112"/>
                              </a:lnTo>
                              <a:lnTo>
                                <a:pt x="3106917" y="671465"/>
                              </a:lnTo>
                              <a:lnTo>
                                <a:pt x="3169503" y="679740"/>
                              </a:lnTo>
                              <a:lnTo>
                                <a:pt x="3232641" y="687932"/>
                              </a:lnTo>
                              <a:lnTo>
                                <a:pt x="3296333" y="696042"/>
                              </a:lnTo>
                              <a:lnTo>
                                <a:pt x="3360579" y="704067"/>
                              </a:lnTo>
                              <a:lnTo>
                                <a:pt x="3425383" y="712006"/>
                              </a:lnTo>
                              <a:lnTo>
                                <a:pt x="3490745" y="719856"/>
                              </a:lnTo>
                              <a:lnTo>
                                <a:pt x="3556668" y="727616"/>
                              </a:lnTo>
                              <a:lnTo>
                                <a:pt x="3623153" y="735284"/>
                              </a:lnTo>
                              <a:lnTo>
                                <a:pt x="3690203" y="742859"/>
                              </a:lnTo>
                              <a:lnTo>
                                <a:pt x="3757819" y="750338"/>
                              </a:lnTo>
                              <a:lnTo>
                                <a:pt x="3826003" y="757721"/>
                              </a:lnTo>
                              <a:lnTo>
                                <a:pt x="3894757" y="765004"/>
                              </a:lnTo>
                              <a:lnTo>
                                <a:pt x="3964082" y="772187"/>
                              </a:lnTo>
                              <a:lnTo>
                                <a:pt x="4033981" y="779267"/>
                              </a:lnTo>
                              <a:lnTo>
                                <a:pt x="4104456" y="786243"/>
                              </a:lnTo>
                              <a:lnTo>
                                <a:pt x="4175508" y="793113"/>
                              </a:lnTo>
                              <a:lnTo>
                                <a:pt x="4247139" y="799876"/>
                              </a:lnTo>
                              <a:lnTo>
                                <a:pt x="4319351" y="806529"/>
                              </a:lnTo>
                              <a:lnTo>
                                <a:pt x="4392145" y="813071"/>
                              </a:lnTo>
                              <a:lnTo>
                                <a:pt x="4465524" y="819499"/>
                              </a:lnTo>
                              <a:lnTo>
                                <a:pt x="4539490" y="825814"/>
                              </a:lnTo>
                              <a:lnTo>
                                <a:pt x="4614044" y="832011"/>
                              </a:lnTo>
                              <a:lnTo>
                                <a:pt x="4689189" y="838091"/>
                              </a:lnTo>
                              <a:lnTo>
                                <a:pt x="4764925" y="844050"/>
                              </a:lnTo>
                              <a:lnTo>
                                <a:pt x="4841255" y="849888"/>
                              </a:lnTo>
                              <a:lnTo>
                                <a:pt x="4918181" y="855602"/>
                              </a:lnTo>
                              <a:lnTo>
                                <a:pt x="4995704" y="861191"/>
                              </a:lnTo>
                              <a:lnTo>
                                <a:pt x="5073827" y="866653"/>
                              </a:lnTo>
                              <a:lnTo>
                                <a:pt x="5152551" y="871986"/>
                              </a:lnTo>
                              <a:lnTo>
                                <a:pt x="5231878" y="877188"/>
                              </a:lnTo>
                              <a:lnTo>
                                <a:pt x="5311810" y="882258"/>
                              </a:lnTo>
                              <a:lnTo>
                                <a:pt x="5392348" y="887194"/>
                              </a:lnTo>
                              <a:lnTo>
                                <a:pt x="5473496" y="891994"/>
                              </a:lnTo>
                              <a:lnTo>
                                <a:pt x="5555253" y="896656"/>
                              </a:lnTo>
                              <a:lnTo>
                                <a:pt x="5637623" y="901180"/>
                              </a:lnTo>
                              <a:lnTo>
                                <a:pt x="5720607" y="905561"/>
                              </a:lnTo>
                              <a:lnTo>
                                <a:pt x="5804208" y="909800"/>
                              </a:lnTo>
                              <a:lnTo>
                                <a:pt x="5888426" y="913895"/>
                              </a:lnTo>
                              <a:lnTo>
                                <a:pt x="5973263" y="917843"/>
                              </a:lnTo>
                              <a:lnTo>
                                <a:pt x="6058722" y="921643"/>
                              </a:lnTo>
                              <a:lnTo>
                                <a:pt x="6144805" y="925292"/>
                              </a:lnTo>
                              <a:lnTo>
                                <a:pt x="6231513" y="928790"/>
                              </a:lnTo>
                              <a:lnTo>
                                <a:pt x="6318847" y="932135"/>
                              </a:lnTo>
                              <a:lnTo>
                                <a:pt x="6406811" y="935324"/>
                              </a:lnTo>
                              <a:lnTo>
                                <a:pt x="6495406" y="938357"/>
                              </a:lnTo>
                              <a:lnTo>
                                <a:pt x="6584632" y="941230"/>
                              </a:lnTo>
                              <a:lnTo>
                                <a:pt x="6674494" y="943944"/>
                              </a:lnTo>
                              <a:lnTo>
                                <a:pt x="6764992" y="946494"/>
                              </a:lnTo>
                              <a:lnTo>
                                <a:pt x="6856127" y="948881"/>
                              </a:lnTo>
                              <a:lnTo>
                                <a:pt x="6947903" y="951102"/>
                              </a:lnTo>
                              <a:lnTo>
                                <a:pt x="6975847" y="951723"/>
                              </a:lnTo>
                            </a:path>
                          </a:pathLst>
                        </a:custGeom>
                        <a:ln w="762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725554153" name="Image 530"/>
                        <pic:cNvPicPr/>
                      </pic:nvPicPr>
                      <pic:blipFill>
                        <a:blip r:embed="rId2" cstate="print"/>
                        <a:stretch>
                          <a:fillRect/>
                        </a:stretch>
                      </pic:blipFill>
                      <pic:spPr>
                        <a:xfrm>
                          <a:off x="5829300" y="215849"/>
                          <a:ext cx="1257300" cy="458165"/>
                        </a:xfrm>
                        <a:prstGeom prst="rect">
                          <a:avLst/>
                        </a:prstGeom>
                      </pic:spPr>
                    </pic:pic>
                  </wpg:wgp>
                </a:graphicData>
              </a:graphic>
            </wp:anchor>
          </w:drawing>
        </mc:Choice>
        <mc:Fallback>
          <w:pict>
            <v:group w14:anchorId="62A925F4" id="Group 1405526291" o:spid="_x0000_s1026" alt="&quot;&quot;" style="position:absolute;margin-left:0;margin-top:-.6pt;width:612.65pt;height:84pt;z-index:-251664896;mso-wrap-distance-left:0;mso-wrap-distance-right:0;mso-position-horizontal-relative:page;mso-position-vertical-relative:page" coordsize="77806,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26" o:spid="_x0000_s1027" type="#_x0000_t75" style="position:absolute;top:79;width:77724;height:10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">
                <v:imagedata r:id="rId3" o:title=""/>
              </v:shape>
              <v:shape id="Graphic 527" o:spid="_x0000_s1028" style="position:absolute;left:27756;top:79;width:49968;height:8890;visibility:visible;mso-wrap-style:square;v-text-anchor:top" coordsize="4996815,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" path="m,l59529,22783r67863,25360l196987,73509r71338,25353l304653,111527r36770,12655l378636,136823r37659,12626l454400,162057r38555,12586l531960,187207r39457,12539l611329,212256r40368,12479l692523,237182r41285,12412l775555,261967r42211,12333l860442,286590r43142,12245l947196,311032r44082,12147l1035833,335273r45028,12039l1126366,359293r45983,11921l1218812,383073r46943,11793l1313183,406592r47912,11656l1409495,429831r48888,11509l1507761,452771r49871,11351l1607998,475391r50861,11183l1710218,497671r51859,11007l1814437,519593r52864,10819l1920669,541135r53876,10623l2028929,562279r54894,10417l2139230,583005r55921,10200l2251589,603292r56954,9974l2366018,623122r57996,9737l2482533,642474r59044,9491l2601148,661329r60099,9234l2721877,679666r61163,8969l2844736,697467r62232,8693l2969738,714711r63310,8407l3096899,731378r64394,8112l3226232,747450r65486,7806l3357752,762905r66585,7491l3491474,777725r67691,7166l3627412,791890r68805,6830l3765581,805379r69925,6485l3905994,818173r71054,6130l4048668,830253r72189,5765l4193616,841598r73331,5391l4340852,852188r74481,5007l4490392,862005r75638,4612l4642249,871028r76802,4208l4796438,879238r77974,3794l4952974,886614r43784,1864e" filled="f" strokecolor="white" strokeweight="1.25pt">
                <v:path arrowok="t"/>
              </v:shape>
              <v:shape id="Graphic 528" o:spid="_x0000_s1029" style="position:absolute;left:15823;top:79;width:61907;height:10522;visibility:visible;mso-wrap-style:square;v-text-anchor:top" coordsize="619061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" path="m,l46934,20813r61447,26636l171679,74217r65166,26878l303896,128056r68954,27022l443724,182136r36162,13536l516535,209207r37137,13533l591301,236266r38121,13518l668039,263290r39114,13490l746766,290253r40115,13452l827500,317133r41126,13402l910259,343906r42144,13338l995059,370547r43171,13263l1081918,397031r44207,13177l1170853,423337r45252,13077l1261882,449438r46305,12967l1355022,475312r47368,12844l1450291,500934r48438,12709l1547705,526280r49517,12562l1647283,551327r50605,12403l1749041,576049r51702,12233l1852996,600424r52808,12050l1959167,624427r53922,11855l2067571,648034r55045,11648l2178225,671222r56176,11428l2291146,693965r57316,11198l2406352,716241r58465,10954l2523860,738024r59622,10700l2643687,759292r60789,10433l2765851,780020r61964,10154l2890369,800184r63148,9863l3017259,819760r64340,9560l3146538,838724r65541,9245l3278224,857052r66750,8918l3412332,874720r67969,8579l3548882,891704r69196,8228l3687891,907980r70431,7865l3829375,923524r71676,7490l3973352,938312r72929,7103l4119840,952320r74191,6704l4268856,965524r75461,6293l4420416,977900r76741,5870l4574540,989424r78028,5435l4731243,1000072r79325,4987l4890544,1009819r80630,4529l5052460,1018643r81944,4057l5217008,1026518r83266,3575l5384205,1033421r84597,3080l5554069,1039328r85937,2573l5726617,1044215r87286,2054l5901867,1048058r88643,1522l6079835,1050833r90010,979l6190005,1051968e" filled="f" strokecolor="white" strokeweight=".35275mm">
                <v:path arrowok="t"/>
              </v:shape>
              <v:shape id="Graphic 529" o:spid="_x0000_s1030" style="position:absolute;left:7965;top:79;width:69761;height:9519;visibility:visible;mso-wrap-style:square;v-text-anchor:top" coordsize="6976109,9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" path="m,l43738,14576r59257,19376l163964,53475r62695,19656l291095,92905r66191,19879l425249,132754r69747,20046l566544,172908r73362,20157l677272,203157r37826,10099l753384,223360r38750,10107l831348,243575r39681,10109l911178,263790r40620,10103l992890,283990r41565,10090l1076497,304160r42519,10070l1162015,324287r43480,10043l1249458,344357r44448,10009l1338842,364355r45423,9968l1430180,384268r46407,9920l1523488,404081r47397,9865l1618780,423781r48396,9802l1716072,443352r49400,9734l1815378,462782r50412,9657l1916712,482055r51433,9574l2020090,501159r52460,9483l2125526,520078r53494,9386l2233035,538799r54536,9282l2342631,557308r55586,9170l2454331,575590r56642,9052l2568147,593632r57707,8926l2684095,611419r58778,8794l2802190,628938r59857,8654l2922447,646173r60943,8507l3044879,663112r62038,8353l3169503,679740r63138,8192l3296333,696042r64246,8025l3425383,712006r65362,7850l3556668,727616r66485,7668l3690203,742859r67616,7479l3826003,757721r68754,7283l3964082,772187r69899,7080l4104456,786243r71052,6870l4247139,799876r72212,6653l4392145,813071r73379,6428l4539490,825814r74554,6197l4689189,838091r75736,5959l4841255,849888r76926,5714l4995704,861191r78123,5462l5152551,871986r79327,5202l5311810,882258r80538,4936l5473496,891994r81757,4662l5637623,901180r82984,4381l5804208,909800r84218,4095l5973263,917843r85459,3800l6144805,925292r86708,3498l6318847,932135r87964,3189l6495406,938357r89226,2873l6674494,943944r90498,2550l6856127,948881r91776,2221l6975847,951723e" filled="f" strokecolor="white" strokeweight=".6pt">
                <v:path arrowok="t"/>
              </v:shape>
              <v:shape id="Image 530" o:spid="_x0000_s1031" type="#_x0000_t75" style="position:absolute;left:58293;top:2158;width:12573;height: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53BF" w14:textId="1084F49B" w:rsidR="00F4298B" w:rsidRPr="005E67F0" w:rsidRDefault="00F4298B" w:rsidP="005E67F0">
    <w:pPr>
      <w:spacing w:before="2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6BE"/>
    <w:multiLevelType w:val="multilevel"/>
    <w:tmpl w:val="89529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16D00"/>
    <w:multiLevelType w:val="hybridMultilevel"/>
    <w:tmpl w:val="34DEAC1C"/>
    <w:lvl w:ilvl="0" w:tplc="4E22C51E">
      <w:start w:val="1"/>
      <w:numFmt w:val="decimal"/>
      <w:lvlText w:val="%1."/>
      <w:lvlJc w:val="left"/>
      <w:pPr>
        <w:ind w:left="720" w:hanging="360"/>
      </w:pPr>
    </w:lvl>
    <w:lvl w:ilvl="1" w:tplc="A7281C4E">
      <w:start w:val="1"/>
      <w:numFmt w:val="lowerLetter"/>
      <w:lvlText w:val="%2."/>
      <w:lvlJc w:val="left"/>
      <w:pPr>
        <w:ind w:left="1440" w:hanging="360"/>
      </w:pPr>
    </w:lvl>
    <w:lvl w:ilvl="2" w:tplc="1D9428E6">
      <w:start w:val="1"/>
      <w:numFmt w:val="lowerRoman"/>
      <w:lvlText w:val="%3."/>
      <w:lvlJc w:val="right"/>
      <w:pPr>
        <w:ind w:left="2160" w:hanging="180"/>
      </w:pPr>
    </w:lvl>
    <w:lvl w:ilvl="3" w:tplc="8B6C4E9E">
      <w:start w:val="1"/>
      <w:numFmt w:val="decimal"/>
      <w:lvlText w:val="%4."/>
      <w:lvlJc w:val="left"/>
      <w:pPr>
        <w:ind w:left="2880" w:hanging="360"/>
      </w:pPr>
    </w:lvl>
    <w:lvl w:ilvl="4" w:tplc="8F729D92">
      <w:start w:val="1"/>
      <w:numFmt w:val="lowerLetter"/>
      <w:lvlText w:val="%5."/>
      <w:lvlJc w:val="left"/>
      <w:pPr>
        <w:ind w:left="3600" w:hanging="360"/>
      </w:pPr>
    </w:lvl>
    <w:lvl w:ilvl="5" w:tplc="8D765518">
      <w:start w:val="1"/>
      <w:numFmt w:val="lowerRoman"/>
      <w:lvlText w:val="%6."/>
      <w:lvlJc w:val="right"/>
      <w:pPr>
        <w:ind w:left="4320" w:hanging="180"/>
      </w:pPr>
    </w:lvl>
    <w:lvl w:ilvl="6" w:tplc="F47E5116">
      <w:start w:val="1"/>
      <w:numFmt w:val="decimal"/>
      <w:lvlText w:val="%7."/>
      <w:lvlJc w:val="left"/>
      <w:pPr>
        <w:ind w:left="5040" w:hanging="360"/>
      </w:pPr>
    </w:lvl>
    <w:lvl w:ilvl="7" w:tplc="32CAD01C">
      <w:start w:val="1"/>
      <w:numFmt w:val="lowerLetter"/>
      <w:lvlText w:val="%8."/>
      <w:lvlJc w:val="left"/>
      <w:pPr>
        <w:ind w:left="5760" w:hanging="360"/>
      </w:pPr>
    </w:lvl>
    <w:lvl w:ilvl="8" w:tplc="773243D2">
      <w:start w:val="1"/>
      <w:numFmt w:val="lowerRoman"/>
      <w:lvlText w:val="%9."/>
      <w:lvlJc w:val="right"/>
      <w:pPr>
        <w:ind w:left="6480" w:hanging="180"/>
      </w:pPr>
    </w:lvl>
  </w:abstractNum>
  <w:abstractNum w:abstractNumId="2" w15:restartNumberingAfterBreak="0">
    <w:nsid w:val="01B52147"/>
    <w:multiLevelType w:val="multilevel"/>
    <w:tmpl w:val="251AC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2354B7A"/>
    <w:multiLevelType w:val="hybridMultilevel"/>
    <w:tmpl w:val="733E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D46CA"/>
    <w:multiLevelType w:val="hybridMultilevel"/>
    <w:tmpl w:val="69EE4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5461C"/>
    <w:multiLevelType w:val="hybridMultilevel"/>
    <w:tmpl w:val="345C2BD0"/>
    <w:lvl w:ilvl="0" w:tplc="34BA412A">
      <w:start w:val="1"/>
      <w:numFmt w:val="bullet"/>
      <w:lvlText w:val=""/>
      <w:lvlJc w:val="left"/>
      <w:pPr>
        <w:ind w:left="720" w:hanging="360"/>
      </w:pPr>
      <w:rPr>
        <w:rFonts w:ascii="Symbol" w:hAnsi="Symbol" w:hint="default"/>
      </w:rPr>
    </w:lvl>
    <w:lvl w:ilvl="1" w:tplc="7C16CB2C">
      <w:start w:val="1"/>
      <w:numFmt w:val="bullet"/>
      <w:lvlText w:val="o"/>
      <w:lvlJc w:val="left"/>
      <w:pPr>
        <w:ind w:left="1440" w:hanging="360"/>
      </w:pPr>
      <w:rPr>
        <w:rFonts w:ascii="Courier New" w:hAnsi="Courier New" w:hint="default"/>
      </w:rPr>
    </w:lvl>
    <w:lvl w:ilvl="2" w:tplc="FE140A6A">
      <w:start w:val="1"/>
      <w:numFmt w:val="bullet"/>
      <w:lvlText w:val=""/>
      <w:lvlJc w:val="left"/>
      <w:pPr>
        <w:ind w:left="2160" w:hanging="360"/>
      </w:pPr>
      <w:rPr>
        <w:rFonts w:ascii="Wingdings" w:hAnsi="Wingdings" w:hint="default"/>
      </w:rPr>
    </w:lvl>
    <w:lvl w:ilvl="3" w:tplc="C0561D38">
      <w:start w:val="1"/>
      <w:numFmt w:val="bullet"/>
      <w:lvlText w:val=""/>
      <w:lvlJc w:val="left"/>
      <w:pPr>
        <w:ind w:left="2880" w:hanging="360"/>
      </w:pPr>
      <w:rPr>
        <w:rFonts w:ascii="Symbol" w:hAnsi="Symbol" w:hint="default"/>
      </w:rPr>
    </w:lvl>
    <w:lvl w:ilvl="4" w:tplc="448AC21E">
      <w:start w:val="1"/>
      <w:numFmt w:val="bullet"/>
      <w:lvlText w:val="o"/>
      <w:lvlJc w:val="left"/>
      <w:pPr>
        <w:ind w:left="3600" w:hanging="360"/>
      </w:pPr>
      <w:rPr>
        <w:rFonts w:ascii="Courier New" w:hAnsi="Courier New" w:hint="default"/>
      </w:rPr>
    </w:lvl>
    <w:lvl w:ilvl="5" w:tplc="AA147692">
      <w:start w:val="1"/>
      <w:numFmt w:val="bullet"/>
      <w:lvlText w:val=""/>
      <w:lvlJc w:val="left"/>
      <w:pPr>
        <w:ind w:left="4320" w:hanging="360"/>
      </w:pPr>
      <w:rPr>
        <w:rFonts w:ascii="Wingdings" w:hAnsi="Wingdings" w:hint="default"/>
      </w:rPr>
    </w:lvl>
    <w:lvl w:ilvl="6" w:tplc="6228254C">
      <w:start w:val="1"/>
      <w:numFmt w:val="bullet"/>
      <w:lvlText w:val=""/>
      <w:lvlJc w:val="left"/>
      <w:pPr>
        <w:ind w:left="5040" w:hanging="360"/>
      </w:pPr>
      <w:rPr>
        <w:rFonts w:ascii="Symbol" w:hAnsi="Symbol" w:hint="default"/>
      </w:rPr>
    </w:lvl>
    <w:lvl w:ilvl="7" w:tplc="4DCE5B9C">
      <w:start w:val="1"/>
      <w:numFmt w:val="bullet"/>
      <w:lvlText w:val="o"/>
      <w:lvlJc w:val="left"/>
      <w:pPr>
        <w:ind w:left="5760" w:hanging="360"/>
      </w:pPr>
      <w:rPr>
        <w:rFonts w:ascii="Courier New" w:hAnsi="Courier New" w:hint="default"/>
      </w:rPr>
    </w:lvl>
    <w:lvl w:ilvl="8" w:tplc="CD7EDD80">
      <w:start w:val="1"/>
      <w:numFmt w:val="bullet"/>
      <w:lvlText w:val=""/>
      <w:lvlJc w:val="left"/>
      <w:pPr>
        <w:ind w:left="6480" w:hanging="360"/>
      </w:pPr>
      <w:rPr>
        <w:rFonts w:ascii="Wingdings" w:hAnsi="Wingdings" w:hint="default"/>
      </w:rPr>
    </w:lvl>
  </w:abstractNum>
  <w:abstractNum w:abstractNumId="6" w15:restartNumberingAfterBreak="0">
    <w:nsid w:val="055E1DC6"/>
    <w:multiLevelType w:val="hybridMultilevel"/>
    <w:tmpl w:val="34DEAC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5890362"/>
    <w:multiLevelType w:val="hybridMultilevel"/>
    <w:tmpl w:val="FAFC3C40"/>
    <w:lvl w:ilvl="0" w:tplc="04090001">
      <w:start w:val="1"/>
      <w:numFmt w:val="bullet"/>
      <w:lvlText w:val=""/>
      <w:lvlJc w:val="left"/>
      <w:pPr>
        <w:ind w:left="1799" w:hanging="360"/>
      </w:pPr>
      <w:rPr>
        <w:rFonts w:ascii="Symbol" w:hAnsi="Symbol" w:hint="default"/>
        <w:b w:val="0"/>
        <w:bCs w:val="0"/>
        <w:i w:val="0"/>
        <w:iCs w:val="0"/>
        <w:color w:val="auto"/>
        <w:spacing w:val="0"/>
        <w:w w:val="100"/>
        <w:sz w:val="24"/>
        <w:szCs w:val="24"/>
        <w:lang w:val="en-US" w:eastAsia="en-US" w:bidi="ar-SA"/>
      </w:rPr>
    </w:lvl>
    <w:lvl w:ilvl="1" w:tplc="FFFFFFFF" w:tentative="1">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8" w15:restartNumberingAfterBreak="0">
    <w:nsid w:val="05C469E9"/>
    <w:multiLevelType w:val="hybridMultilevel"/>
    <w:tmpl w:val="18245B32"/>
    <w:lvl w:ilvl="0" w:tplc="BA746E70">
      <w:start w:val="1"/>
      <w:numFmt w:val="decimal"/>
      <w:lvlText w:val="%1."/>
      <w:lvlJc w:val="left"/>
      <w:pPr>
        <w:ind w:left="720" w:hanging="360"/>
      </w:pPr>
      <w:rPr>
        <w:rFonts w:hint="default"/>
        <w:color w:val="4C4D4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14B83D"/>
    <w:multiLevelType w:val="hybridMultilevel"/>
    <w:tmpl w:val="10224F9E"/>
    <w:lvl w:ilvl="0" w:tplc="DC8C8E00">
      <w:start w:val="1"/>
      <w:numFmt w:val="decimal"/>
      <w:lvlText w:val="%1."/>
      <w:lvlJc w:val="left"/>
      <w:pPr>
        <w:ind w:left="720" w:hanging="360"/>
      </w:pPr>
    </w:lvl>
    <w:lvl w:ilvl="1" w:tplc="1C58A5BE">
      <w:start w:val="1"/>
      <w:numFmt w:val="lowerLetter"/>
      <w:lvlText w:val="%2."/>
      <w:lvlJc w:val="left"/>
      <w:pPr>
        <w:ind w:left="1440" w:hanging="360"/>
      </w:pPr>
    </w:lvl>
    <w:lvl w:ilvl="2" w:tplc="11149384">
      <w:start w:val="1"/>
      <w:numFmt w:val="lowerRoman"/>
      <w:lvlText w:val="%3."/>
      <w:lvlJc w:val="right"/>
      <w:pPr>
        <w:ind w:left="2160" w:hanging="180"/>
      </w:pPr>
    </w:lvl>
    <w:lvl w:ilvl="3" w:tplc="A3B866DE">
      <w:start w:val="1"/>
      <w:numFmt w:val="decimal"/>
      <w:lvlText w:val="%4."/>
      <w:lvlJc w:val="left"/>
      <w:pPr>
        <w:ind w:left="2880" w:hanging="360"/>
      </w:pPr>
    </w:lvl>
    <w:lvl w:ilvl="4" w:tplc="B5F05E36">
      <w:start w:val="1"/>
      <w:numFmt w:val="lowerLetter"/>
      <w:lvlText w:val="%5."/>
      <w:lvlJc w:val="left"/>
      <w:pPr>
        <w:ind w:left="3600" w:hanging="360"/>
      </w:pPr>
    </w:lvl>
    <w:lvl w:ilvl="5" w:tplc="CEDE904E">
      <w:start w:val="1"/>
      <w:numFmt w:val="lowerRoman"/>
      <w:lvlText w:val="%6."/>
      <w:lvlJc w:val="right"/>
      <w:pPr>
        <w:ind w:left="4320" w:hanging="180"/>
      </w:pPr>
    </w:lvl>
    <w:lvl w:ilvl="6" w:tplc="82D45F1E">
      <w:start w:val="1"/>
      <w:numFmt w:val="decimal"/>
      <w:lvlText w:val="%7."/>
      <w:lvlJc w:val="left"/>
      <w:pPr>
        <w:ind w:left="5040" w:hanging="360"/>
      </w:pPr>
    </w:lvl>
    <w:lvl w:ilvl="7" w:tplc="68C6F220">
      <w:start w:val="1"/>
      <w:numFmt w:val="lowerLetter"/>
      <w:lvlText w:val="%8."/>
      <w:lvlJc w:val="left"/>
      <w:pPr>
        <w:ind w:left="5760" w:hanging="360"/>
      </w:pPr>
    </w:lvl>
    <w:lvl w:ilvl="8" w:tplc="404AA7E4">
      <w:start w:val="1"/>
      <w:numFmt w:val="lowerRoman"/>
      <w:lvlText w:val="%9."/>
      <w:lvlJc w:val="right"/>
      <w:pPr>
        <w:ind w:left="6480" w:hanging="180"/>
      </w:pPr>
    </w:lvl>
  </w:abstractNum>
  <w:abstractNum w:abstractNumId="10" w15:restartNumberingAfterBreak="0">
    <w:nsid w:val="06E66636"/>
    <w:multiLevelType w:val="multilevel"/>
    <w:tmpl w:val="00CCF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5572BA"/>
    <w:multiLevelType w:val="multilevel"/>
    <w:tmpl w:val="17F2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6F7371"/>
    <w:multiLevelType w:val="hybridMultilevel"/>
    <w:tmpl w:val="B56C97F2"/>
    <w:lvl w:ilvl="0" w:tplc="AF68ADF0">
      <w:start w:val="1"/>
      <w:numFmt w:val="bullet"/>
      <w:lvlText w:val=""/>
      <w:lvlJc w:val="left"/>
      <w:pPr>
        <w:ind w:left="720" w:hanging="360"/>
      </w:pPr>
      <w:rPr>
        <w:rFonts w:ascii="Symbol" w:hAnsi="Symbol" w:hint="default"/>
      </w:rPr>
    </w:lvl>
    <w:lvl w:ilvl="1" w:tplc="5844AF22">
      <w:start w:val="1"/>
      <w:numFmt w:val="bullet"/>
      <w:lvlText w:val="o"/>
      <w:lvlJc w:val="left"/>
      <w:pPr>
        <w:ind w:left="1440" w:hanging="360"/>
      </w:pPr>
      <w:rPr>
        <w:rFonts w:ascii="Courier New" w:hAnsi="Courier New" w:hint="default"/>
      </w:rPr>
    </w:lvl>
    <w:lvl w:ilvl="2" w:tplc="16283BB8">
      <w:start w:val="1"/>
      <w:numFmt w:val="bullet"/>
      <w:lvlText w:val=""/>
      <w:lvlJc w:val="left"/>
      <w:pPr>
        <w:ind w:left="2160" w:hanging="360"/>
      </w:pPr>
      <w:rPr>
        <w:rFonts w:ascii="Wingdings" w:hAnsi="Wingdings" w:hint="default"/>
      </w:rPr>
    </w:lvl>
    <w:lvl w:ilvl="3" w:tplc="5256219A">
      <w:start w:val="1"/>
      <w:numFmt w:val="bullet"/>
      <w:lvlText w:val=""/>
      <w:lvlJc w:val="left"/>
      <w:pPr>
        <w:ind w:left="2880" w:hanging="360"/>
      </w:pPr>
      <w:rPr>
        <w:rFonts w:ascii="Symbol" w:hAnsi="Symbol" w:hint="default"/>
      </w:rPr>
    </w:lvl>
    <w:lvl w:ilvl="4" w:tplc="979A8290">
      <w:start w:val="1"/>
      <w:numFmt w:val="bullet"/>
      <w:lvlText w:val="o"/>
      <w:lvlJc w:val="left"/>
      <w:pPr>
        <w:ind w:left="3600" w:hanging="360"/>
      </w:pPr>
      <w:rPr>
        <w:rFonts w:ascii="Courier New" w:hAnsi="Courier New" w:hint="default"/>
      </w:rPr>
    </w:lvl>
    <w:lvl w:ilvl="5" w:tplc="3F98194A">
      <w:start w:val="1"/>
      <w:numFmt w:val="bullet"/>
      <w:lvlText w:val=""/>
      <w:lvlJc w:val="left"/>
      <w:pPr>
        <w:ind w:left="4320" w:hanging="360"/>
      </w:pPr>
      <w:rPr>
        <w:rFonts w:ascii="Wingdings" w:hAnsi="Wingdings" w:hint="default"/>
      </w:rPr>
    </w:lvl>
    <w:lvl w:ilvl="6" w:tplc="9522B2E8">
      <w:start w:val="1"/>
      <w:numFmt w:val="bullet"/>
      <w:lvlText w:val=""/>
      <w:lvlJc w:val="left"/>
      <w:pPr>
        <w:ind w:left="5040" w:hanging="360"/>
      </w:pPr>
      <w:rPr>
        <w:rFonts w:ascii="Symbol" w:hAnsi="Symbol" w:hint="default"/>
      </w:rPr>
    </w:lvl>
    <w:lvl w:ilvl="7" w:tplc="17C4353E">
      <w:start w:val="1"/>
      <w:numFmt w:val="bullet"/>
      <w:lvlText w:val="o"/>
      <w:lvlJc w:val="left"/>
      <w:pPr>
        <w:ind w:left="5760" w:hanging="360"/>
      </w:pPr>
      <w:rPr>
        <w:rFonts w:ascii="Courier New" w:hAnsi="Courier New" w:hint="default"/>
      </w:rPr>
    </w:lvl>
    <w:lvl w:ilvl="8" w:tplc="15082AE8">
      <w:start w:val="1"/>
      <w:numFmt w:val="bullet"/>
      <w:lvlText w:val=""/>
      <w:lvlJc w:val="left"/>
      <w:pPr>
        <w:ind w:left="6480" w:hanging="360"/>
      </w:pPr>
      <w:rPr>
        <w:rFonts w:ascii="Wingdings" w:hAnsi="Wingdings" w:hint="default"/>
      </w:rPr>
    </w:lvl>
  </w:abstractNum>
  <w:abstractNum w:abstractNumId="13" w15:restartNumberingAfterBreak="0">
    <w:nsid w:val="0B770CA9"/>
    <w:multiLevelType w:val="hybridMultilevel"/>
    <w:tmpl w:val="B0A65ED4"/>
    <w:lvl w:ilvl="0" w:tplc="41EA08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13219A"/>
    <w:multiLevelType w:val="multilevel"/>
    <w:tmpl w:val="7FC8A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23763A"/>
    <w:multiLevelType w:val="hybridMultilevel"/>
    <w:tmpl w:val="E0F00BF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15:restartNumberingAfterBreak="0">
    <w:nsid w:val="0EE47D87"/>
    <w:multiLevelType w:val="hybridMultilevel"/>
    <w:tmpl w:val="11EE5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0F52A7"/>
    <w:multiLevelType w:val="multilevel"/>
    <w:tmpl w:val="005079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807988"/>
    <w:multiLevelType w:val="multilevel"/>
    <w:tmpl w:val="5716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204B1B"/>
    <w:multiLevelType w:val="multilevel"/>
    <w:tmpl w:val="1DF0E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3A6A0F"/>
    <w:multiLevelType w:val="multilevel"/>
    <w:tmpl w:val="005079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FF7F1D"/>
    <w:multiLevelType w:val="hybridMultilevel"/>
    <w:tmpl w:val="C504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173CC0"/>
    <w:multiLevelType w:val="hybridMultilevel"/>
    <w:tmpl w:val="81E0F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D851EBB"/>
    <w:multiLevelType w:val="hybridMultilevel"/>
    <w:tmpl w:val="5F34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8E7719"/>
    <w:multiLevelType w:val="multilevel"/>
    <w:tmpl w:val="A0F2E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963B9A"/>
    <w:multiLevelType w:val="hybridMultilevel"/>
    <w:tmpl w:val="6438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AD1B44"/>
    <w:multiLevelType w:val="hybridMultilevel"/>
    <w:tmpl w:val="C658C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2E5E9F"/>
    <w:multiLevelType w:val="hybridMultilevel"/>
    <w:tmpl w:val="C8B2D514"/>
    <w:lvl w:ilvl="0" w:tplc="05EA1CCC">
      <w:start w:val="1"/>
      <w:numFmt w:val="decimal"/>
      <w:lvlText w:val="%1."/>
      <w:lvlJc w:val="left"/>
      <w:pPr>
        <w:ind w:left="720" w:hanging="360"/>
      </w:pPr>
    </w:lvl>
    <w:lvl w:ilvl="1" w:tplc="1A489B3C">
      <w:start w:val="1"/>
      <w:numFmt w:val="lowerLetter"/>
      <w:lvlText w:val="%2."/>
      <w:lvlJc w:val="left"/>
      <w:pPr>
        <w:ind w:left="1440" w:hanging="360"/>
      </w:pPr>
    </w:lvl>
    <w:lvl w:ilvl="2" w:tplc="F6667062">
      <w:start w:val="1"/>
      <w:numFmt w:val="lowerRoman"/>
      <w:lvlText w:val="%3."/>
      <w:lvlJc w:val="right"/>
      <w:pPr>
        <w:ind w:left="2160" w:hanging="180"/>
      </w:pPr>
    </w:lvl>
    <w:lvl w:ilvl="3" w:tplc="C0C0F662">
      <w:start w:val="1"/>
      <w:numFmt w:val="decimal"/>
      <w:lvlText w:val="%4."/>
      <w:lvlJc w:val="left"/>
      <w:pPr>
        <w:ind w:left="2880" w:hanging="360"/>
      </w:pPr>
    </w:lvl>
    <w:lvl w:ilvl="4" w:tplc="952A0222">
      <w:start w:val="1"/>
      <w:numFmt w:val="lowerLetter"/>
      <w:lvlText w:val="%5."/>
      <w:lvlJc w:val="left"/>
      <w:pPr>
        <w:ind w:left="3600" w:hanging="360"/>
      </w:pPr>
    </w:lvl>
    <w:lvl w:ilvl="5" w:tplc="1C0E9D58">
      <w:start w:val="1"/>
      <w:numFmt w:val="lowerRoman"/>
      <w:lvlText w:val="%6."/>
      <w:lvlJc w:val="right"/>
      <w:pPr>
        <w:ind w:left="4320" w:hanging="180"/>
      </w:pPr>
    </w:lvl>
    <w:lvl w:ilvl="6" w:tplc="CAE8D28A">
      <w:start w:val="1"/>
      <w:numFmt w:val="decimal"/>
      <w:lvlText w:val="%7."/>
      <w:lvlJc w:val="left"/>
      <w:pPr>
        <w:ind w:left="5040" w:hanging="360"/>
      </w:pPr>
    </w:lvl>
    <w:lvl w:ilvl="7" w:tplc="B9A4439E">
      <w:start w:val="1"/>
      <w:numFmt w:val="lowerLetter"/>
      <w:lvlText w:val="%8."/>
      <w:lvlJc w:val="left"/>
      <w:pPr>
        <w:ind w:left="5760" w:hanging="360"/>
      </w:pPr>
    </w:lvl>
    <w:lvl w:ilvl="8" w:tplc="7FAA1F84">
      <w:start w:val="1"/>
      <w:numFmt w:val="lowerRoman"/>
      <w:lvlText w:val="%9."/>
      <w:lvlJc w:val="right"/>
      <w:pPr>
        <w:ind w:left="6480" w:hanging="180"/>
      </w:pPr>
    </w:lvl>
  </w:abstractNum>
  <w:abstractNum w:abstractNumId="28" w15:restartNumberingAfterBreak="0">
    <w:nsid w:val="269736AB"/>
    <w:multiLevelType w:val="hybridMultilevel"/>
    <w:tmpl w:val="B4EE7E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9FCC776"/>
    <w:multiLevelType w:val="hybridMultilevel"/>
    <w:tmpl w:val="FFFFFFFF"/>
    <w:lvl w:ilvl="0" w:tplc="8A00BB84">
      <w:start w:val="1"/>
      <w:numFmt w:val="decimal"/>
      <w:lvlText w:val="%1."/>
      <w:lvlJc w:val="left"/>
      <w:pPr>
        <w:ind w:left="720" w:hanging="360"/>
      </w:pPr>
    </w:lvl>
    <w:lvl w:ilvl="1" w:tplc="60D2C57C">
      <w:start w:val="1"/>
      <w:numFmt w:val="lowerLetter"/>
      <w:lvlText w:val="%2."/>
      <w:lvlJc w:val="left"/>
      <w:pPr>
        <w:ind w:left="1440" w:hanging="360"/>
      </w:pPr>
    </w:lvl>
    <w:lvl w:ilvl="2" w:tplc="B830B83C">
      <w:start w:val="1"/>
      <w:numFmt w:val="lowerRoman"/>
      <w:lvlText w:val="%3."/>
      <w:lvlJc w:val="right"/>
      <w:pPr>
        <w:ind w:left="2160" w:hanging="180"/>
      </w:pPr>
    </w:lvl>
    <w:lvl w:ilvl="3" w:tplc="714E3AC8">
      <w:start w:val="1"/>
      <w:numFmt w:val="decimal"/>
      <w:lvlText w:val="%4."/>
      <w:lvlJc w:val="left"/>
      <w:pPr>
        <w:ind w:left="2880" w:hanging="360"/>
      </w:pPr>
    </w:lvl>
    <w:lvl w:ilvl="4" w:tplc="77822CEC">
      <w:start w:val="1"/>
      <w:numFmt w:val="lowerLetter"/>
      <w:lvlText w:val="%5."/>
      <w:lvlJc w:val="left"/>
      <w:pPr>
        <w:ind w:left="3600" w:hanging="360"/>
      </w:pPr>
    </w:lvl>
    <w:lvl w:ilvl="5" w:tplc="A3BE639C">
      <w:start w:val="1"/>
      <w:numFmt w:val="lowerRoman"/>
      <w:lvlText w:val="%6."/>
      <w:lvlJc w:val="right"/>
      <w:pPr>
        <w:ind w:left="4320" w:hanging="180"/>
      </w:pPr>
    </w:lvl>
    <w:lvl w:ilvl="6" w:tplc="BA2E1A4A">
      <w:start w:val="1"/>
      <w:numFmt w:val="decimal"/>
      <w:lvlText w:val="%7."/>
      <w:lvlJc w:val="left"/>
      <w:pPr>
        <w:ind w:left="5040" w:hanging="360"/>
      </w:pPr>
    </w:lvl>
    <w:lvl w:ilvl="7" w:tplc="093A3192">
      <w:start w:val="1"/>
      <w:numFmt w:val="lowerLetter"/>
      <w:lvlText w:val="%8."/>
      <w:lvlJc w:val="left"/>
      <w:pPr>
        <w:ind w:left="5760" w:hanging="360"/>
      </w:pPr>
    </w:lvl>
    <w:lvl w:ilvl="8" w:tplc="0930C8AA">
      <w:start w:val="1"/>
      <w:numFmt w:val="lowerRoman"/>
      <w:lvlText w:val="%9."/>
      <w:lvlJc w:val="right"/>
      <w:pPr>
        <w:ind w:left="6480" w:hanging="180"/>
      </w:pPr>
    </w:lvl>
  </w:abstractNum>
  <w:abstractNum w:abstractNumId="30" w15:restartNumberingAfterBreak="0">
    <w:nsid w:val="2A674C54"/>
    <w:multiLevelType w:val="hybridMultilevel"/>
    <w:tmpl w:val="7F58E2BE"/>
    <w:lvl w:ilvl="0" w:tplc="2AC8AF6A">
      <w:start w:val="1"/>
      <w:numFmt w:val="decimal"/>
      <w:lvlText w:val="%1."/>
      <w:lvlJc w:val="left"/>
      <w:pPr>
        <w:ind w:left="1440" w:hanging="360"/>
      </w:pPr>
    </w:lvl>
    <w:lvl w:ilvl="1" w:tplc="E61201E6">
      <w:start w:val="1"/>
      <w:numFmt w:val="lowerLetter"/>
      <w:lvlText w:val="%2."/>
      <w:lvlJc w:val="left"/>
      <w:pPr>
        <w:ind w:left="2160" w:hanging="360"/>
      </w:pPr>
    </w:lvl>
    <w:lvl w:ilvl="2" w:tplc="2FA65C60">
      <w:start w:val="1"/>
      <w:numFmt w:val="lowerRoman"/>
      <w:lvlText w:val="%3."/>
      <w:lvlJc w:val="right"/>
      <w:pPr>
        <w:ind w:left="2880" w:hanging="180"/>
      </w:pPr>
    </w:lvl>
    <w:lvl w:ilvl="3" w:tplc="5B8A4EAE">
      <w:start w:val="1"/>
      <w:numFmt w:val="decimal"/>
      <w:lvlText w:val="%4."/>
      <w:lvlJc w:val="left"/>
      <w:pPr>
        <w:ind w:left="3600" w:hanging="360"/>
      </w:pPr>
    </w:lvl>
    <w:lvl w:ilvl="4" w:tplc="DFC29E12">
      <w:start w:val="1"/>
      <w:numFmt w:val="lowerLetter"/>
      <w:lvlText w:val="%5."/>
      <w:lvlJc w:val="left"/>
      <w:pPr>
        <w:ind w:left="4320" w:hanging="360"/>
      </w:pPr>
    </w:lvl>
    <w:lvl w:ilvl="5" w:tplc="C82CC540">
      <w:start w:val="1"/>
      <w:numFmt w:val="lowerRoman"/>
      <w:lvlText w:val="%6."/>
      <w:lvlJc w:val="right"/>
      <w:pPr>
        <w:ind w:left="5040" w:hanging="180"/>
      </w:pPr>
    </w:lvl>
    <w:lvl w:ilvl="6" w:tplc="D1542450">
      <w:start w:val="1"/>
      <w:numFmt w:val="decimal"/>
      <w:lvlText w:val="%7."/>
      <w:lvlJc w:val="left"/>
      <w:pPr>
        <w:ind w:left="5760" w:hanging="360"/>
      </w:pPr>
    </w:lvl>
    <w:lvl w:ilvl="7" w:tplc="7FE620B6">
      <w:start w:val="1"/>
      <w:numFmt w:val="lowerLetter"/>
      <w:lvlText w:val="%8."/>
      <w:lvlJc w:val="left"/>
      <w:pPr>
        <w:ind w:left="6480" w:hanging="360"/>
      </w:pPr>
    </w:lvl>
    <w:lvl w:ilvl="8" w:tplc="39AC023C">
      <w:start w:val="1"/>
      <w:numFmt w:val="lowerRoman"/>
      <w:lvlText w:val="%9."/>
      <w:lvlJc w:val="right"/>
      <w:pPr>
        <w:ind w:left="7200" w:hanging="180"/>
      </w:pPr>
    </w:lvl>
  </w:abstractNum>
  <w:abstractNum w:abstractNumId="31" w15:restartNumberingAfterBreak="0">
    <w:nsid w:val="2CB01FD1"/>
    <w:multiLevelType w:val="hybridMultilevel"/>
    <w:tmpl w:val="CE32EF26"/>
    <w:lvl w:ilvl="0" w:tplc="1182F632">
      <w:start w:val="1"/>
      <w:numFmt w:val="bullet"/>
      <w:lvlText w:val=""/>
      <w:lvlJc w:val="left"/>
      <w:pPr>
        <w:ind w:left="360" w:hanging="360"/>
      </w:pPr>
      <w:rPr>
        <w:rFonts w:ascii="Symbol" w:hAnsi="Symbol" w:hint="default"/>
      </w:rPr>
    </w:lvl>
    <w:lvl w:ilvl="1" w:tplc="88EAE134">
      <w:start w:val="1"/>
      <w:numFmt w:val="bullet"/>
      <w:lvlText w:val="o"/>
      <w:lvlJc w:val="left"/>
      <w:pPr>
        <w:ind w:left="1080" w:hanging="360"/>
      </w:pPr>
      <w:rPr>
        <w:rFonts w:ascii="Courier New" w:hAnsi="Courier New" w:hint="default"/>
      </w:rPr>
    </w:lvl>
    <w:lvl w:ilvl="2" w:tplc="348A1DB4" w:tentative="1">
      <w:start w:val="1"/>
      <w:numFmt w:val="bullet"/>
      <w:lvlText w:val=""/>
      <w:lvlJc w:val="left"/>
      <w:pPr>
        <w:ind w:left="1800" w:hanging="360"/>
      </w:pPr>
      <w:rPr>
        <w:rFonts w:ascii="Wingdings" w:hAnsi="Wingdings" w:hint="default"/>
      </w:rPr>
    </w:lvl>
    <w:lvl w:ilvl="3" w:tplc="D0701016" w:tentative="1">
      <w:start w:val="1"/>
      <w:numFmt w:val="bullet"/>
      <w:lvlText w:val=""/>
      <w:lvlJc w:val="left"/>
      <w:pPr>
        <w:ind w:left="2520" w:hanging="360"/>
      </w:pPr>
      <w:rPr>
        <w:rFonts w:ascii="Symbol" w:hAnsi="Symbol" w:hint="default"/>
      </w:rPr>
    </w:lvl>
    <w:lvl w:ilvl="4" w:tplc="5DE0D39E" w:tentative="1">
      <w:start w:val="1"/>
      <w:numFmt w:val="bullet"/>
      <w:lvlText w:val="o"/>
      <w:lvlJc w:val="left"/>
      <w:pPr>
        <w:ind w:left="3240" w:hanging="360"/>
      </w:pPr>
      <w:rPr>
        <w:rFonts w:ascii="Courier New" w:hAnsi="Courier New" w:hint="default"/>
      </w:rPr>
    </w:lvl>
    <w:lvl w:ilvl="5" w:tplc="0B1CB534" w:tentative="1">
      <w:start w:val="1"/>
      <w:numFmt w:val="bullet"/>
      <w:lvlText w:val=""/>
      <w:lvlJc w:val="left"/>
      <w:pPr>
        <w:ind w:left="3960" w:hanging="360"/>
      </w:pPr>
      <w:rPr>
        <w:rFonts w:ascii="Wingdings" w:hAnsi="Wingdings" w:hint="default"/>
      </w:rPr>
    </w:lvl>
    <w:lvl w:ilvl="6" w:tplc="408E1AB4" w:tentative="1">
      <w:start w:val="1"/>
      <w:numFmt w:val="bullet"/>
      <w:lvlText w:val=""/>
      <w:lvlJc w:val="left"/>
      <w:pPr>
        <w:ind w:left="4680" w:hanging="360"/>
      </w:pPr>
      <w:rPr>
        <w:rFonts w:ascii="Symbol" w:hAnsi="Symbol" w:hint="default"/>
      </w:rPr>
    </w:lvl>
    <w:lvl w:ilvl="7" w:tplc="B64C2688" w:tentative="1">
      <w:start w:val="1"/>
      <w:numFmt w:val="bullet"/>
      <w:lvlText w:val="o"/>
      <w:lvlJc w:val="left"/>
      <w:pPr>
        <w:ind w:left="5400" w:hanging="360"/>
      </w:pPr>
      <w:rPr>
        <w:rFonts w:ascii="Courier New" w:hAnsi="Courier New" w:hint="default"/>
      </w:rPr>
    </w:lvl>
    <w:lvl w:ilvl="8" w:tplc="85ACB8A6" w:tentative="1">
      <w:start w:val="1"/>
      <w:numFmt w:val="bullet"/>
      <w:lvlText w:val=""/>
      <w:lvlJc w:val="left"/>
      <w:pPr>
        <w:ind w:left="6120" w:hanging="360"/>
      </w:pPr>
      <w:rPr>
        <w:rFonts w:ascii="Wingdings" w:hAnsi="Wingdings" w:hint="default"/>
      </w:rPr>
    </w:lvl>
  </w:abstractNum>
  <w:abstractNum w:abstractNumId="32" w15:restartNumberingAfterBreak="0">
    <w:nsid w:val="314F512A"/>
    <w:multiLevelType w:val="hybridMultilevel"/>
    <w:tmpl w:val="B4EE7E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32866B93"/>
    <w:multiLevelType w:val="hybridMultilevel"/>
    <w:tmpl w:val="DEA85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D42A9D"/>
    <w:multiLevelType w:val="multilevel"/>
    <w:tmpl w:val="E342F1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6662955"/>
    <w:multiLevelType w:val="hybridMultilevel"/>
    <w:tmpl w:val="9B5E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8669CF"/>
    <w:multiLevelType w:val="hybridMultilevel"/>
    <w:tmpl w:val="970E66D2"/>
    <w:lvl w:ilvl="0" w:tplc="06C62C06">
      <w:start w:val="1"/>
      <w:numFmt w:val="decimal"/>
      <w:lvlText w:val="%1."/>
      <w:lvlJc w:val="left"/>
      <w:pPr>
        <w:ind w:left="1080" w:hanging="360"/>
      </w:pPr>
    </w:lvl>
    <w:lvl w:ilvl="1" w:tplc="54408306">
      <w:start w:val="1"/>
      <w:numFmt w:val="lowerLetter"/>
      <w:lvlText w:val="%2."/>
      <w:lvlJc w:val="left"/>
      <w:pPr>
        <w:ind w:left="1800" w:hanging="360"/>
      </w:pPr>
    </w:lvl>
    <w:lvl w:ilvl="2" w:tplc="26C48A90">
      <w:start w:val="1"/>
      <w:numFmt w:val="lowerRoman"/>
      <w:lvlText w:val="%3."/>
      <w:lvlJc w:val="right"/>
      <w:pPr>
        <w:ind w:left="2520" w:hanging="180"/>
      </w:pPr>
    </w:lvl>
    <w:lvl w:ilvl="3" w:tplc="17E885F0">
      <w:start w:val="1"/>
      <w:numFmt w:val="decimal"/>
      <w:lvlText w:val="%4."/>
      <w:lvlJc w:val="left"/>
      <w:pPr>
        <w:ind w:left="3240" w:hanging="360"/>
      </w:pPr>
    </w:lvl>
    <w:lvl w:ilvl="4" w:tplc="D6DC5A12">
      <w:start w:val="1"/>
      <w:numFmt w:val="lowerLetter"/>
      <w:lvlText w:val="%5."/>
      <w:lvlJc w:val="left"/>
      <w:pPr>
        <w:ind w:left="3960" w:hanging="360"/>
      </w:pPr>
    </w:lvl>
    <w:lvl w:ilvl="5" w:tplc="C32CEE78">
      <w:start w:val="1"/>
      <w:numFmt w:val="lowerRoman"/>
      <w:lvlText w:val="%6."/>
      <w:lvlJc w:val="right"/>
      <w:pPr>
        <w:ind w:left="4680" w:hanging="180"/>
      </w:pPr>
    </w:lvl>
    <w:lvl w:ilvl="6" w:tplc="F446DD18">
      <w:start w:val="1"/>
      <w:numFmt w:val="decimal"/>
      <w:lvlText w:val="%7."/>
      <w:lvlJc w:val="left"/>
      <w:pPr>
        <w:ind w:left="5400" w:hanging="360"/>
      </w:pPr>
    </w:lvl>
    <w:lvl w:ilvl="7" w:tplc="9696734A">
      <w:start w:val="1"/>
      <w:numFmt w:val="lowerLetter"/>
      <w:lvlText w:val="%8."/>
      <w:lvlJc w:val="left"/>
      <w:pPr>
        <w:ind w:left="6120" w:hanging="360"/>
      </w:pPr>
    </w:lvl>
    <w:lvl w:ilvl="8" w:tplc="791249F6">
      <w:start w:val="1"/>
      <w:numFmt w:val="lowerRoman"/>
      <w:lvlText w:val="%9."/>
      <w:lvlJc w:val="right"/>
      <w:pPr>
        <w:ind w:left="6840" w:hanging="180"/>
      </w:pPr>
    </w:lvl>
  </w:abstractNum>
  <w:abstractNum w:abstractNumId="37" w15:restartNumberingAfterBreak="0">
    <w:nsid w:val="3EA33000"/>
    <w:multiLevelType w:val="hybridMultilevel"/>
    <w:tmpl w:val="56AE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3F6283"/>
    <w:multiLevelType w:val="hybridMultilevel"/>
    <w:tmpl w:val="2DD6D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735F5A"/>
    <w:multiLevelType w:val="hybridMultilevel"/>
    <w:tmpl w:val="A018656E"/>
    <w:lvl w:ilvl="0" w:tplc="41EA08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7214937"/>
    <w:multiLevelType w:val="hybridMultilevel"/>
    <w:tmpl w:val="FFFFFFFF"/>
    <w:lvl w:ilvl="0" w:tplc="95D20192">
      <w:start w:val="1"/>
      <w:numFmt w:val="bullet"/>
      <w:lvlText w:val=""/>
      <w:lvlJc w:val="left"/>
      <w:pPr>
        <w:ind w:left="720" w:hanging="360"/>
      </w:pPr>
      <w:rPr>
        <w:rFonts w:ascii="Symbol" w:hAnsi="Symbol" w:hint="default"/>
      </w:rPr>
    </w:lvl>
    <w:lvl w:ilvl="1" w:tplc="865041E8">
      <w:start w:val="1"/>
      <w:numFmt w:val="bullet"/>
      <w:lvlText w:val="o"/>
      <w:lvlJc w:val="left"/>
      <w:pPr>
        <w:ind w:left="1440" w:hanging="360"/>
      </w:pPr>
      <w:rPr>
        <w:rFonts w:ascii="Courier New" w:hAnsi="Courier New" w:hint="default"/>
      </w:rPr>
    </w:lvl>
    <w:lvl w:ilvl="2" w:tplc="E5BC1B30">
      <w:start w:val="1"/>
      <w:numFmt w:val="bullet"/>
      <w:lvlText w:val=""/>
      <w:lvlJc w:val="left"/>
      <w:pPr>
        <w:ind w:left="2160" w:hanging="360"/>
      </w:pPr>
      <w:rPr>
        <w:rFonts w:ascii="Wingdings" w:hAnsi="Wingdings" w:hint="default"/>
      </w:rPr>
    </w:lvl>
    <w:lvl w:ilvl="3" w:tplc="573CE9FA">
      <w:start w:val="1"/>
      <w:numFmt w:val="bullet"/>
      <w:lvlText w:val=""/>
      <w:lvlJc w:val="left"/>
      <w:pPr>
        <w:ind w:left="2880" w:hanging="360"/>
      </w:pPr>
      <w:rPr>
        <w:rFonts w:ascii="Symbol" w:hAnsi="Symbol" w:hint="default"/>
      </w:rPr>
    </w:lvl>
    <w:lvl w:ilvl="4" w:tplc="AEFEE380">
      <w:start w:val="1"/>
      <w:numFmt w:val="bullet"/>
      <w:lvlText w:val="o"/>
      <w:lvlJc w:val="left"/>
      <w:pPr>
        <w:ind w:left="3600" w:hanging="360"/>
      </w:pPr>
      <w:rPr>
        <w:rFonts w:ascii="Courier New" w:hAnsi="Courier New" w:hint="default"/>
      </w:rPr>
    </w:lvl>
    <w:lvl w:ilvl="5" w:tplc="62B2D7B8">
      <w:start w:val="1"/>
      <w:numFmt w:val="bullet"/>
      <w:lvlText w:val=""/>
      <w:lvlJc w:val="left"/>
      <w:pPr>
        <w:ind w:left="4320" w:hanging="360"/>
      </w:pPr>
      <w:rPr>
        <w:rFonts w:ascii="Wingdings" w:hAnsi="Wingdings" w:hint="default"/>
      </w:rPr>
    </w:lvl>
    <w:lvl w:ilvl="6" w:tplc="3306BA04">
      <w:start w:val="1"/>
      <w:numFmt w:val="bullet"/>
      <w:lvlText w:val=""/>
      <w:lvlJc w:val="left"/>
      <w:pPr>
        <w:ind w:left="5040" w:hanging="360"/>
      </w:pPr>
      <w:rPr>
        <w:rFonts w:ascii="Symbol" w:hAnsi="Symbol" w:hint="default"/>
      </w:rPr>
    </w:lvl>
    <w:lvl w:ilvl="7" w:tplc="E4260AD2">
      <w:start w:val="1"/>
      <w:numFmt w:val="bullet"/>
      <w:lvlText w:val="o"/>
      <w:lvlJc w:val="left"/>
      <w:pPr>
        <w:ind w:left="5760" w:hanging="360"/>
      </w:pPr>
      <w:rPr>
        <w:rFonts w:ascii="Courier New" w:hAnsi="Courier New" w:hint="default"/>
      </w:rPr>
    </w:lvl>
    <w:lvl w:ilvl="8" w:tplc="8800DE08">
      <w:start w:val="1"/>
      <w:numFmt w:val="bullet"/>
      <w:lvlText w:val=""/>
      <w:lvlJc w:val="left"/>
      <w:pPr>
        <w:ind w:left="6480" w:hanging="360"/>
      </w:pPr>
      <w:rPr>
        <w:rFonts w:ascii="Wingdings" w:hAnsi="Wingdings" w:hint="default"/>
      </w:rPr>
    </w:lvl>
  </w:abstractNum>
  <w:abstractNum w:abstractNumId="41" w15:restartNumberingAfterBreak="0">
    <w:nsid w:val="480941D9"/>
    <w:multiLevelType w:val="hybridMultilevel"/>
    <w:tmpl w:val="801AC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795E04"/>
    <w:multiLevelType w:val="hybridMultilevel"/>
    <w:tmpl w:val="AE18468E"/>
    <w:lvl w:ilvl="0" w:tplc="265E685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9CF49C4"/>
    <w:multiLevelType w:val="hybridMultilevel"/>
    <w:tmpl w:val="39A0061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4" w15:restartNumberingAfterBreak="0">
    <w:nsid w:val="4A14269C"/>
    <w:multiLevelType w:val="hybridMultilevel"/>
    <w:tmpl w:val="93FE1F80"/>
    <w:lvl w:ilvl="0" w:tplc="1ED8AD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5F30EE"/>
    <w:multiLevelType w:val="hybridMultilevel"/>
    <w:tmpl w:val="54F83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4BFED58D"/>
    <w:multiLevelType w:val="hybridMultilevel"/>
    <w:tmpl w:val="6A3AB378"/>
    <w:lvl w:ilvl="0" w:tplc="F0D496AE">
      <w:start w:val="1"/>
      <w:numFmt w:val="bullet"/>
      <w:lvlText w:val=""/>
      <w:lvlJc w:val="left"/>
      <w:pPr>
        <w:ind w:left="720" w:hanging="360"/>
      </w:pPr>
      <w:rPr>
        <w:rFonts w:ascii="Symbol" w:hAnsi="Symbol" w:hint="default"/>
      </w:rPr>
    </w:lvl>
    <w:lvl w:ilvl="1" w:tplc="2AAECE60">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69569074">
      <w:start w:val="1"/>
      <w:numFmt w:val="bullet"/>
      <w:lvlText w:val=""/>
      <w:lvlJc w:val="left"/>
      <w:pPr>
        <w:ind w:left="2880" w:hanging="360"/>
      </w:pPr>
      <w:rPr>
        <w:rFonts w:ascii="Symbol" w:hAnsi="Symbol" w:hint="default"/>
      </w:rPr>
    </w:lvl>
    <w:lvl w:ilvl="4" w:tplc="1442645A">
      <w:start w:val="1"/>
      <w:numFmt w:val="bullet"/>
      <w:lvlText w:val="o"/>
      <w:lvlJc w:val="left"/>
      <w:pPr>
        <w:ind w:left="3600" w:hanging="360"/>
      </w:pPr>
      <w:rPr>
        <w:rFonts w:ascii="Courier New" w:hAnsi="Courier New" w:hint="default"/>
      </w:rPr>
    </w:lvl>
    <w:lvl w:ilvl="5" w:tplc="68BC8EEC">
      <w:start w:val="1"/>
      <w:numFmt w:val="bullet"/>
      <w:lvlText w:val=""/>
      <w:lvlJc w:val="left"/>
      <w:pPr>
        <w:ind w:left="4320" w:hanging="360"/>
      </w:pPr>
      <w:rPr>
        <w:rFonts w:ascii="Wingdings" w:hAnsi="Wingdings" w:hint="default"/>
      </w:rPr>
    </w:lvl>
    <w:lvl w:ilvl="6" w:tplc="8B966202">
      <w:start w:val="1"/>
      <w:numFmt w:val="bullet"/>
      <w:lvlText w:val=""/>
      <w:lvlJc w:val="left"/>
      <w:pPr>
        <w:ind w:left="5040" w:hanging="360"/>
      </w:pPr>
      <w:rPr>
        <w:rFonts w:ascii="Symbol" w:hAnsi="Symbol" w:hint="default"/>
      </w:rPr>
    </w:lvl>
    <w:lvl w:ilvl="7" w:tplc="48F6937A">
      <w:start w:val="1"/>
      <w:numFmt w:val="bullet"/>
      <w:lvlText w:val="o"/>
      <w:lvlJc w:val="left"/>
      <w:pPr>
        <w:ind w:left="5760" w:hanging="360"/>
      </w:pPr>
      <w:rPr>
        <w:rFonts w:ascii="Courier New" w:hAnsi="Courier New" w:hint="default"/>
      </w:rPr>
    </w:lvl>
    <w:lvl w:ilvl="8" w:tplc="31061EFA">
      <w:start w:val="1"/>
      <w:numFmt w:val="bullet"/>
      <w:lvlText w:val=""/>
      <w:lvlJc w:val="left"/>
      <w:pPr>
        <w:ind w:left="6480" w:hanging="360"/>
      </w:pPr>
      <w:rPr>
        <w:rFonts w:ascii="Wingdings" w:hAnsi="Wingdings" w:hint="default"/>
      </w:rPr>
    </w:lvl>
  </w:abstractNum>
  <w:abstractNum w:abstractNumId="47" w15:restartNumberingAfterBreak="0">
    <w:nsid w:val="4DFD1A8C"/>
    <w:multiLevelType w:val="hybridMultilevel"/>
    <w:tmpl w:val="347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41592F"/>
    <w:multiLevelType w:val="hybridMultilevel"/>
    <w:tmpl w:val="B4EE7E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53815011"/>
    <w:multiLevelType w:val="hybridMultilevel"/>
    <w:tmpl w:val="E9B09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3170C2"/>
    <w:multiLevelType w:val="hybridMultilevel"/>
    <w:tmpl w:val="34DEAC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56455E33"/>
    <w:multiLevelType w:val="hybridMultilevel"/>
    <w:tmpl w:val="121AD1AA"/>
    <w:lvl w:ilvl="0" w:tplc="86C0F038">
      <w:numFmt w:val="bullet"/>
      <w:lvlText w:val="•"/>
      <w:lvlJc w:val="left"/>
      <w:pPr>
        <w:ind w:left="720" w:hanging="360"/>
      </w:pPr>
      <w:rPr>
        <w:rFonts w:ascii="Century Gothic" w:eastAsiaTheme="minorHAnsi" w:hAnsi="Century Gothic"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771929"/>
    <w:multiLevelType w:val="multilevel"/>
    <w:tmpl w:val="C95E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5202DD"/>
    <w:multiLevelType w:val="hybridMultilevel"/>
    <w:tmpl w:val="DEC01C18"/>
    <w:lvl w:ilvl="0" w:tplc="C954313C">
      <w:start w:val="1"/>
      <w:numFmt w:val="bullet"/>
      <w:lvlText w:val="·"/>
      <w:lvlJc w:val="left"/>
      <w:pPr>
        <w:ind w:left="720" w:hanging="360"/>
      </w:pPr>
      <w:rPr>
        <w:rFonts w:ascii="Symbol" w:hAnsi="Symbol" w:hint="default"/>
      </w:rPr>
    </w:lvl>
    <w:lvl w:ilvl="1" w:tplc="369C73E6">
      <w:start w:val="1"/>
      <w:numFmt w:val="bullet"/>
      <w:lvlText w:val="o"/>
      <w:lvlJc w:val="left"/>
      <w:pPr>
        <w:ind w:left="1440" w:hanging="360"/>
      </w:pPr>
      <w:rPr>
        <w:rFonts w:ascii="Courier New" w:hAnsi="Courier New" w:hint="default"/>
      </w:rPr>
    </w:lvl>
    <w:lvl w:ilvl="2" w:tplc="BF72229A">
      <w:start w:val="1"/>
      <w:numFmt w:val="bullet"/>
      <w:lvlText w:val=""/>
      <w:lvlJc w:val="left"/>
      <w:pPr>
        <w:ind w:left="2160" w:hanging="360"/>
      </w:pPr>
      <w:rPr>
        <w:rFonts w:ascii="Wingdings" w:hAnsi="Wingdings" w:hint="default"/>
      </w:rPr>
    </w:lvl>
    <w:lvl w:ilvl="3" w:tplc="E1480D7E">
      <w:start w:val="1"/>
      <w:numFmt w:val="bullet"/>
      <w:lvlText w:val=""/>
      <w:lvlJc w:val="left"/>
      <w:pPr>
        <w:ind w:left="2880" w:hanging="360"/>
      </w:pPr>
      <w:rPr>
        <w:rFonts w:ascii="Symbol" w:hAnsi="Symbol" w:hint="default"/>
      </w:rPr>
    </w:lvl>
    <w:lvl w:ilvl="4" w:tplc="1A44E1AA">
      <w:start w:val="1"/>
      <w:numFmt w:val="bullet"/>
      <w:lvlText w:val="o"/>
      <w:lvlJc w:val="left"/>
      <w:pPr>
        <w:ind w:left="3600" w:hanging="360"/>
      </w:pPr>
      <w:rPr>
        <w:rFonts w:ascii="Courier New" w:hAnsi="Courier New" w:hint="default"/>
      </w:rPr>
    </w:lvl>
    <w:lvl w:ilvl="5" w:tplc="D94A9696">
      <w:start w:val="1"/>
      <w:numFmt w:val="bullet"/>
      <w:lvlText w:val=""/>
      <w:lvlJc w:val="left"/>
      <w:pPr>
        <w:ind w:left="4320" w:hanging="360"/>
      </w:pPr>
      <w:rPr>
        <w:rFonts w:ascii="Wingdings" w:hAnsi="Wingdings" w:hint="default"/>
      </w:rPr>
    </w:lvl>
    <w:lvl w:ilvl="6" w:tplc="608A24DA">
      <w:start w:val="1"/>
      <w:numFmt w:val="bullet"/>
      <w:lvlText w:val=""/>
      <w:lvlJc w:val="left"/>
      <w:pPr>
        <w:ind w:left="5040" w:hanging="360"/>
      </w:pPr>
      <w:rPr>
        <w:rFonts w:ascii="Symbol" w:hAnsi="Symbol" w:hint="default"/>
      </w:rPr>
    </w:lvl>
    <w:lvl w:ilvl="7" w:tplc="3A706136">
      <w:start w:val="1"/>
      <w:numFmt w:val="bullet"/>
      <w:lvlText w:val="o"/>
      <w:lvlJc w:val="left"/>
      <w:pPr>
        <w:ind w:left="5760" w:hanging="360"/>
      </w:pPr>
      <w:rPr>
        <w:rFonts w:ascii="Courier New" w:hAnsi="Courier New" w:hint="default"/>
      </w:rPr>
    </w:lvl>
    <w:lvl w:ilvl="8" w:tplc="EA3C9172">
      <w:start w:val="1"/>
      <w:numFmt w:val="bullet"/>
      <w:lvlText w:val=""/>
      <w:lvlJc w:val="left"/>
      <w:pPr>
        <w:ind w:left="6480" w:hanging="360"/>
      </w:pPr>
      <w:rPr>
        <w:rFonts w:ascii="Wingdings" w:hAnsi="Wingdings" w:hint="default"/>
      </w:rPr>
    </w:lvl>
  </w:abstractNum>
  <w:abstractNum w:abstractNumId="54" w15:restartNumberingAfterBreak="0">
    <w:nsid w:val="5E0400A5"/>
    <w:multiLevelType w:val="multilevel"/>
    <w:tmpl w:val="B3CABDD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B55326"/>
    <w:multiLevelType w:val="multilevel"/>
    <w:tmpl w:val="3A88C8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C9672C"/>
    <w:multiLevelType w:val="hybridMultilevel"/>
    <w:tmpl w:val="C10C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E33E7E"/>
    <w:multiLevelType w:val="multilevel"/>
    <w:tmpl w:val="416A06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4636388"/>
    <w:multiLevelType w:val="hybridMultilevel"/>
    <w:tmpl w:val="8592A5B2"/>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48F105A"/>
    <w:multiLevelType w:val="multilevel"/>
    <w:tmpl w:val="DF7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2259B3"/>
    <w:multiLevelType w:val="multilevel"/>
    <w:tmpl w:val="CD24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A91044"/>
    <w:multiLevelType w:val="hybridMultilevel"/>
    <w:tmpl w:val="54D4CAEA"/>
    <w:lvl w:ilvl="0" w:tplc="F59C1726">
      <w:numFmt w:val="bullet"/>
      <w:lvlText w:val="•"/>
      <w:lvlJc w:val="left"/>
      <w:pPr>
        <w:ind w:left="270" w:hanging="270"/>
      </w:pPr>
      <w:rPr>
        <w:rFonts w:ascii="Century Gothic" w:eastAsia="Century Gothic" w:hAnsi="Century Gothic" w:cs="Century Gothic" w:hint="default"/>
        <w:spacing w:val="0"/>
        <w:w w:val="100"/>
        <w:lang w:val="en-US" w:eastAsia="en-US" w:bidi="ar-SA"/>
      </w:rPr>
    </w:lvl>
    <w:lvl w:ilvl="1" w:tplc="5A06FB98">
      <w:numFmt w:val="bullet"/>
      <w:lvlText w:val="•"/>
      <w:lvlJc w:val="left"/>
      <w:pPr>
        <w:ind w:left="1332" w:hanging="270"/>
      </w:pPr>
      <w:rPr>
        <w:rFonts w:hint="default"/>
        <w:lang w:val="en-US" w:eastAsia="en-US" w:bidi="ar-SA"/>
      </w:rPr>
    </w:lvl>
    <w:lvl w:ilvl="2" w:tplc="95AC7196">
      <w:numFmt w:val="bullet"/>
      <w:lvlText w:val="•"/>
      <w:lvlJc w:val="left"/>
      <w:pPr>
        <w:ind w:left="2394" w:hanging="270"/>
      </w:pPr>
      <w:rPr>
        <w:rFonts w:hint="default"/>
        <w:lang w:val="en-US" w:eastAsia="en-US" w:bidi="ar-SA"/>
      </w:rPr>
    </w:lvl>
    <w:lvl w:ilvl="3" w:tplc="2B0A7B06">
      <w:numFmt w:val="bullet"/>
      <w:lvlText w:val="•"/>
      <w:lvlJc w:val="left"/>
      <w:pPr>
        <w:ind w:left="3456" w:hanging="270"/>
      </w:pPr>
      <w:rPr>
        <w:rFonts w:hint="default"/>
        <w:lang w:val="en-US" w:eastAsia="en-US" w:bidi="ar-SA"/>
      </w:rPr>
    </w:lvl>
    <w:lvl w:ilvl="4" w:tplc="24203CF2">
      <w:numFmt w:val="bullet"/>
      <w:lvlText w:val="•"/>
      <w:lvlJc w:val="left"/>
      <w:pPr>
        <w:ind w:left="4518" w:hanging="270"/>
      </w:pPr>
      <w:rPr>
        <w:rFonts w:hint="default"/>
        <w:lang w:val="en-US" w:eastAsia="en-US" w:bidi="ar-SA"/>
      </w:rPr>
    </w:lvl>
    <w:lvl w:ilvl="5" w:tplc="5FDAC6E2">
      <w:numFmt w:val="bullet"/>
      <w:lvlText w:val="•"/>
      <w:lvlJc w:val="left"/>
      <w:pPr>
        <w:ind w:left="5580" w:hanging="270"/>
      </w:pPr>
      <w:rPr>
        <w:rFonts w:hint="default"/>
        <w:lang w:val="en-US" w:eastAsia="en-US" w:bidi="ar-SA"/>
      </w:rPr>
    </w:lvl>
    <w:lvl w:ilvl="6" w:tplc="4784268C">
      <w:numFmt w:val="bullet"/>
      <w:lvlText w:val="•"/>
      <w:lvlJc w:val="left"/>
      <w:pPr>
        <w:ind w:left="6642" w:hanging="270"/>
      </w:pPr>
      <w:rPr>
        <w:rFonts w:hint="default"/>
        <w:lang w:val="en-US" w:eastAsia="en-US" w:bidi="ar-SA"/>
      </w:rPr>
    </w:lvl>
    <w:lvl w:ilvl="7" w:tplc="2D50CC26">
      <w:numFmt w:val="bullet"/>
      <w:lvlText w:val="•"/>
      <w:lvlJc w:val="left"/>
      <w:pPr>
        <w:ind w:left="7704" w:hanging="270"/>
      </w:pPr>
      <w:rPr>
        <w:rFonts w:hint="default"/>
        <w:lang w:val="en-US" w:eastAsia="en-US" w:bidi="ar-SA"/>
      </w:rPr>
    </w:lvl>
    <w:lvl w:ilvl="8" w:tplc="87B80D2C">
      <w:numFmt w:val="bullet"/>
      <w:lvlText w:val="•"/>
      <w:lvlJc w:val="left"/>
      <w:pPr>
        <w:ind w:left="8766" w:hanging="270"/>
      </w:pPr>
      <w:rPr>
        <w:rFonts w:hint="default"/>
        <w:lang w:val="en-US" w:eastAsia="en-US" w:bidi="ar-SA"/>
      </w:rPr>
    </w:lvl>
  </w:abstractNum>
  <w:abstractNum w:abstractNumId="62" w15:restartNumberingAfterBreak="0">
    <w:nsid w:val="70845032"/>
    <w:multiLevelType w:val="hybridMultilevel"/>
    <w:tmpl w:val="430A52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3" w15:restartNumberingAfterBreak="0">
    <w:nsid w:val="715E7E78"/>
    <w:multiLevelType w:val="hybridMultilevel"/>
    <w:tmpl w:val="497804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51866F3"/>
    <w:multiLevelType w:val="multilevel"/>
    <w:tmpl w:val="9D0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D14DBF"/>
    <w:multiLevelType w:val="hybridMultilevel"/>
    <w:tmpl w:val="9546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B434A4"/>
    <w:multiLevelType w:val="hybridMultilevel"/>
    <w:tmpl w:val="7DF8F6BA"/>
    <w:lvl w:ilvl="0" w:tplc="04090001">
      <w:start w:val="1"/>
      <w:numFmt w:val="bullet"/>
      <w:lvlText w:val=""/>
      <w:lvlJc w:val="left"/>
      <w:pPr>
        <w:ind w:left="720" w:hanging="360"/>
      </w:pPr>
      <w:rPr>
        <w:rFonts w:ascii="Symbol" w:hAnsi="Symbol" w:hint="default"/>
      </w:rPr>
    </w:lvl>
    <w:lvl w:ilvl="1" w:tplc="FB520E9C">
      <w:start w:val="1"/>
      <w:numFmt w:val="bullet"/>
      <w:lvlText w:val="o"/>
      <w:lvlJc w:val="left"/>
      <w:pPr>
        <w:ind w:left="1440" w:hanging="360"/>
      </w:pPr>
      <w:rPr>
        <w:rFonts w:ascii="Courier New" w:hAnsi="Courier New" w:hint="default"/>
      </w:rPr>
    </w:lvl>
    <w:lvl w:ilvl="2" w:tplc="D400A098">
      <w:start w:val="1"/>
      <w:numFmt w:val="bullet"/>
      <w:lvlText w:val=""/>
      <w:lvlJc w:val="left"/>
      <w:pPr>
        <w:ind w:left="2160" w:hanging="360"/>
      </w:pPr>
      <w:rPr>
        <w:rFonts w:ascii="Wingdings" w:hAnsi="Wingdings" w:hint="default"/>
      </w:rPr>
    </w:lvl>
    <w:lvl w:ilvl="3" w:tplc="708896C8">
      <w:start w:val="1"/>
      <w:numFmt w:val="bullet"/>
      <w:lvlText w:val=""/>
      <w:lvlJc w:val="left"/>
      <w:pPr>
        <w:ind w:left="2880" w:hanging="360"/>
      </w:pPr>
      <w:rPr>
        <w:rFonts w:ascii="Symbol" w:hAnsi="Symbol" w:hint="default"/>
      </w:rPr>
    </w:lvl>
    <w:lvl w:ilvl="4" w:tplc="F9BA0406">
      <w:start w:val="1"/>
      <w:numFmt w:val="bullet"/>
      <w:lvlText w:val="o"/>
      <w:lvlJc w:val="left"/>
      <w:pPr>
        <w:ind w:left="3600" w:hanging="360"/>
      </w:pPr>
      <w:rPr>
        <w:rFonts w:ascii="Courier New" w:hAnsi="Courier New" w:hint="default"/>
      </w:rPr>
    </w:lvl>
    <w:lvl w:ilvl="5" w:tplc="D390D82E">
      <w:start w:val="1"/>
      <w:numFmt w:val="bullet"/>
      <w:lvlText w:val=""/>
      <w:lvlJc w:val="left"/>
      <w:pPr>
        <w:ind w:left="4320" w:hanging="360"/>
      </w:pPr>
      <w:rPr>
        <w:rFonts w:ascii="Wingdings" w:hAnsi="Wingdings" w:hint="default"/>
      </w:rPr>
    </w:lvl>
    <w:lvl w:ilvl="6" w:tplc="E1C629D0">
      <w:start w:val="1"/>
      <w:numFmt w:val="bullet"/>
      <w:lvlText w:val=""/>
      <w:lvlJc w:val="left"/>
      <w:pPr>
        <w:ind w:left="5040" w:hanging="360"/>
      </w:pPr>
      <w:rPr>
        <w:rFonts w:ascii="Symbol" w:hAnsi="Symbol" w:hint="default"/>
      </w:rPr>
    </w:lvl>
    <w:lvl w:ilvl="7" w:tplc="5866CE18">
      <w:start w:val="1"/>
      <w:numFmt w:val="bullet"/>
      <w:lvlText w:val="o"/>
      <w:lvlJc w:val="left"/>
      <w:pPr>
        <w:ind w:left="5760" w:hanging="360"/>
      </w:pPr>
      <w:rPr>
        <w:rFonts w:ascii="Courier New" w:hAnsi="Courier New" w:hint="default"/>
      </w:rPr>
    </w:lvl>
    <w:lvl w:ilvl="8" w:tplc="233AC5F0">
      <w:start w:val="1"/>
      <w:numFmt w:val="bullet"/>
      <w:lvlText w:val=""/>
      <w:lvlJc w:val="left"/>
      <w:pPr>
        <w:ind w:left="6480" w:hanging="360"/>
      </w:pPr>
      <w:rPr>
        <w:rFonts w:ascii="Wingdings" w:hAnsi="Wingdings" w:hint="default"/>
      </w:rPr>
    </w:lvl>
  </w:abstractNum>
  <w:abstractNum w:abstractNumId="67" w15:restartNumberingAfterBreak="0">
    <w:nsid w:val="797253C8"/>
    <w:multiLevelType w:val="hybridMultilevel"/>
    <w:tmpl w:val="BFBE8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D0E801"/>
    <w:multiLevelType w:val="hybridMultilevel"/>
    <w:tmpl w:val="A4B06BD8"/>
    <w:lvl w:ilvl="0" w:tplc="B65A3C14">
      <w:start w:val="1"/>
      <w:numFmt w:val="bullet"/>
      <w:lvlText w:val=""/>
      <w:lvlJc w:val="left"/>
      <w:pPr>
        <w:ind w:left="1440" w:hanging="360"/>
      </w:pPr>
      <w:rPr>
        <w:rFonts w:ascii="Symbol" w:hAnsi="Symbol" w:hint="default"/>
      </w:rPr>
    </w:lvl>
    <w:lvl w:ilvl="1" w:tplc="5860CD6A">
      <w:start w:val="1"/>
      <w:numFmt w:val="bullet"/>
      <w:lvlText w:val="o"/>
      <w:lvlJc w:val="left"/>
      <w:pPr>
        <w:ind w:left="2160" w:hanging="360"/>
      </w:pPr>
      <w:rPr>
        <w:rFonts w:ascii="Courier New" w:hAnsi="Courier New" w:hint="default"/>
      </w:rPr>
    </w:lvl>
    <w:lvl w:ilvl="2" w:tplc="DBE68112">
      <w:start w:val="1"/>
      <w:numFmt w:val="bullet"/>
      <w:lvlText w:val=""/>
      <w:lvlJc w:val="left"/>
      <w:pPr>
        <w:ind w:left="2880" w:hanging="360"/>
      </w:pPr>
      <w:rPr>
        <w:rFonts w:ascii="Wingdings" w:hAnsi="Wingdings" w:hint="default"/>
      </w:rPr>
    </w:lvl>
    <w:lvl w:ilvl="3" w:tplc="359868CC">
      <w:start w:val="1"/>
      <w:numFmt w:val="bullet"/>
      <w:lvlText w:val=""/>
      <w:lvlJc w:val="left"/>
      <w:pPr>
        <w:ind w:left="3600" w:hanging="360"/>
      </w:pPr>
      <w:rPr>
        <w:rFonts w:ascii="Symbol" w:hAnsi="Symbol" w:hint="default"/>
      </w:rPr>
    </w:lvl>
    <w:lvl w:ilvl="4" w:tplc="C1A45142">
      <w:start w:val="1"/>
      <w:numFmt w:val="bullet"/>
      <w:lvlText w:val="o"/>
      <w:lvlJc w:val="left"/>
      <w:pPr>
        <w:ind w:left="4320" w:hanging="360"/>
      </w:pPr>
      <w:rPr>
        <w:rFonts w:ascii="Courier New" w:hAnsi="Courier New" w:hint="default"/>
      </w:rPr>
    </w:lvl>
    <w:lvl w:ilvl="5" w:tplc="DAEAF1D6">
      <w:start w:val="1"/>
      <w:numFmt w:val="bullet"/>
      <w:lvlText w:val=""/>
      <w:lvlJc w:val="left"/>
      <w:pPr>
        <w:ind w:left="5040" w:hanging="360"/>
      </w:pPr>
      <w:rPr>
        <w:rFonts w:ascii="Wingdings" w:hAnsi="Wingdings" w:hint="default"/>
      </w:rPr>
    </w:lvl>
    <w:lvl w:ilvl="6" w:tplc="3412E2EE">
      <w:start w:val="1"/>
      <w:numFmt w:val="bullet"/>
      <w:lvlText w:val=""/>
      <w:lvlJc w:val="left"/>
      <w:pPr>
        <w:ind w:left="5760" w:hanging="360"/>
      </w:pPr>
      <w:rPr>
        <w:rFonts w:ascii="Symbol" w:hAnsi="Symbol" w:hint="default"/>
      </w:rPr>
    </w:lvl>
    <w:lvl w:ilvl="7" w:tplc="6A2A439E">
      <w:start w:val="1"/>
      <w:numFmt w:val="bullet"/>
      <w:lvlText w:val="o"/>
      <w:lvlJc w:val="left"/>
      <w:pPr>
        <w:ind w:left="6480" w:hanging="360"/>
      </w:pPr>
      <w:rPr>
        <w:rFonts w:ascii="Courier New" w:hAnsi="Courier New" w:hint="default"/>
      </w:rPr>
    </w:lvl>
    <w:lvl w:ilvl="8" w:tplc="835CEFB0">
      <w:start w:val="1"/>
      <w:numFmt w:val="bullet"/>
      <w:lvlText w:val=""/>
      <w:lvlJc w:val="left"/>
      <w:pPr>
        <w:ind w:left="7200" w:hanging="360"/>
      </w:pPr>
      <w:rPr>
        <w:rFonts w:ascii="Wingdings" w:hAnsi="Wingdings" w:hint="default"/>
      </w:rPr>
    </w:lvl>
  </w:abstractNum>
  <w:abstractNum w:abstractNumId="69" w15:restartNumberingAfterBreak="0">
    <w:nsid w:val="7A87708C"/>
    <w:multiLevelType w:val="hybridMultilevel"/>
    <w:tmpl w:val="E7AC2D7A"/>
    <w:lvl w:ilvl="0" w:tplc="41EA08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C82600"/>
    <w:multiLevelType w:val="multilevel"/>
    <w:tmpl w:val="19124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CE179DF"/>
    <w:multiLevelType w:val="multilevel"/>
    <w:tmpl w:val="F52424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2" w15:restartNumberingAfterBreak="0">
    <w:nsid w:val="7EE446EF"/>
    <w:multiLevelType w:val="multilevel"/>
    <w:tmpl w:val="005079A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EEB62D1"/>
    <w:multiLevelType w:val="hybridMultilevel"/>
    <w:tmpl w:val="16ECB62E"/>
    <w:lvl w:ilvl="0" w:tplc="04090001">
      <w:start w:val="1"/>
      <w:numFmt w:val="bullet"/>
      <w:lvlText w:val=""/>
      <w:lvlJc w:val="left"/>
      <w:pPr>
        <w:ind w:left="805" w:hanging="360"/>
      </w:pPr>
      <w:rPr>
        <w:rFonts w:ascii="Symbol" w:hAnsi="Symbol" w:hint="default"/>
      </w:rPr>
    </w:lvl>
    <w:lvl w:ilvl="1" w:tplc="FFFFFFFF" w:tentative="1">
      <w:start w:val="1"/>
      <w:numFmt w:val="lowerLetter"/>
      <w:lvlText w:val="%2."/>
      <w:lvlJc w:val="left"/>
      <w:pPr>
        <w:ind w:left="1525" w:hanging="360"/>
      </w:pPr>
    </w:lvl>
    <w:lvl w:ilvl="2" w:tplc="FFFFFFFF" w:tentative="1">
      <w:start w:val="1"/>
      <w:numFmt w:val="lowerRoman"/>
      <w:lvlText w:val="%3."/>
      <w:lvlJc w:val="right"/>
      <w:pPr>
        <w:ind w:left="2245" w:hanging="180"/>
      </w:pPr>
    </w:lvl>
    <w:lvl w:ilvl="3" w:tplc="FFFFFFFF" w:tentative="1">
      <w:start w:val="1"/>
      <w:numFmt w:val="decimal"/>
      <w:lvlText w:val="%4."/>
      <w:lvlJc w:val="left"/>
      <w:pPr>
        <w:ind w:left="2965" w:hanging="360"/>
      </w:pPr>
    </w:lvl>
    <w:lvl w:ilvl="4" w:tplc="FFFFFFFF" w:tentative="1">
      <w:start w:val="1"/>
      <w:numFmt w:val="lowerLetter"/>
      <w:lvlText w:val="%5."/>
      <w:lvlJc w:val="left"/>
      <w:pPr>
        <w:ind w:left="3685" w:hanging="360"/>
      </w:pPr>
    </w:lvl>
    <w:lvl w:ilvl="5" w:tplc="FFFFFFFF" w:tentative="1">
      <w:start w:val="1"/>
      <w:numFmt w:val="lowerRoman"/>
      <w:lvlText w:val="%6."/>
      <w:lvlJc w:val="right"/>
      <w:pPr>
        <w:ind w:left="4405" w:hanging="180"/>
      </w:pPr>
    </w:lvl>
    <w:lvl w:ilvl="6" w:tplc="FFFFFFFF" w:tentative="1">
      <w:start w:val="1"/>
      <w:numFmt w:val="decimal"/>
      <w:lvlText w:val="%7."/>
      <w:lvlJc w:val="left"/>
      <w:pPr>
        <w:ind w:left="5125" w:hanging="360"/>
      </w:pPr>
    </w:lvl>
    <w:lvl w:ilvl="7" w:tplc="FFFFFFFF" w:tentative="1">
      <w:start w:val="1"/>
      <w:numFmt w:val="lowerLetter"/>
      <w:lvlText w:val="%8."/>
      <w:lvlJc w:val="left"/>
      <w:pPr>
        <w:ind w:left="5845" w:hanging="360"/>
      </w:pPr>
    </w:lvl>
    <w:lvl w:ilvl="8" w:tplc="FFFFFFFF" w:tentative="1">
      <w:start w:val="1"/>
      <w:numFmt w:val="lowerRoman"/>
      <w:lvlText w:val="%9."/>
      <w:lvlJc w:val="right"/>
      <w:pPr>
        <w:ind w:left="6565" w:hanging="180"/>
      </w:pPr>
    </w:lvl>
  </w:abstractNum>
  <w:num w:numId="1" w16cid:durableId="787967474">
    <w:abstractNumId w:val="40"/>
  </w:num>
  <w:num w:numId="2" w16cid:durableId="1554006549">
    <w:abstractNumId w:val="66"/>
  </w:num>
  <w:num w:numId="3" w16cid:durableId="1959723598">
    <w:abstractNumId w:val="53"/>
  </w:num>
  <w:num w:numId="4" w16cid:durableId="593785546">
    <w:abstractNumId w:val="68"/>
  </w:num>
  <w:num w:numId="5" w16cid:durableId="732116758">
    <w:abstractNumId w:val="29"/>
  </w:num>
  <w:num w:numId="6" w16cid:durableId="2144620248">
    <w:abstractNumId w:val="36"/>
  </w:num>
  <w:num w:numId="7" w16cid:durableId="462162625">
    <w:abstractNumId w:val="30"/>
  </w:num>
  <w:num w:numId="8" w16cid:durableId="1461264252">
    <w:abstractNumId w:val="46"/>
  </w:num>
  <w:num w:numId="9" w16cid:durableId="1733499894">
    <w:abstractNumId w:val="14"/>
  </w:num>
  <w:num w:numId="10" w16cid:durableId="975404943">
    <w:abstractNumId w:val="55"/>
  </w:num>
  <w:num w:numId="11" w16cid:durableId="156964431">
    <w:abstractNumId w:val="54"/>
  </w:num>
  <w:num w:numId="12" w16cid:durableId="1236740411">
    <w:abstractNumId w:val="72"/>
  </w:num>
  <w:num w:numId="13" w16cid:durableId="357853011">
    <w:abstractNumId w:val="57"/>
  </w:num>
  <w:num w:numId="14" w16cid:durableId="2117364941">
    <w:abstractNumId w:val="18"/>
  </w:num>
  <w:num w:numId="15" w16cid:durableId="1759449378">
    <w:abstractNumId w:val="34"/>
  </w:num>
  <w:num w:numId="16" w16cid:durableId="525754758">
    <w:abstractNumId w:val="22"/>
  </w:num>
  <w:num w:numId="17" w16cid:durableId="1760172189">
    <w:abstractNumId w:val="5"/>
  </w:num>
  <w:num w:numId="18" w16cid:durableId="1890535725">
    <w:abstractNumId w:val="71"/>
  </w:num>
  <w:num w:numId="19" w16cid:durableId="825442096">
    <w:abstractNumId w:val="47"/>
  </w:num>
  <w:num w:numId="20" w16cid:durableId="1399596073">
    <w:abstractNumId w:val="69"/>
  </w:num>
  <w:num w:numId="21" w16cid:durableId="1086850861">
    <w:abstractNumId w:val="13"/>
  </w:num>
  <w:num w:numId="22" w16cid:durableId="1634092301">
    <w:abstractNumId w:val="39"/>
  </w:num>
  <w:num w:numId="23" w16cid:durableId="253174369">
    <w:abstractNumId w:val="15"/>
  </w:num>
  <w:num w:numId="24" w16cid:durableId="1172840857">
    <w:abstractNumId w:val="33"/>
  </w:num>
  <w:num w:numId="25" w16cid:durableId="662701397">
    <w:abstractNumId w:val="45"/>
  </w:num>
  <w:num w:numId="26" w16cid:durableId="1227834017">
    <w:abstractNumId w:val="51"/>
  </w:num>
  <w:num w:numId="27" w16cid:durableId="242614391">
    <w:abstractNumId w:val="67"/>
  </w:num>
  <w:num w:numId="28" w16cid:durableId="1189296176">
    <w:abstractNumId w:val="61"/>
  </w:num>
  <w:num w:numId="29" w16cid:durableId="175120277">
    <w:abstractNumId w:val="44"/>
  </w:num>
  <w:num w:numId="30" w16cid:durableId="1482112199">
    <w:abstractNumId w:val="8"/>
  </w:num>
  <w:num w:numId="31" w16cid:durableId="2107144920">
    <w:abstractNumId w:val="7"/>
  </w:num>
  <w:num w:numId="32" w16cid:durableId="175312554">
    <w:abstractNumId w:val="42"/>
  </w:num>
  <w:num w:numId="33" w16cid:durableId="2081247800">
    <w:abstractNumId w:val="62"/>
  </w:num>
  <w:num w:numId="34" w16cid:durableId="171186435">
    <w:abstractNumId w:val="41"/>
  </w:num>
  <w:num w:numId="35" w16cid:durableId="1698116450">
    <w:abstractNumId w:val="56"/>
  </w:num>
  <w:num w:numId="36" w16cid:durableId="1909001615">
    <w:abstractNumId w:val="49"/>
  </w:num>
  <w:num w:numId="37" w16cid:durableId="1783576508">
    <w:abstractNumId w:val="65"/>
  </w:num>
  <w:num w:numId="38" w16cid:durableId="1840658624">
    <w:abstractNumId w:val="19"/>
  </w:num>
  <w:num w:numId="39" w16cid:durableId="1812357162">
    <w:abstractNumId w:val="52"/>
  </w:num>
  <w:num w:numId="40" w16cid:durableId="1749158289">
    <w:abstractNumId w:val="70"/>
  </w:num>
  <w:num w:numId="41" w16cid:durableId="1580016460">
    <w:abstractNumId w:val="24"/>
  </w:num>
  <w:num w:numId="42" w16cid:durableId="926570612">
    <w:abstractNumId w:val="38"/>
  </w:num>
  <w:num w:numId="43" w16cid:durableId="480928441">
    <w:abstractNumId w:val="26"/>
  </w:num>
  <w:num w:numId="44" w16cid:durableId="147063552">
    <w:abstractNumId w:val="12"/>
  </w:num>
  <w:num w:numId="45" w16cid:durableId="861362001">
    <w:abstractNumId w:val="58"/>
  </w:num>
  <w:num w:numId="46" w16cid:durableId="755859368">
    <w:abstractNumId w:val="25"/>
  </w:num>
  <w:num w:numId="47" w16cid:durableId="225461594">
    <w:abstractNumId w:val="43"/>
  </w:num>
  <w:num w:numId="48" w16cid:durableId="1626504254">
    <w:abstractNumId w:val="9"/>
  </w:num>
  <w:num w:numId="49" w16cid:durableId="1695618385">
    <w:abstractNumId w:val="1"/>
  </w:num>
  <w:num w:numId="50" w16cid:durableId="1184174990">
    <w:abstractNumId w:val="27"/>
  </w:num>
  <w:num w:numId="51" w16cid:durableId="2110418739">
    <w:abstractNumId w:val="32"/>
  </w:num>
  <w:num w:numId="52" w16cid:durableId="1960601929">
    <w:abstractNumId w:val="28"/>
  </w:num>
  <w:num w:numId="53" w16cid:durableId="821655437">
    <w:abstractNumId w:val="48"/>
  </w:num>
  <w:num w:numId="54" w16cid:durableId="383330174">
    <w:abstractNumId w:val="50"/>
  </w:num>
  <w:num w:numId="55" w16cid:durableId="1096245150">
    <w:abstractNumId w:val="73"/>
  </w:num>
  <w:num w:numId="56" w16cid:durableId="1357119774">
    <w:abstractNumId w:val="2"/>
  </w:num>
  <w:num w:numId="57" w16cid:durableId="1108507163">
    <w:abstractNumId w:val="35"/>
  </w:num>
  <w:num w:numId="58" w16cid:durableId="499849628">
    <w:abstractNumId w:val="63"/>
  </w:num>
  <w:num w:numId="59" w16cid:durableId="1801655409">
    <w:abstractNumId w:val="10"/>
  </w:num>
  <w:num w:numId="60" w16cid:durableId="1153058335">
    <w:abstractNumId w:val="21"/>
  </w:num>
  <w:num w:numId="61" w16cid:durableId="1292206066">
    <w:abstractNumId w:val="4"/>
  </w:num>
  <w:num w:numId="62" w16cid:durableId="571812467">
    <w:abstractNumId w:val="17"/>
  </w:num>
  <w:num w:numId="63" w16cid:durableId="29233679">
    <w:abstractNumId w:val="20"/>
  </w:num>
  <w:num w:numId="64" w16cid:durableId="2020307993">
    <w:abstractNumId w:val="59"/>
  </w:num>
  <w:num w:numId="65" w16cid:durableId="1510174600">
    <w:abstractNumId w:val="6"/>
  </w:num>
  <w:num w:numId="66" w16cid:durableId="1988237740">
    <w:abstractNumId w:val="3"/>
  </w:num>
  <w:num w:numId="67" w16cid:durableId="2092387166">
    <w:abstractNumId w:val="23"/>
  </w:num>
  <w:num w:numId="68" w16cid:durableId="1355964279">
    <w:abstractNumId w:val="60"/>
  </w:num>
  <w:num w:numId="69" w16cid:durableId="1252198183">
    <w:abstractNumId w:val="16"/>
  </w:num>
  <w:num w:numId="70" w16cid:durableId="1505586028">
    <w:abstractNumId w:val="31"/>
  </w:num>
  <w:num w:numId="71" w16cid:durableId="394474958">
    <w:abstractNumId w:val="0"/>
  </w:num>
  <w:num w:numId="72" w16cid:durableId="232589760">
    <w:abstractNumId w:val="37"/>
  </w:num>
  <w:num w:numId="73" w16cid:durableId="553196156">
    <w:abstractNumId w:val="11"/>
  </w:num>
  <w:num w:numId="74" w16cid:durableId="1066495576">
    <w:abstractNumId w:val="6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BD"/>
    <w:rsid w:val="0000004A"/>
    <w:rsid w:val="000000E4"/>
    <w:rsid w:val="0000037C"/>
    <w:rsid w:val="00000423"/>
    <w:rsid w:val="000004BC"/>
    <w:rsid w:val="000005F7"/>
    <w:rsid w:val="0000069C"/>
    <w:rsid w:val="00000748"/>
    <w:rsid w:val="0000078B"/>
    <w:rsid w:val="000007E1"/>
    <w:rsid w:val="00000A14"/>
    <w:rsid w:val="00000B62"/>
    <w:rsid w:val="00000C52"/>
    <w:rsid w:val="00000DDE"/>
    <w:rsid w:val="0000128D"/>
    <w:rsid w:val="0000137A"/>
    <w:rsid w:val="000013A1"/>
    <w:rsid w:val="0000140D"/>
    <w:rsid w:val="00001480"/>
    <w:rsid w:val="00001575"/>
    <w:rsid w:val="000017FD"/>
    <w:rsid w:val="00001803"/>
    <w:rsid w:val="000018ED"/>
    <w:rsid w:val="000018EF"/>
    <w:rsid w:val="00001B56"/>
    <w:rsid w:val="0000205B"/>
    <w:rsid w:val="000020A2"/>
    <w:rsid w:val="000020BB"/>
    <w:rsid w:val="00002101"/>
    <w:rsid w:val="00002206"/>
    <w:rsid w:val="000022C8"/>
    <w:rsid w:val="000023AC"/>
    <w:rsid w:val="0000245B"/>
    <w:rsid w:val="0000248D"/>
    <w:rsid w:val="000026B4"/>
    <w:rsid w:val="00002AF2"/>
    <w:rsid w:val="00002E07"/>
    <w:rsid w:val="00003027"/>
    <w:rsid w:val="0000305C"/>
    <w:rsid w:val="0000363D"/>
    <w:rsid w:val="00003AC9"/>
    <w:rsid w:val="00003BD0"/>
    <w:rsid w:val="00003DCD"/>
    <w:rsid w:val="00003E4D"/>
    <w:rsid w:val="00003E97"/>
    <w:rsid w:val="00004159"/>
    <w:rsid w:val="00004311"/>
    <w:rsid w:val="00004399"/>
    <w:rsid w:val="000046EC"/>
    <w:rsid w:val="00004767"/>
    <w:rsid w:val="00004791"/>
    <w:rsid w:val="000047EA"/>
    <w:rsid w:val="00004B7C"/>
    <w:rsid w:val="00004B8D"/>
    <w:rsid w:val="00004BF1"/>
    <w:rsid w:val="00004C8D"/>
    <w:rsid w:val="00004D86"/>
    <w:rsid w:val="000050D6"/>
    <w:rsid w:val="000052C1"/>
    <w:rsid w:val="0000556A"/>
    <w:rsid w:val="000058D8"/>
    <w:rsid w:val="00005945"/>
    <w:rsid w:val="00005BD0"/>
    <w:rsid w:val="00005DA0"/>
    <w:rsid w:val="0000612A"/>
    <w:rsid w:val="0000653A"/>
    <w:rsid w:val="00006648"/>
    <w:rsid w:val="0000666F"/>
    <w:rsid w:val="00006983"/>
    <w:rsid w:val="000069F1"/>
    <w:rsid w:val="00006A01"/>
    <w:rsid w:val="00006A2E"/>
    <w:rsid w:val="00006AD4"/>
    <w:rsid w:val="00006C60"/>
    <w:rsid w:val="00006EB0"/>
    <w:rsid w:val="000070D9"/>
    <w:rsid w:val="0000714F"/>
    <w:rsid w:val="000072AB"/>
    <w:rsid w:val="000074B3"/>
    <w:rsid w:val="000076B6"/>
    <w:rsid w:val="00007822"/>
    <w:rsid w:val="00007A98"/>
    <w:rsid w:val="00007AA2"/>
    <w:rsid w:val="00007B2B"/>
    <w:rsid w:val="00007B6B"/>
    <w:rsid w:val="00007E2F"/>
    <w:rsid w:val="00007EA8"/>
    <w:rsid w:val="00007F0C"/>
    <w:rsid w:val="000101B2"/>
    <w:rsid w:val="000103DA"/>
    <w:rsid w:val="000103F6"/>
    <w:rsid w:val="00010441"/>
    <w:rsid w:val="0001045F"/>
    <w:rsid w:val="0001049D"/>
    <w:rsid w:val="00010684"/>
    <w:rsid w:val="000106F0"/>
    <w:rsid w:val="00010824"/>
    <w:rsid w:val="0001089A"/>
    <w:rsid w:val="00010FC0"/>
    <w:rsid w:val="00010FCF"/>
    <w:rsid w:val="00011253"/>
    <w:rsid w:val="0001126B"/>
    <w:rsid w:val="00011297"/>
    <w:rsid w:val="00011408"/>
    <w:rsid w:val="00011532"/>
    <w:rsid w:val="0001154A"/>
    <w:rsid w:val="000115BC"/>
    <w:rsid w:val="00011644"/>
    <w:rsid w:val="00011813"/>
    <w:rsid w:val="000118C0"/>
    <w:rsid w:val="000119B9"/>
    <w:rsid w:val="00011A04"/>
    <w:rsid w:val="00011BF7"/>
    <w:rsid w:val="00011D5D"/>
    <w:rsid w:val="00011DCE"/>
    <w:rsid w:val="00011E5C"/>
    <w:rsid w:val="00011E6B"/>
    <w:rsid w:val="00011EF4"/>
    <w:rsid w:val="00011F31"/>
    <w:rsid w:val="00011F62"/>
    <w:rsid w:val="00011F82"/>
    <w:rsid w:val="00011F85"/>
    <w:rsid w:val="0001202E"/>
    <w:rsid w:val="0001205E"/>
    <w:rsid w:val="00012147"/>
    <w:rsid w:val="000122AC"/>
    <w:rsid w:val="0001237F"/>
    <w:rsid w:val="0001241B"/>
    <w:rsid w:val="00012438"/>
    <w:rsid w:val="00012486"/>
    <w:rsid w:val="000125C4"/>
    <w:rsid w:val="0001266A"/>
    <w:rsid w:val="0001283D"/>
    <w:rsid w:val="00012843"/>
    <w:rsid w:val="00012CEA"/>
    <w:rsid w:val="00012CFF"/>
    <w:rsid w:val="00012E7D"/>
    <w:rsid w:val="00012EBA"/>
    <w:rsid w:val="00013078"/>
    <w:rsid w:val="0001318E"/>
    <w:rsid w:val="00013250"/>
    <w:rsid w:val="00013382"/>
    <w:rsid w:val="00013389"/>
    <w:rsid w:val="000133E0"/>
    <w:rsid w:val="0001348D"/>
    <w:rsid w:val="00013550"/>
    <w:rsid w:val="0001377F"/>
    <w:rsid w:val="000139EE"/>
    <w:rsid w:val="00013ACD"/>
    <w:rsid w:val="00013AF0"/>
    <w:rsid w:val="00013CF4"/>
    <w:rsid w:val="00013CFE"/>
    <w:rsid w:val="00013DB9"/>
    <w:rsid w:val="00013E90"/>
    <w:rsid w:val="00013FF2"/>
    <w:rsid w:val="00013FF6"/>
    <w:rsid w:val="00014018"/>
    <w:rsid w:val="0001425D"/>
    <w:rsid w:val="0001435A"/>
    <w:rsid w:val="000143CA"/>
    <w:rsid w:val="00014437"/>
    <w:rsid w:val="00014907"/>
    <w:rsid w:val="00014AA3"/>
    <w:rsid w:val="00014B28"/>
    <w:rsid w:val="00014C33"/>
    <w:rsid w:val="00014D17"/>
    <w:rsid w:val="000150D4"/>
    <w:rsid w:val="00015263"/>
    <w:rsid w:val="000152BB"/>
    <w:rsid w:val="000152E1"/>
    <w:rsid w:val="00015348"/>
    <w:rsid w:val="000153A8"/>
    <w:rsid w:val="000153B3"/>
    <w:rsid w:val="00015462"/>
    <w:rsid w:val="00015498"/>
    <w:rsid w:val="00015745"/>
    <w:rsid w:val="000157F3"/>
    <w:rsid w:val="00015938"/>
    <w:rsid w:val="00015A6C"/>
    <w:rsid w:val="00015AB1"/>
    <w:rsid w:val="00015DDB"/>
    <w:rsid w:val="00015FB0"/>
    <w:rsid w:val="00016220"/>
    <w:rsid w:val="00016244"/>
    <w:rsid w:val="00016288"/>
    <w:rsid w:val="000163B7"/>
    <w:rsid w:val="00016C88"/>
    <w:rsid w:val="00016CA9"/>
    <w:rsid w:val="00016DE2"/>
    <w:rsid w:val="00016E28"/>
    <w:rsid w:val="0001736B"/>
    <w:rsid w:val="00017590"/>
    <w:rsid w:val="0001760C"/>
    <w:rsid w:val="000176E7"/>
    <w:rsid w:val="000179F3"/>
    <w:rsid w:val="00017A7E"/>
    <w:rsid w:val="00017CD8"/>
    <w:rsid w:val="000200ED"/>
    <w:rsid w:val="000201C6"/>
    <w:rsid w:val="000201D0"/>
    <w:rsid w:val="00020211"/>
    <w:rsid w:val="0002049A"/>
    <w:rsid w:val="000204B5"/>
    <w:rsid w:val="000204D2"/>
    <w:rsid w:val="000205D5"/>
    <w:rsid w:val="00020A24"/>
    <w:rsid w:val="00020ADD"/>
    <w:rsid w:val="00020D44"/>
    <w:rsid w:val="00020D8E"/>
    <w:rsid w:val="00020EA9"/>
    <w:rsid w:val="00020EAC"/>
    <w:rsid w:val="00020F83"/>
    <w:rsid w:val="00021018"/>
    <w:rsid w:val="0002110F"/>
    <w:rsid w:val="0002111E"/>
    <w:rsid w:val="000211E7"/>
    <w:rsid w:val="000211F4"/>
    <w:rsid w:val="00021245"/>
    <w:rsid w:val="00021348"/>
    <w:rsid w:val="000213F9"/>
    <w:rsid w:val="00021406"/>
    <w:rsid w:val="00021595"/>
    <w:rsid w:val="000216B5"/>
    <w:rsid w:val="0002174F"/>
    <w:rsid w:val="00021845"/>
    <w:rsid w:val="00021953"/>
    <w:rsid w:val="00021A91"/>
    <w:rsid w:val="00021BB5"/>
    <w:rsid w:val="00021DF8"/>
    <w:rsid w:val="00021ECC"/>
    <w:rsid w:val="0002215A"/>
    <w:rsid w:val="00022323"/>
    <w:rsid w:val="0002237C"/>
    <w:rsid w:val="000223F6"/>
    <w:rsid w:val="00022420"/>
    <w:rsid w:val="000225AF"/>
    <w:rsid w:val="000225CA"/>
    <w:rsid w:val="00022B4C"/>
    <w:rsid w:val="00022C66"/>
    <w:rsid w:val="00022E7D"/>
    <w:rsid w:val="00022E8D"/>
    <w:rsid w:val="00022FE9"/>
    <w:rsid w:val="00023182"/>
    <w:rsid w:val="000231AF"/>
    <w:rsid w:val="000233DA"/>
    <w:rsid w:val="000234E1"/>
    <w:rsid w:val="00023790"/>
    <w:rsid w:val="00023829"/>
    <w:rsid w:val="00023895"/>
    <w:rsid w:val="0002392A"/>
    <w:rsid w:val="0002392B"/>
    <w:rsid w:val="00023AC5"/>
    <w:rsid w:val="00023DAA"/>
    <w:rsid w:val="00024208"/>
    <w:rsid w:val="000242D1"/>
    <w:rsid w:val="00024491"/>
    <w:rsid w:val="0002449D"/>
    <w:rsid w:val="000249A1"/>
    <w:rsid w:val="00024C23"/>
    <w:rsid w:val="00024C7A"/>
    <w:rsid w:val="00024CAE"/>
    <w:rsid w:val="000250FB"/>
    <w:rsid w:val="000251B8"/>
    <w:rsid w:val="000252A4"/>
    <w:rsid w:val="000253A8"/>
    <w:rsid w:val="00025459"/>
    <w:rsid w:val="00025614"/>
    <w:rsid w:val="000256E2"/>
    <w:rsid w:val="0002577C"/>
    <w:rsid w:val="000259CE"/>
    <w:rsid w:val="00025C4A"/>
    <w:rsid w:val="00025E0F"/>
    <w:rsid w:val="00025E1D"/>
    <w:rsid w:val="00025F49"/>
    <w:rsid w:val="00025F7B"/>
    <w:rsid w:val="00025F92"/>
    <w:rsid w:val="00025FAF"/>
    <w:rsid w:val="00026324"/>
    <w:rsid w:val="00026373"/>
    <w:rsid w:val="000264A7"/>
    <w:rsid w:val="0002676D"/>
    <w:rsid w:val="000267FF"/>
    <w:rsid w:val="0002690A"/>
    <w:rsid w:val="00026ADF"/>
    <w:rsid w:val="00026B2F"/>
    <w:rsid w:val="00026CF0"/>
    <w:rsid w:val="00026CFE"/>
    <w:rsid w:val="00026E7C"/>
    <w:rsid w:val="00026FCE"/>
    <w:rsid w:val="000270F7"/>
    <w:rsid w:val="0002711B"/>
    <w:rsid w:val="00027279"/>
    <w:rsid w:val="000273B7"/>
    <w:rsid w:val="000273CB"/>
    <w:rsid w:val="00027472"/>
    <w:rsid w:val="00027501"/>
    <w:rsid w:val="00027803"/>
    <w:rsid w:val="000279B1"/>
    <w:rsid w:val="000279BF"/>
    <w:rsid w:val="00027C7D"/>
    <w:rsid w:val="00027ED1"/>
    <w:rsid w:val="000301CF"/>
    <w:rsid w:val="00030228"/>
    <w:rsid w:val="00030361"/>
    <w:rsid w:val="000304C9"/>
    <w:rsid w:val="0003052C"/>
    <w:rsid w:val="000307C6"/>
    <w:rsid w:val="00030879"/>
    <w:rsid w:val="00030948"/>
    <w:rsid w:val="00030A03"/>
    <w:rsid w:val="00030BC2"/>
    <w:rsid w:val="00030DCA"/>
    <w:rsid w:val="00030F32"/>
    <w:rsid w:val="00030FA6"/>
    <w:rsid w:val="00031050"/>
    <w:rsid w:val="000311DD"/>
    <w:rsid w:val="00031291"/>
    <w:rsid w:val="00031400"/>
    <w:rsid w:val="0003154C"/>
    <w:rsid w:val="0003156F"/>
    <w:rsid w:val="0003177D"/>
    <w:rsid w:val="0003187A"/>
    <w:rsid w:val="000318CF"/>
    <w:rsid w:val="00031907"/>
    <w:rsid w:val="00031A1A"/>
    <w:rsid w:val="00031B79"/>
    <w:rsid w:val="00031BD9"/>
    <w:rsid w:val="00031C66"/>
    <w:rsid w:val="00031CE4"/>
    <w:rsid w:val="00031CE8"/>
    <w:rsid w:val="00031F24"/>
    <w:rsid w:val="00031F6E"/>
    <w:rsid w:val="00031FF4"/>
    <w:rsid w:val="00032016"/>
    <w:rsid w:val="00032053"/>
    <w:rsid w:val="0003205A"/>
    <w:rsid w:val="000320C5"/>
    <w:rsid w:val="00032128"/>
    <w:rsid w:val="000322CD"/>
    <w:rsid w:val="00032348"/>
    <w:rsid w:val="000323D9"/>
    <w:rsid w:val="0003256E"/>
    <w:rsid w:val="00032577"/>
    <w:rsid w:val="00032986"/>
    <w:rsid w:val="0003298B"/>
    <w:rsid w:val="00032998"/>
    <w:rsid w:val="000329C5"/>
    <w:rsid w:val="00032A2A"/>
    <w:rsid w:val="00032B2A"/>
    <w:rsid w:val="00032B70"/>
    <w:rsid w:val="00032BF5"/>
    <w:rsid w:val="00032CC3"/>
    <w:rsid w:val="00032E7A"/>
    <w:rsid w:val="00032ED1"/>
    <w:rsid w:val="00032F4D"/>
    <w:rsid w:val="0003316D"/>
    <w:rsid w:val="0003328C"/>
    <w:rsid w:val="00033311"/>
    <w:rsid w:val="00033326"/>
    <w:rsid w:val="000333EB"/>
    <w:rsid w:val="00033544"/>
    <w:rsid w:val="00033561"/>
    <w:rsid w:val="00033691"/>
    <w:rsid w:val="000337E2"/>
    <w:rsid w:val="0003388C"/>
    <w:rsid w:val="00033A14"/>
    <w:rsid w:val="00033AD7"/>
    <w:rsid w:val="00033B46"/>
    <w:rsid w:val="00033C2F"/>
    <w:rsid w:val="00033C8E"/>
    <w:rsid w:val="00033DBC"/>
    <w:rsid w:val="00033E34"/>
    <w:rsid w:val="00033E74"/>
    <w:rsid w:val="00033F22"/>
    <w:rsid w:val="00033F82"/>
    <w:rsid w:val="00033FB6"/>
    <w:rsid w:val="00033FFF"/>
    <w:rsid w:val="000342B8"/>
    <w:rsid w:val="00034386"/>
    <w:rsid w:val="000344BB"/>
    <w:rsid w:val="0003456F"/>
    <w:rsid w:val="0003466D"/>
    <w:rsid w:val="0003467D"/>
    <w:rsid w:val="00034733"/>
    <w:rsid w:val="000348A2"/>
    <w:rsid w:val="000348B2"/>
    <w:rsid w:val="00034986"/>
    <w:rsid w:val="00034A1E"/>
    <w:rsid w:val="00034C4A"/>
    <w:rsid w:val="00034D15"/>
    <w:rsid w:val="00034D24"/>
    <w:rsid w:val="00034D6E"/>
    <w:rsid w:val="0003562E"/>
    <w:rsid w:val="00035861"/>
    <w:rsid w:val="00035A06"/>
    <w:rsid w:val="00035A0D"/>
    <w:rsid w:val="00035B02"/>
    <w:rsid w:val="00035CE4"/>
    <w:rsid w:val="00035E4E"/>
    <w:rsid w:val="00035EAC"/>
    <w:rsid w:val="00036156"/>
    <w:rsid w:val="000361C4"/>
    <w:rsid w:val="00036225"/>
    <w:rsid w:val="000362A6"/>
    <w:rsid w:val="00036468"/>
    <w:rsid w:val="00036478"/>
    <w:rsid w:val="000365BD"/>
    <w:rsid w:val="000365F6"/>
    <w:rsid w:val="00036723"/>
    <w:rsid w:val="00036989"/>
    <w:rsid w:val="000369A5"/>
    <w:rsid w:val="000369AA"/>
    <w:rsid w:val="00036BC9"/>
    <w:rsid w:val="00036C99"/>
    <w:rsid w:val="00036ECE"/>
    <w:rsid w:val="00036FFE"/>
    <w:rsid w:val="000371A8"/>
    <w:rsid w:val="00037273"/>
    <w:rsid w:val="000372F2"/>
    <w:rsid w:val="000373BB"/>
    <w:rsid w:val="00037411"/>
    <w:rsid w:val="000374B4"/>
    <w:rsid w:val="000375A5"/>
    <w:rsid w:val="00037665"/>
    <w:rsid w:val="00037786"/>
    <w:rsid w:val="000377A2"/>
    <w:rsid w:val="000377B2"/>
    <w:rsid w:val="0003791E"/>
    <w:rsid w:val="000379D5"/>
    <w:rsid w:val="000379F3"/>
    <w:rsid w:val="00037BF0"/>
    <w:rsid w:val="00037C46"/>
    <w:rsid w:val="00037C74"/>
    <w:rsid w:val="00037D5A"/>
    <w:rsid w:val="00037D8A"/>
    <w:rsid w:val="00037DEE"/>
    <w:rsid w:val="00037E94"/>
    <w:rsid w:val="00037F97"/>
    <w:rsid w:val="0004004C"/>
    <w:rsid w:val="0004034F"/>
    <w:rsid w:val="00040489"/>
    <w:rsid w:val="00040561"/>
    <w:rsid w:val="00040597"/>
    <w:rsid w:val="000406E8"/>
    <w:rsid w:val="00040D3F"/>
    <w:rsid w:val="00040EA1"/>
    <w:rsid w:val="00040F26"/>
    <w:rsid w:val="00040FAD"/>
    <w:rsid w:val="00041028"/>
    <w:rsid w:val="000411F6"/>
    <w:rsid w:val="000414CF"/>
    <w:rsid w:val="000414D8"/>
    <w:rsid w:val="00041683"/>
    <w:rsid w:val="000416BC"/>
    <w:rsid w:val="0004193F"/>
    <w:rsid w:val="00041C73"/>
    <w:rsid w:val="00041D7A"/>
    <w:rsid w:val="00041E97"/>
    <w:rsid w:val="0004229C"/>
    <w:rsid w:val="000422BB"/>
    <w:rsid w:val="00042518"/>
    <w:rsid w:val="000425B5"/>
    <w:rsid w:val="000425D0"/>
    <w:rsid w:val="00042827"/>
    <w:rsid w:val="00042991"/>
    <w:rsid w:val="00042B0A"/>
    <w:rsid w:val="00042DBE"/>
    <w:rsid w:val="00042ED9"/>
    <w:rsid w:val="000431B0"/>
    <w:rsid w:val="000432B3"/>
    <w:rsid w:val="000433D1"/>
    <w:rsid w:val="000435BF"/>
    <w:rsid w:val="000437F2"/>
    <w:rsid w:val="00043896"/>
    <w:rsid w:val="00043AA1"/>
    <w:rsid w:val="00043B2D"/>
    <w:rsid w:val="00043C6D"/>
    <w:rsid w:val="000441C4"/>
    <w:rsid w:val="000441DD"/>
    <w:rsid w:val="000442ED"/>
    <w:rsid w:val="0004451A"/>
    <w:rsid w:val="000445E7"/>
    <w:rsid w:val="000447F3"/>
    <w:rsid w:val="00044827"/>
    <w:rsid w:val="00044A6F"/>
    <w:rsid w:val="00044B9A"/>
    <w:rsid w:val="00044C7C"/>
    <w:rsid w:val="00044D1E"/>
    <w:rsid w:val="00044DD2"/>
    <w:rsid w:val="00045203"/>
    <w:rsid w:val="0004524A"/>
    <w:rsid w:val="000452C3"/>
    <w:rsid w:val="0004544F"/>
    <w:rsid w:val="00045543"/>
    <w:rsid w:val="0004556B"/>
    <w:rsid w:val="00045755"/>
    <w:rsid w:val="000457B9"/>
    <w:rsid w:val="00045A88"/>
    <w:rsid w:val="00045C6C"/>
    <w:rsid w:val="00045EA0"/>
    <w:rsid w:val="00046004"/>
    <w:rsid w:val="00046197"/>
    <w:rsid w:val="00046458"/>
    <w:rsid w:val="000464FA"/>
    <w:rsid w:val="00046702"/>
    <w:rsid w:val="0004672A"/>
    <w:rsid w:val="0004679A"/>
    <w:rsid w:val="0004688A"/>
    <w:rsid w:val="000471D4"/>
    <w:rsid w:val="00047292"/>
    <w:rsid w:val="00047322"/>
    <w:rsid w:val="0004743C"/>
    <w:rsid w:val="00047518"/>
    <w:rsid w:val="00047575"/>
    <w:rsid w:val="0004768E"/>
    <w:rsid w:val="000476C1"/>
    <w:rsid w:val="00047897"/>
    <w:rsid w:val="00047CC8"/>
    <w:rsid w:val="00047CD9"/>
    <w:rsid w:val="00047DB9"/>
    <w:rsid w:val="00050584"/>
    <w:rsid w:val="0005062C"/>
    <w:rsid w:val="000507AB"/>
    <w:rsid w:val="0005085A"/>
    <w:rsid w:val="0005099D"/>
    <w:rsid w:val="00050A41"/>
    <w:rsid w:val="00050B50"/>
    <w:rsid w:val="00050B9A"/>
    <w:rsid w:val="00050BD4"/>
    <w:rsid w:val="00050D6C"/>
    <w:rsid w:val="0005102C"/>
    <w:rsid w:val="000510E6"/>
    <w:rsid w:val="000510F2"/>
    <w:rsid w:val="0005119B"/>
    <w:rsid w:val="000513A1"/>
    <w:rsid w:val="000513C6"/>
    <w:rsid w:val="000513FC"/>
    <w:rsid w:val="0005146D"/>
    <w:rsid w:val="000514BA"/>
    <w:rsid w:val="0005168E"/>
    <w:rsid w:val="000516EE"/>
    <w:rsid w:val="00051711"/>
    <w:rsid w:val="00051AA9"/>
    <w:rsid w:val="00051BA9"/>
    <w:rsid w:val="00051DF4"/>
    <w:rsid w:val="00051DF9"/>
    <w:rsid w:val="00051F2B"/>
    <w:rsid w:val="00051FA4"/>
    <w:rsid w:val="00051FB7"/>
    <w:rsid w:val="000521B8"/>
    <w:rsid w:val="000523E6"/>
    <w:rsid w:val="0005244C"/>
    <w:rsid w:val="00052528"/>
    <w:rsid w:val="000527CA"/>
    <w:rsid w:val="00052900"/>
    <w:rsid w:val="00052905"/>
    <w:rsid w:val="00052982"/>
    <w:rsid w:val="000529E2"/>
    <w:rsid w:val="00052B95"/>
    <w:rsid w:val="00052B9D"/>
    <w:rsid w:val="00052BC6"/>
    <w:rsid w:val="00052C3E"/>
    <w:rsid w:val="00052CC4"/>
    <w:rsid w:val="00052CEE"/>
    <w:rsid w:val="00053062"/>
    <w:rsid w:val="0005310B"/>
    <w:rsid w:val="0005321A"/>
    <w:rsid w:val="00053281"/>
    <w:rsid w:val="00053312"/>
    <w:rsid w:val="0005333C"/>
    <w:rsid w:val="00053477"/>
    <w:rsid w:val="00053860"/>
    <w:rsid w:val="00053956"/>
    <w:rsid w:val="000539D2"/>
    <w:rsid w:val="000539D9"/>
    <w:rsid w:val="00053C5B"/>
    <w:rsid w:val="00053CD0"/>
    <w:rsid w:val="00053E84"/>
    <w:rsid w:val="00053EF2"/>
    <w:rsid w:val="000541DD"/>
    <w:rsid w:val="0005427D"/>
    <w:rsid w:val="0005437E"/>
    <w:rsid w:val="00054394"/>
    <w:rsid w:val="000543D4"/>
    <w:rsid w:val="000547D0"/>
    <w:rsid w:val="0005494D"/>
    <w:rsid w:val="000549D9"/>
    <w:rsid w:val="000549F5"/>
    <w:rsid w:val="00054A2A"/>
    <w:rsid w:val="00054B76"/>
    <w:rsid w:val="00054C1E"/>
    <w:rsid w:val="00054E0E"/>
    <w:rsid w:val="00054F4A"/>
    <w:rsid w:val="00054FF6"/>
    <w:rsid w:val="0005549B"/>
    <w:rsid w:val="00055530"/>
    <w:rsid w:val="0005556E"/>
    <w:rsid w:val="00055817"/>
    <w:rsid w:val="000558A7"/>
    <w:rsid w:val="00055917"/>
    <w:rsid w:val="00055CE6"/>
    <w:rsid w:val="000562A6"/>
    <w:rsid w:val="0005638E"/>
    <w:rsid w:val="000563EA"/>
    <w:rsid w:val="0005649B"/>
    <w:rsid w:val="00056D67"/>
    <w:rsid w:val="00056D7B"/>
    <w:rsid w:val="00056F29"/>
    <w:rsid w:val="00056FD5"/>
    <w:rsid w:val="00057141"/>
    <w:rsid w:val="00057188"/>
    <w:rsid w:val="00057258"/>
    <w:rsid w:val="000572C0"/>
    <w:rsid w:val="000573D7"/>
    <w:rsid w:val="0005745E"/>
    <w:rsid w:val="000577D3"/>
    <w:rsid w:val="00057A12"/>
    <w:rsid w:val="00057C26"/>
    <w:rsid w:val="00057E22"/>
    <w:rsid w:val="00057EA2"/>
    <w:rsid w:val="00057F46"/>
    <w:rsid w:val="0005F6CC"/>
    <w:rsid w:val="00060181"/>
    <w:rsid w:val="000601CB"/>
    <w:rsid w:val="00060273"/>
    <w:rsid w:val="000603A5"/>
    <w:rsid w:val="000607E8"/>
    <w:rsid w:val="0006082D"/>
    <w:rsid w:val="00060A6E"/>
    <w:rsid w:val="00060B17"/>
    <w:rsid w:val="00060D04"/>
    <w:rsid w:val="00060D9E"/>
    <w:rsid w:val="00060DD2"/>
    <w:rsid w:val="00060E17"/>
    <w:rsid w:val="00060F23"/>
    <w:rsid w:val="0006116D"/>
    <w:rsid w:val="00061249"/>
    <w:rsid w:val="00061377"/>
    <w:rsid w:val="00061591"/>
    <w:rsid w:val="000615C3"/>
    <w:rsid w:val="000616F5"/>
    <w:rsid w:val="000618A7"/>
    <w:rsid w:val="000618B3"/>
    <w:rsid w:val="000619D4"/>
    <w:rsid w:val="000619ED"/>
    <w:rsid w:val="00061C4D"/>
    <w:rsid w:val="00061CDF"/>
    <w:rsid w:val="0006202F"/>
    <w:rsid w:val="0006208B"/>
    <w:rsid w:val="000620AE"/>
    <w:rsid w:val="00062324"/>
    <w:rsid w:val="0006237A"/>
    <w:rsid w:val="000623C2"/>
    <w:rsid w:val="0006263D"/>
    <w:rsid w:val="00062685"/>
    <w:rsid w:val="0006276B"/>
    <w:rsid w:val="000629EF"/>
    <w:rsid w:val="00062A84"/>
    <w:rsid w:val="00062B9D"/>
    <w:rsid w:val="00062BD6"/>
    <w:rsid w:val="00062C1B"/>
    <w:rsid w:val="00062C23"/>
    <w:rsid w:val="00062CD3"/>
    <w:rsid w:val="00062D24"/>
    <w:rsid w:val="00062E94"/>
    <w:rsid w:val="00062F92"/>
    <w:rsid w:val="0006308C"/>
    <w:rsid w:val="00063293"/>
    <w:rsid w:val="00063317"/>
    <w:rsid w:val="00063324"/>
    <w:rsid w:val="0006360E"/>
    <w:rsid w:val="00063638"/>
    <w:rsid w:val="0006374B"/>
    <w:rsid w:val="000638DC"/>
    <w:rsid w:val="000638F2"/>
    <w:rsid w:val="0006390C"/>
    <w:rsid w:val="00063941"/>
    <w:rsid w:val="000639A1"/>
    <w:rsid w:val="000639CC"/>
    <w:rsid w:val="00063A6D"/>
    <w:rsid w:val="00063A73"/>
    <w:rsid w:val="00063E30"/>
    <w:rsid w:val="00063E91"/>
    <w:rsid w:val="00063EAD"/>
    <w:rsid w:val="00063F97"/>
    <w:rsid w:val="00064047"/>
    <w:rsid w:val="00064086"/>
    <w:rsid w:val="0006427E"/>
    <w:rsid w:val="00064297"/>
    <w:rsid w:val="0006448F"/>
    <w:rsid w:val="000644A3"/>
    <w:rsid w:val="00064581"/>
    <w:rsid w:val="0006470F"/>
    <w:rsid w:val="00064769"/>
    <w:rsid w:val="000647DB"/>
    <w:rsid w:val="0006491F"/>
    <w:rsid w:val="00064A0D"/>
    <w:rsid w:val="00064A66"/>
    <w:rsid w:val="00064AA5"/>
    <w:rsid w:val="00064AB8"/>
    <w:rsid w:val="00064CD3"/>
    <w:rsid w:val="00064D20"/>
    <w:rsid w:val="00064DB4"/>
    <w:rsid w:val="0006524C"/>
    <w:rsid w:val="000652D0"/>
    <w:rsid w:val="000652E5"/>
    <w:rsid w:val="0006542C"/>
    <w:rsid w:val="000657FF"/>
    <w:rsid w:val="00065886"/>
    <w:rsid w:val="0006595B"/>
    <w:rsid w:val="00065B4C"/>
    <w:rsid w:val="00065BF6"/>
    <w:rsid w:val="00065E59"/>
    <w:rsid w:val="00066075"/>
    <w:rsid w:val="00066086"/>
    <w:rsid w:val="00066097"/>
    <w:rsid w:val="000666AB"/>
    <w:rsid w:val="000666B6"/>
    <w:rsid w:val="00066794"/>
    <w:rsid w:val="000667C6"/>
    <w:rsid w:val="0006687A"/>
    <w:rsid w:val="000668F1"/>
    <w:rsid w:val="00066A79"/>
    <w:rsid w:val="00066AE5"/>
    <w:rsid w:val="00066C5C"/>
    <w:rsid w:val="000670AA"/>
    <w:rsid w:val="00067137"/>
    <w:rsid w:val="0006723C"/>
    <w:rsid w:val="000673F5"/>
    <w:rsid w:val="000674AE"/>
    <w:rsid w:val="00067705"/>
    <w:rsid w:val="00067707"/>
    <w:rsid w:val="00067837"/>
    <w:rsid w:val="00067D70"/>
    <w:rsid w:val="00067DB1"/>
    <w:rsid w:val="00067E4C"/>
    <w:rsid w:val="00067F46"/>
    <w:rsid w:val="00067F57"/>
    <w:rsid w:val="000701BD"/>
    <w:rsid w:val="000701E8"/>
    <w:rsid w:val="000703B9"/>
    <w:rsid w:val="0007045D"/>
    <w:rsid w:val="000705C3"/>
    <w:rsid w:val="0007061C"/>
    <w:rsid w:val="000709CA"/>
    <w:rsid w:val="00070AE8"/>
    <w:rsid w:val="00070EF0"/>
    <w:rsid w:val="0007119A"/>
    <w:rsid w:val="00071328"/>
    <w:rsid w:val="00071735"/>
    <w:rsid w:val="0007192A"/>
    <w:rsid w:val="000719D0"/>
    <w:rsid w:val="00071A1F"/>
    <w:rsid w:val="00071A5A"/>
    <w:rsid w:val="00071B31"/>
    <w:rsid w:val="00071C87"/>
    <w:rsid w:val="00071D7F"/>
    <w:rsid w:val="00071E00"/>
    <w:rsid w:val="00071E14"/>
    <w:rsid w:val="00071F6B"/>
    <w:rsid w:val="00071FA3"/>
    <w:rsid w:val="00071FE0"/>
    <w:rsid w:val="00072030"/>
    <w:rsid w:val="0007214F"/>
    <w:rsid w:val="00072178"/>
    <w:rsid w:val="00072188"/>
    <w:rsid w:val="000721FB"/>
    <w:rsid w:val="00072213"/>
    <w:rsid w:val="0007229B"/>
    <w:rsid w:val="0007249F"/>
    <w:rsid w:val="000729D7"/>
    <w:rsid w:val="00072B38"/>
    <w:rsid w:val="00072BEC"/>
    <w:rsid w:val="00072F76"/>
    <w:rsid w:val="0007305E"/>
    <w:rsid w:val="000730D7"/>
    <w:rsid w:val="0007335C"/>
    <w:rsid w:val="000734AD"/>
    <w:rsid w:val="00073518"/>
    <w:rsid w:val="00073938"/>
    <w:rsid w:val="00073A43"/>
    <w:rsid w:val="00073B0F"/>
    <w:rsid w:val="00073B82"/>
    <w:rsid w:val="00073BDC"/>
    <w:rsid w:val="00073C3F"/>
    <w:rsid w:val="00073CA2"/>
    <w:rsid w:val="00073FB6"/>
    <w:rsid w:val="00073FCB"/>
    <w:rsid w:val="0007407A"/>
    <w:rsid w:val="00074252"/>
    <w:rsid w:val="00074535"/>
    <w:rsid w:val="000747CD"/>
    <w:rsid w:val="00074D23"/>
    <w:rsid w:val="00074DFF"/>
    <w:rsid w:val="000750ED"/>
    <w:rsid w:val="00075414"/>
    <w:rsid w:val="0007550D"/>
    <w:rsid w:val="00075660"/>
    <w:rsid w:val="0007569E"/>
    <w:rsid w:val="0007577A"/>
    <w:rsid w:val="000757CC"/>
    <w:rsid w:val="00075818"/>
    <w:rsid w:val="000758A7"/>
    <w:rsid w:val="00075A9D"/>
    <w:rsid w:val="00075E56"/>
    <w:rsid w:val="00075F0C"/>
    <w:rsid w:val="00076049"/>
    <w:rsid w:val="00076461"/>
    <w:rsid w:val="000766CD"/>
    <w:rsid w:val="000766DE"/>
    <w:rsid w:val="00076708"/>
    <w:rsid w:val="00076A19"/>
    <w:rsid w:val="00076B0A"/>
    <w:rsid w:val="00076E43"/>
    <w:rsid w:val="00076F24"/>
    <w:rsid w:val="000773C9"/>
    <w:rsid w:val="0007745D"/>
    <w:rsid w:val="0007748D"/>
    <w:rsid w:val="00077505"/>
    <w:rsid w:val="000775C9"/>
    <w:rsid w:val="000776E7"/>
    <w:rsid w:val="000778DB"/>
    <w:rsid w:val="00077AA9"/>
    <w:rsid w:val="00077B22"/>
    <w:rsid w:val="00077D37"/>
    <w:rsid w:val="00077D78"/>
    <w:rsid w:val="00077EC2"/>
    <w:rsid w:val="00077EF9"/>
    <w:rsid w:val="0008002A"/>
    <w:rsid w:val="0008013F"/>
    <w:rsid w:val="0008039B"/>
    <w:rsid w:val="000804DC"/>
    <w:rsid w:val="000805D3"/>
    <w:rsid w:val="00080619"/>
    <w:rsid w:val="00080650"/>
    <w:rsid w:val="00080800"/>
    <w:rsid w:val="000808FF"/>
    <w:rsid w:val="0008095D"/>
    <w:rsid w:val="000809E3"/>
    <w:rsid w:val="00080A69"/>
    <w:rsid w:val="00080B9A"/>
    <w:rsid w:val="00080E1F"/>
    <w:rsid w:val="00080F18"/>
    <w:rsid w:val="0008103F"/>
    <w:rsid w:val="00081404"/>
    <w:rsid w:val="0008145B"/>
    <w:rsid w:val="000814DD"/>
    <w:rsid w:val="000815FC"/>
    <w:rsid w:val="000816C3"/>
    <w:rsid w:val="000816CF"/>
    <w:rsid w:val="00081723"/>
    <w:rsid w:val="0008173A"/>
    <w:rsid w:val="0008178B"/>
    <w:rsid w:val="00081794"/>
    <w:rsid w:val="0008198F"/>
    <w:rsid w:val="000819CC"/>
    <w:rsid w:val="00081A28"/>
    <w:rsid w:val="00081DE3"/>
    <w:rsid w:val="00081FFB"/>
    <w:rsid w:val="00082054"/>
    <w:rsid w:val="00082101"/>
    <w:rsid w:val="000823DC"/>
    <w:rsid w:val="00082561"/>
    <w:rsid w:val="0008279A"/>
    <w:rsid w:val="0008279F"/>
    <w:rsid w:val="0008290A"/>
    <w:rsid w:val="000829ED"/>
    <w:rsid w:val="000833B6"/>
    <w:rsid w:val="00083529"/>
    <w:rsid w:val="000836C0"/>
    <w:rsid w:val="0008371E"/>
    <w:rsid w:val="000837B3"/>
    <w:rsid w:val="00083852"/>
    <w:rsid w:val="00083898"/>
    <w:rsid w:val="00083899"/>
    <w:rsid w:val="000839D0"/>
    <w:rsid w:val="000839FF"/>
    <w:rsid w:val="00083A60"/>
    <w:rsid w:val="00083BB8"/>
    <w:rsid w:val="00083C10"/>
    <w:rsid w:val="00083E0A"/>
    <w:rsid w:val="0008404F"/>
    <w:rsid w:val="00084114"/>
    <w:rsid w:val="00084191"/>
    <w:rsid w:val="0008425F"/>
    <w:rsid w:val="0008444D"/>
    <w:rsid w:val="000844EE"/>
    <w:rsid w:val="0008479D"/>
    <w:rsid w:val="000847F2"/>
    <w:rsid w:val="0008480D"/>
    <w:rsid w:val="00084991"/>
    <w:rsid w:val="000849A7"/>
    <w:rsid w:val="00084A40"/>
    <w:rsid w:val="00084CD6"/>
    <w:rsid w:val="00084CEB"/>
    <w:rsid w:val="00084D42"/>
    <w:rsid w:val="00084F5D"/>
    <w:rsid w:val="000850FE"/>
    <w:rsid w:val="00085321"/>
    <w:rsid w:val="000855A2"/>
    <w:rsid w:val="00085E22"/>
    <w:rsid w:val="00086086"/>
    <w:rsid w:val="00086169"/>
    <w:rsid w:val="00086281"/>
    <w:rsid w:val="00086373"/>
    <w:rsid w:val="000865FF"/>
    <w:rsid w:val="0008676F"/>
    <w:rsid w:val="000867F8"/>
    <w:rsid w:val="000868FD"/>
    <w:rsid w:val="00086957"/>
    <w:rsid w:val="0008699F"/>
    <w:rsid w:val="000869EE"/>
    <w:rsid w:val="00086A91"/>
    <w:rsid w:val="00086B38"/>
    <w:rsid w:val="00086B6D"/>
    <w:rsid w:val="00087104"/>
    <w:rsid w:val="00087109"/>
    <w:rsid w:val="00087125"/>
    <w:rsid w:val="00087190"/>
    <w:rsid w:val="00087298"/>
    <w:rsid w:val="00087425"/>
    <w:rsid w:val="0008758D"/>
    <w:rsid w:val="00087591"/>
    <w:rsid w:val="00087719"/>
    <w:rsid w:val="00087722"/>
    <w:rsid w:val="000878F3"/>
    <w:rsid w:val="000879AA"/>
    <w:rsid w:val="00087C2C"/>
    <w:rsid w:val="00087C94"/>
    <w:rsid w:val="00087DD3"/>
    <w:rsid w:val="00087EE4"/>
    <w:rsid w:val="00087FB1"/>
    <w:rsid w:val="00087FC7"/>
    <w:rsid w:val="0009019C"/>
    <w:rsid w:val="00090486"/>
    <w:rsid w:val="0009049C"/>
    <w:rsid w:val="0009062A"/>
    <w:rsid w:val="0009067D"/>
    <w:rsid w:val="0009076E"/>
    <w:rsid w:val="000907B9"/>
    <w:rsid w:val="00090AE6"/>
    <w:rsid w:val="00090BA0"/>
    <w:rsid w:val="00090C3D"/>
    <w:rsid w:val="00090DDB"/>
    <w:rsid w:val="00090E11"/>
    <w:rsid w:val="00090E5B"/>
    <w:rsid w:val="00090EA9"/>
    <w:rsid w:val="00090EFA"/>
    <w:rsid w:val="000910E4"/>
    <w:rsid w:val="000911FC"/>
    <w:rsid w:val="00091449"/>
    <w:rsid w:val="00091735"/>
    <w:rsid w:val="00091786"/>
    <w:rsid w:val="00091968"/>
    <w:rsid w:val="00091A17"/>
    <w:rsid w:val="00091AD4"/>
    <w:rsid w:val="00091B06"/>
    <w:rsid w:val="00091B6B"/>
    <w:rsid w:val="00091BA0"/>
    <w:rsid w:val="00091BC3"/>
    <w:rsid w:val="00091DA0"/>
    <w:rsid w:val="00091E24"/>
    <w:rsid w:val="00091E33"/>
    <w:rsid w:val="00091E79"/>
    <w:rsid w:val="00091FF0"/>
    <w:rsid w:val="00092113"/>
    <w:rsid w:val="00092809"/>
    <w:rsid w:val="00092895"/>
    <w:rsid w:val="0009293E"/>
    <w:rsid w:val="00092A76"/>
    <w:rsid w:val="00092BEB"/>
    <w:rsid w:val="00092C09"/>
    <w:rsid w:val="00092F79"/>
    <w:rsid w:val="000930B7"/>
    <w:rsid w:val="000930F3"/>
    <w:rsid w:val="000934B0"/>
    <w:rsid w:val="00093918"/>
    <w:rsid w:val="00093BDE"/>
    <w:rsid w:val="00093C39"/>
    <w:rsid w:val="00093C54"/>
    <w:rsid w:val="00093E88"/>
    <w:rsid w:val="0009405A"/>
    <w:rsid w:val="000940CD"/>
    <w:rsid w:val="00094155"/>
    <w:rsid w:val="0009421B"/>
    <w:rsid w:val="00094305"/>
    <w:rsid w:val="000943DF"/>
    <w:rsid w:val="000944A6"/>
    <w:rsid w:val="000944C5"/>
    <w:rsid w:val="000944C8"/>
    <w:rsid w:val="000945E5"/>
    <w:rsid w:val="00094B1C"/>
    <w:rsid w:val="00094B24"/>
    <w:rsid w:val="00094B94"/>
    <w:rsid w:val="00094C90"/>
    <w:rsid w:val="00094D19"/>
    <w:rsid w:val="00094D83"/>
    <w:rsid w:val="00094EFB"/>
    <w:rsid w:val="00095093"/>
    <w:rsid w:val="0009516B"/>
    <w:rsid w:val="0009523D"/>
    <w:rsid w:val="000952AB"/>
    <w:rsid w:val="00095361"/>
    <w:rsid w:val="0009553E"/>
    <w:rsid w:val="0009559C"/>
    <w:rsid w:val="00095658"/>
    <w:rsid w:val="0009583F"/>
    <w:rsid w:val="00095950"/>
    <w:rsid w:val="00095959"/>
    <w:rsid w:val="00095AEA"/>
    <w:rsid w:val="00095DAE"/>
    <w:rsid w:val="00095EAC"/>
    <w:rsid w:val="00095EBE"/>
    <w:rsid w:val="00095EDD"/>
    <w:rsid w:val="00095F23"/>
    <w:rsid w:val="000961EE"/>
    <w:rsid w:val="000961F4"/>
    <w:rsid w:val="000963B2"/>
    <w:rsid w:val="00096589"/>
    <w:rsid w:val="0009660F"/>
    <w:rsid w:val="000966A7"/>
    <w:rsid w:val="000966FD"/>
    <w:rsid w:val="000969A1"/>
    <w:rsid w:val="00096BDA"/>
    <w:rsid w:val="00096C7E"/>
    <w:rsid w:val="00096E21"/>
    <w:rsid w:val="00096E85"/>
    <w:rsid w:val="00096FA1"/>
    <w:rsid w:val="00097012"/>
    <w:rsid w:val="00097115"/>
    <w:rsid w:val="00097276"/>
    <w:rsid w:val="000973DA"/>
    <w:rsid w:val="000974C1"/>
    <w:rsid w:val="00097569"/>
    <w:rsid w:val="00097A56"/>
    <w:rsid w:val="00097BE2"/>
    <w:rsid w:val="00097D81"/>
    <w:rsid w:val="000A011B"/>
    <w:rsid w:val="000A02BF"/>
    <w:rsid w:val="000A0328"/>
    <w:rsid w:val="000A03BC"/>
    <w:rsid w:val="000A0631"/>
    <w:rsid w:val="000A0B10"/>
    <w:rsid w:val="000A0B7C"/>
    <w:rsid w:val="000A0BC8"/>
    <w:rsid w:val="000A0BD9"/>
    <w:rsid w:val="000A0C0D"/>
    <w:rsid w:val="000A106D"/>
    <w:rsid w:val="000A114D"/>
    <w:rsid w:val="000A1152"/>
    <w:rsid w:val="000A12F8"/>
    <w:rsid w:val="000A13A8"/>
    <w:rsid w:val="000A1402"/>
    <w:rsid w:val="000A153D"/>
    <w:rsid w:val="000A1605"/>
    <w:rsid w:val="000A1711"/>
    <w:rsid w:val="000A1740"/>
    <w:rsid w:val="000A1ACE"/>
    <w:rsid w:val="000A1AD0"/>
    <w:rsid w:val="000A1B9A"/>
    <w:rsid w:val="000A1BBE"/>
    <w:rsid w:val="000A1C54"/>
    <w:rsid w:val="000A1D73"/>
    <w:rsid w:val="000A2014"/>
    <w:rsid w:val="000A206D"/>
    <w:rsid w:val="000A218B"/>
    <w:rsid w:val="000A2281"/>
    <w:rsid w:val="000A2581"/>
    <w:rsid w:val="000A25CB"/>
    <w:rsid w:val="000A27BE"/>
    <w:rsid w:val="000A29CB"/>
    <w:rsid w:val="000A29F2"/>
    <w:rsid w:val="000A2A77"/>
    <w:rsid w:val="000A2AA5"/>
    <w:rsid w:val="000A2B0C"/>
    <w:rsid w:val="000A2BEB"/>
    <w:rsid w:val="000A2CC9"/>
    <w:rsid w:val="000A311D"/>
    <w:rsid w:val="000A318D"/>
    <w:rsid w:val="000A347A"/>
    <w:rsid w:val="000A3876"/>
    <w:rsid w:val="000A3A09"/>
    <w:rsid w:val="000A3C8D"/>
    <w:rsid w:val="000A3D50"/>
    <w:rsid w:val="000A3DC6"/>
    <w:rsid w:val="000A3EF7"/>
    <w:rsid w:val="000A3FA0"/>
    <w:rsid w:val="000A4210"/>
    <w:rsid w:val="000A4213"/>
    <w:rsid w:val="000A4522"/>
    <w:rsid w:val="000A4699"/>
    <w:rsid w:val="000A46F8"/>
    <w:rsid w:val="000A49DB"/>
    <w:rsid w:val="000A49F5"/>
    <w:rsid w:val="000A4AB1"/>
    <w:rsid w:val="000A4C88"/>
    <w:rsid w:val="000A4F75"/>
    <w:rsid w:val="000A4FC6"/>
    <w:rsid w:val="000A5013"/>
    <w:rsid w:val="000A512A"/>
    <w:rsid w:val="000A517A"/>
    <w:rsid w:val="000A533D"/>
    <w:rsid w:val="000A53C7"/>
    <w:rsid w:val="000A53E4"/>
    <w:rsid w:val="000A5529"/>
    <w:rsid w:val="000A5943"/>
    <w:rsid w:val="000A5A5B"/>
    <w:rsid w:val="000A5AEE"/>
    <w:rsid w:val="000A603F"/>
    <w:rsid w:val="000A60C7"/>
    <w:rsid w:val="000A60F4"/>
    <w:rsid w:val="000A6213"/>
    <w:rsid w:val="000A623F"/>
    <w:rsid w:val="000A62FF"/>
    <w:rsid w:val="000A6309"/>
    <w:rsid w:val="000A6348"/>
    <w:rsid w:val="000A6361"/>
    <w:rsid w:val="000A6487"/>
    <w:rsid w:val="000A6726"/>
    <w:rsid w:val="000A6736"/>
    <w:rsid w:val="000A6921"/>
    <w:rsid w:val="000A6984"/>
    <w:rsid w:val="000A6B7E"/>
    <w:rsid w:val="000A6EE8"/>
    <w:rsid w:val="000A6FF3"/>
    <w:rsid w:val="000A7122"/>
    <w:rsid w:val="000A7178"/>
    <w:rsid w:val="000A71FC"/>
    <w:rsid w:val="000A7214"/>
    <w:rsid w:val="000A729A"/>
    <w:rsid w:val="000A72B8"/>
    <w:rsid w:val="000A72DA"/>
    <w:rsid w:val="000A73B1"/>
    <w:rsid w:val="000A740E"/>
    <w:rsid w:val="000A74E4"/>
    <w:rsid w:val="000A75A4"/>
    <w:rsid w:val="000A7900"/>
    <w:rsid w:val="000A79B0"/>
    <w:rsid w:val="000A7A83"/>
    <w:rsid w:val="000A7AC7"/>
    <w:rsid w:val="000A7BA1"/>
    <w:rsid w:val="000A7D65"/>
    <w:rsid w:val="000A7E48"/>
    <w:rsid w:val="000A7EBC"/>
    <w:rsid w:val="000B041E"/>
    <w:rsid w:val="000B089A"/>
    <w:rsid w:val="000B0913"/>
    <w:rsid w:val="000B09C4"/>
    <w:rsid w:val="000B0B44"/>
    <w:rsid w:val="000B0B5D"/>
    <w:rsid w:val="000B0BA8"/>
    <w:rsid w:val="000B0E04"/>
    <w:rsid w:val="000B0E66"/>
    <w:rsid w:val="000B1105"/>
    <w:rsid w:val="000B1344"/>
    <w:rsid w:val="000B13E4"/>
    <w:rsid w:val="000B142A"/>
    <w:rsid w:val="000B149E"/>
    <w:rsid w:val="000B15B2"/>
    <w:rsid w:val="000B1607"/>
    <w:rsid w:val="000B1803"/>
    <w:rsid w:val="000B18B9"/>
    <w:rsid w:val="000B19AA"/>
    <w:rsid w:val="000B1BE3"/>
    <w:rsid w:val="000B1CF3"/>
    <w:rsid w:val="000B1D6A"/>
    <w:rsid w:val="000B211D"/>
    <w:rsid w:val="000B2227"/>
    <w:rsid w:val="000B24BB"/>
    <w:rsid w:val="000B2577"/>
    <w:rsid w:val="000B25D2"/>
    <w:rsid w:val="000B2653"/>
    <w:rsid w:val="000B2989"/>
    <w:rsid w:val="000B29D0"/>
    <w:rsid w:val="000B2A01"/>
    <w:rsid w:val="000B2DAE"/>
    <w:rsid w:val="000B2EBB"/>
    <w:rsid w:val="000B310B"/>
    <w:rsid w:val="000B315B"/>
    <w:rsid w:val="000B336C"/>
    <w:rsid w:val="000B33AA"/>
    <w:rsid w:val="000B3405"/>
    <w:rsid w:val="000B344C"/>
    <w:rsid w:val="000B366F"/>
    <w:rsid w:val="000B391F"/>
    <w:rsid w:val="000B3A6F"/>
    <w:rsid w:val="000B3AE0"/>
    <w:rsid w:val="000B3C33"/>
    <w:rsid w:val="000B41DC"/>
    <w:rsid w:val="000B4703"/>
    <w:rsid w:val="000B488A"/>
    <w:rsid w:val="000B496F"/>
    <w:rsid w:val="000B49A8"/>
    <w:rsid w:val="000B4A15"/>
    <w:rsid w:val="000B4AF4"/>
    <w:rsid w:val="000B4B81"/>
    <w:rsid w:val="000B4C95"/>
    <w:rsid w:val="000B4CD6"/>
    <w:rsid w:val="000B4DC7"/>
    <w:rsid w:val="000B4E7E"/>
    <w:rsid w:val="000B4ED8"/>
    <w:rsid w:val="000B506C"/>
    <w:rsid w:val="000B5380"/>
    <w:rsid w:val="000B571E"/>
    <w:rsid w:val="000B583C"/>
    <w:rsid w:val="000B5881"/>
    <w:rsid w:val="000B5968"/>
    <w:rsid w:val="000B59DE"/>
    <w:rsid w:val="000B5A24"/>
    <w:rsid w:val="000B5AB6"/>
    <w:rsid w:val="000B5BC9"/>
    <w:rsid w:val="000B5C20"/>
    <w:rsid w:val="000B5C4F"/>
    <w:rsid w:val="000B60C3"/>
    <w:rsid w:val="000B60E1"/>
    <w:rsid w:val="000B61F9"/>
    <w:rsid w:val="000B629A"/>
    <w:rsid w:val="000B64A2"/>
    <w:rsid w:val="000B64F8"/>
    <w:rsid w:val="000B6699"/>
    <w:rsid w:val="000B6ACE"/>
    <w:rsid w:val="000B6C60"/>
    <w:rsid w:val="000B6D0D"/>
    <w:rsid w:val="000B6E94"/>
    <w:rsid w:val="000B6FFE"/>
    <w:rsid w:val="000B70BC"/>
    <w:rsid w:val="000B7103"/>
    <w:rsid w:val="000B7166"/>
    <w:rsid w:val="000B7313"/>
    <w:rsid w:val="000B7399"/>
    <w:rsid w:val="000B76A6"/>
    <w:rsid w:val="000B76ED"/>
    <w:rsid w:val="000B7727"/>
    <w:rsid w:val="000B7809"/>
    <w:rsid w:val="000B7A3C"/>
    <w:rsid w:val="000B7BE5"/>
    <w:rsid w:val="000B7BF4"/>
    <w:rsid w:val="000B7C82"/>
    <w:rsid w:val="000B7F39"/>
    <w:rsid w:val="000C008E"/>
    <w:rsid w:val="000C025B"/>
    <w:rsid w:val="000C02CD"/>
    <w:rsid w:val="000C0307"/>
    <w:rsid w:val="000C031D"/>
    <w:rsid w:val="000C03C6"/>
    <w:rsid w:val="000C063B"/>
    <w:rsid w:val="000C068A"/>
    <w:rsid w:val="000C0691"/>
    <w:rsid w:val="000C0810"/>
    <w:rsid w:val="000C0ABF"/>
    <w:rsid w:val="000C0C29"/>
    <w:rsid w:val="000C0C35"/>
    <w:rsid w:val="000C0CB6"/>
    <w:rsid w:val="000C0E9A"/>
    <w:rsid w:val="000C1066"/>
    <w:rsid w:val="000C1184"/>
    <w:rsid w:val="000C12C4"/>
    <w:rsid w:val="000C1395"/>
    <w:rsid w:val="000C16B2"/>
    <w:rsid w:val="000C17B6"/>
    <w:rsid w:val="000C1869"/>
    <w:rsid w:val="000C1A3C"/>
    <w:rsid w:val="000C1AC1"/>
    <w:rsid w:val="000C1C8E"/>
    <w:rsid w:val="000C1D1F"/>
    <w:rsid w:val="000C1D3B"/>
    <w:rsid w:val="000C1E11"/>
    <w:rsid w:val="000C1EF9"/>
    <w:rsid w:val="000C1FA9"/>
    <w:rsid w:val="000C216C"/>
    <w:rsid w:val="000C220D"/>
    <w:rsid w:val="000C2317"/>
    <w:rsid w:val="000C2358"/>
    <w:rsid w:val="000C24D5"/>
    <w:rsid w:val="000C25F1"/>
    <w:rsid w:val="000C2684"/>
    <w:rsid w:val="000C278A"/>
    <w:rsid w:val="000C27CB"/>
    <w:rsid w:val="000C27D0"/>
    <w:rsid w:val="000C27F4"/>
    <w:rsid w:val="000C2817"/>
    <w:rsid w:val="000C2986"/>
    <w:rsid w:val="000C2A2D"/>
    <w:rsid w:val="000C2C7A"/>
    <w:rsid w:val="000C2C88"/>
    <w:rsid w:val="000C2C8D"/>
    <w:rsid w:val="000C2D26"/>
    <w:rsid w:val="000C2D31"/>
    <w:rsid w:val="000C2EA4"/>
    <w:rsid w:val="000C2F77"/>
    <w:rsid w:val="000C31CB"/>
    <w:rsid w:val="000C3206"/>
    <w:rsid w:val="000C322C"/>
    <w:rsid w:val="000C352F"/>
    <w:rsid w:val="000C3705"/>
    <w:rsid w:val="000C37C9"/>
    <w:rsid w:val="000C3913"/>
    <w:rsid w:val="000C393C"/>
    <w:rsid w:val="000C396E"/>
    <w:rsid w:val="000C39A0"/>
    <w:rsid w:val="000C3A6C"/>
    <w:rsid w:val="000C3E2D"/>
    <w:rsid w:val="000C3F0E"/>
    <w:rsid w:val="000C3F11"/>
    <w:rsid w:val="000C40E1"/>
    <w:rsid w:val="000C41BF"/>
    <w:rsid w:val="000C42AF"/>
    <w:rsid w:val="000C4301"/>
    <w:rsid w:val="000C430E"/>
    <w:rsid w:val="000C43F2"/>
    <w:rsid w:val="000C4656"/>
    <w:rsid w:val="000C4691"/>
    <w:rsid w:val="000C46D2"/>
    <w:rsid w:val="000C4844"/>
    <w:rsid w:val="000C487B"/>
    <w:rsid w:val="000C49A0"/>
    <w:rsid w:val="000C4B57"/>
    <w:rsid w:val="000C4C22"/>
    <w:rsid w:val="000C4D6C"/>
    <w:rsid w:val="000C4D9B"/>
    <w:rsid w:val="000C4E9E"/>
    <w:rsid w:val="000C4F57"/>
    <w:rsid w:val="000C5036"/>
    <w:rsid w:val="000C506C"/>
    <w:rsid w:val="000C5174"/>
    <w:rsid w:val="000C51F8"/>
    <w:rsid w:val="000C52E2"/>
    <w:rsid w:val="000C54B8"/>
    <w:rsid w:val="000C5540"/>
    <w:rsid w:val="000C55EA"/>
    <w:rsid w:val="000C5984"/>
    <w:rsid w:val="000C5B3D"/>
    <w:rsid w:val="000C5B57"/>
    <w:rsid w:val="000C5B80"/>
    <w:rsid w:val="000C5DE4"/>
    <w:rsid w:val="000C5E85"/>
    <w:rsid w:val="000C5F62"/>
    <w:rsid w:val="000C60B2"/>
    <w:rsid w:val="000C6100"/>
    <w:rsid w:val="000C6129"/>
    <w:rsid w:val="000C61F4"/>
    <w:rsid w:val="000C6312"/>
    <w:rsid w:val="000C65ED"/>
    <w:rsid w:val="000C6781"/>
    <w:rsid w:val="000C68E5"/>
    <w:rsid w:val="000C68E7"/>
    <w:rsid w:val="000C6959"/>
    <w:rsid w:val="000C6F5E"/>
    <w:rsid w:val="000C6FFD"/>
    <w:rsid w:val="000C724C"/>
    <w:rsid w:val="000C726C"/>
    <w:rsid w:val="000C7477"/>
    <w:rsid w:val="000C7481"/>
    <w:rsid w:val="000C7485"/>
    <w:rsid w:val="000C74A5"/>
    <w:rsid w:val="000C7543"/>
    <w:rsid w:val="000C7546"/>
    <w:rsid w:val="000C7576"/>
    <w:rsid w:val="000C7594"/>
    <w:rsid w:val="000C76DF"/>
    <w:rsid w:val="000C76FB"/>
    <w:rsid w:val="000C7893"/>
    <w:rsid w:val="000C79F1"/>
    <w:rsid w:val="000C79FA"/>
    <w:rsid w:val="000C7A43"/>
    <w:rsid w:val="000C7A75"/>
    <w:rsid w:val="000C7BF7"/>
    <w:rsid w:val="000C7F39"/>
    <w:rsid w:val="000C7F67"/>
    <w:rsid w:val="000D0024"/>
    <w:rsid w:val="000D0032"/>
    <w:rsid w:val="000D0096"/>
    <w:rsid w:val="000D01DE"/>
    <w:rsid w:val="000D0277"/>
    <w:rsid w:val="000D02A9"/>
    <w:rsid w:val="000D03C1"/>
    <w:rsid w:val="000D05DC"/>
    <w:rsid w:val="000D0607"/>
    <w:rsid w:val="000D083E"/>
    <w:rsid w:val="000D0851"/>
    <w:rsid w:val="000D08C3"/>
    <w:rsid w:val="000D0A41"/>
    <w:rsid w:val="000D0B8D"/>
    <w:rsid w:val="000D1136"/>
    <w:rsid w:val="000D11A2"/>
    <w:rsid w:val="000D1333"/>
    <w:rsid w:val="000D1579"/>
    <w:rsid w:val="000D167C"/>
    <w:rsid w:val="000D16D0"/>
    <w:rsid w:val="000D17F3"/>
    <w:rsid w:val="000D1A34"/>
    <w:rsid w:val="000D1E70"/>
    <w:rsid w:val="000D1FFE"/>
    <w:rsid w:val="000D20DE"/>
    <w:rsid w:val="000D223A"/>
    <w:rsid w:val="000D225F"/>
    <w:rsid w:val="000D2297"/>
    <w:rsid w:val="000D2305"/>
    <w:rsid w:val="000D248F"/>
    <w:rsid w:val="000D2596"/>
    <w:rsid w:val="000D27D2"/>
    <w:rsid w:val="000D2AAC"/>
    <w:rsid w:val="000D2CF0"/>
    <w:rsid w:val="000D2ED9"/>
    <w:rsid w:val="000D3164"/>
    <w:rsid w:val="000D3181"/>
    <w:rsid w:val="000D33ED"/>
    <w:rsid w:val="000D33F9"/>
    <w:rsid w:val="000D3479"/>
    <w:rsid w:val="000D3B7B"/>
    <w:rsid w:val="000D3B9C"/>
    <w:rsid w:val="000D3C4F"/>
    <w:rsid w:val="000D3CC4"/>
    <w:rsid w:val="000D3CF1"/>
    <w:rsid w:val="000D3ED3"/>
    <w:rsid w:val="000D41E7"/>
    <w:rsid w:val="000D4216"/>
    <w:rsid w:val="000D4358"/>
    <w:rsid w:val="000D4488"/>
    <w:rsid w:val="000D4543"/>
    <w:rsid w:val="000D45B1"/>
    <w:rsid w:val="000D45C3"/>
    <w:rsid w:val="000D45ED"/>
    <w:rsid w:val="000D4894"/>
    <w:rsid w:val="000D492D"/>
    <w:rsid w:val="000D4A71"/>
    <w:rsid w:val="000D4A94"/>
    <w:rsid w:val="000D4BBB"/>
    <w:rsid w:val="000D4BD6"/>
    <w:rsid w:val="000D4D80"/>
    <w:rsid w:val="000D4E0D"/>
    <w:rsid w:val="000D4F18"/>
    <w:rsid w:val="000D4FE3"/>
    <w:rsid w:val="000D5460"/>
    <w:rsid w:val="000D546E"/>
    <w:rsid w:val="000D5474"/>
    <w:rsid w:val="000D55BD"/>
    <w:rsid w:val="000D571F"/>
    <w:rsid w:val="000D572D"/>
    <w:rsid w:val="000D5A2F"/>
    <w:rsid w:val="000D5B37"/>
    <w:rsid w:val="000D5B5B"/>
    <w:rsid w:val="000D5C4E"/>
    <w:rsid w:val="000D5D7C"/>
    <w:rsid w:val="000D5F58"/>
    <w:rsid w:val="000D5FC9"/>
    <w:rsid w:val="000D60C9"/>
    <w:rsid w:val="000D614F"/>
    <w:rsid w:val="000D633D"/>
    <w:rsid w:val="000D6369"/>
    <w:rsid w:val="000D6749"/>
    <w:rsid w:val="000D689B"/>
    <w:rsid w:val="000D6942"/>
    <w:rsid w:val="000D6AB7"/>
    <w:rsid w:val="000D6C6E"/>
    <w:rsid w:val="000D6CAC"/>
    <w:rsid w:val="000D6CDC"/>
    <w:rsid w:val="000D6E09"/>
    <w:rsid w:val="000D6E4A"/>
    <w:rsid w:val="000D705E"/>
    <w:rsid w:val="000D7380"/>
    <w:rsid w:val="000D7415"/>
    <w:rsid w:val="000D7475"/>
    <w:rsid w:val="000D747F"/>
    <w:rsid w:val="000D75C0"/>
    <w:rsid w:val="000D75CA"/>
    <w:rsid w:val="000D7621"/>
    <w:rsid w:val="000D7971"/>
    <w:rsid w:val="000D7A48"/>
    <w:rsid w:val="000D7A6E"/>
    <w:rsid w:val="000D7C21"/>
    <w:rsid w:val="000D7D67"/>
    <w:rsid w:val="000D7D8C"/>
    <w:rsid w:val="000E02FA"/>
    <w:rsid w:val="000E030A"/>
    <w:rsid w:val="000E0330"/>
    <w:rsid w:val="000E03B8"/>
    <w:rsid w:val="000E0535"/>
    <w:rsid w:val="000E077B"/>
    <w:rsid w:val="000E0806"/>
    <w:rsid w:val="000E084C"/>
    <w:rsid w:val="000E0B4D"/>
    <w:rsid w:val="000E0DE4"/>
    <w:rsid w:val="000E0E96"/>
    <w:rsid w:val="000E0F29"/>
    <w:rsid w:val="000E13E0"/>
    <w:rsid w:val="000E1444"/>
    <w:rsid w:val="000E1571"/>
    <w:rsid w:val="000E1584"/>
    <w:rsid w:val="000E1731"/>
    <w:rsid w:val="000E183F"/>
    <w:rsid w:val="000E188E"/>
    <w:rsid w:val="000E195D"/>
    <w:rsid w:val="000E198B"/>
    <w:rsid w:val="000E1BD3"/>
    <w:rsid w:val="000E1BF3"/>
    <w:rsid w:val="000E1C5B"/>
    <w:rsid w:val="000E1C86"/>
    <w:rsid w:val="000E1E4F"/>
    <w:rsid w:val="000E1F03"/>
    <w:rsid w:val="000E2253"/>
    <w:rsid w:val="000E2361"/>
    <w:rsid w:val="000E24B1"/>
    <w:rsid w:val="000E2592"/>
    <w:rsid w:val="000E26F7"/>
    <w:rsid w:val="000E2979"/>
    <w:rsid w:val="000E2986"/>
    <w:rsid w:val="000E298F"/>
    <w:rsid w:val="000E29C9"/>
    <w:rsid w:val="000E2A2B"/>
    <w:rsid w:val="000E2CAA"/>
    <w:rsid w:val="000E2D0D"/>
    <w:rsid w:val="000E2D6A"/>
    <w:rsid w:val="000E308F"/>
    <w:rsid w:val="000E31CC"/>
    <w:rsid w:val="000E3236"/>
    <w:rsid w:val="000E3466"/>
    <w:rsid w:val="000E347C"/>
    <w:rsid w:val="000E348E"/>
    <w:rsid w:val="000E3552"/>
    <w:rsid w:val="000E358A"/>
    <w:rsid w:val="000E35C8"/>
    <w:rsid w:val="000E3643"/>
    <w:rsid w:val="000E37BD"/>
    <w:rsid w:val="000E37BE"/>
    <w:rsid w:val="000E37D0"/>
    <w:rsid w:val="000E3E9D"/>
    <w:rsid w:val="000E3FAE"/>
    <w:rsid w:val="000E4002"/>
    <w:rsid w:val="000E40B3"/>
    <w:rsid w:val="000E4276"/>
    <w:rsid w:val="000E46BE"/>
    <w:rsid w:val="000E47CA"/>
    <w:rsid w:val="000E497B"/>
    <w:rsid w:val="000E4C45"/>
    <w:rsid w:val="000E4EB9"/>
    <w:rsid w:val="000E4F6F"/>
    <w:rsid w:val="000E53A1"/>
    <w:rsid w:val="000E53A2"/>
    <w:rsid w:val="000E5443"/>
    <w:rsid w:val="000E5625"/>
    <w:rsid w:val="000E56DD"/>
    <w:rsid w:val="000E57B8"/>
    <w:rsid w:val="000E59F1"/>
    <w:rsid w:val="000E5A10"/>
    <w:rsid w:val="000E5AC2"/>
    <w:rsid w:val="000E5B7D"/>
    <w:rsid w:val="000E5BB0"/>
    <w:rsid w:val="000E5C80"/>
    <w:rsid w:val="000E5D3A"/>
    <w:rsid w:val="000E600A"/>
    <w:rsid w:val="000E61EF"/>
    <w:rsid w:val="000E62BD"/>
    <w:rsid w:val="000E62D7"/>
    <w:rsid w:val="000E6400"/>
    <w:rsid w:val="000E64BD"/>
    <w:rsid w:val="000E651B"/>
    <w:rsid w:val="000E65CB"/>
    <w:rsid w:val="000E66FE"/>
    <w:rsid w:val="000E67B0"/>
    <w:rsid w:val="000E6863"/>
    <w:rsid w:val="000E68AD"/>
    <w:rsid w:val="000E68DF"/>
    <w:rsid w:val="000E6AE7"/>
    <w:rsid w:val="000E6EDF"/>
    <w:rsid w:val="000E6FF2"/>
    <w:rsid w:val="000E7169"/>
    <w:rsid w:val="000E733C"/>
    <w:rsid w:val="000E749F"/>
    <w:rsid w:val="000E776C"/>
    <w:rsid w:val="000E784B"/>
    <w:rsid w:val="000E785F"/>
    <w:rsid w:val="000E7865"/>
    <w:rsid w:val="000E7882"/>
    <w:rsid w:val="000E7886"/>
    <w:rsid w:val="000E7A3E"/>
    <w:rsid w:val="000E7DC1"/>
    <w:rsid w:val="000E7EB7"/>
    <w:rsid w:val="000E7F23"/>
    <w:rsid w:val="000F01B6"/>
    <w:rsid w:val="000F02E4"/>
    <w:rsid w:val="000F0461"/>
    <w:rsid w:val="000F04E7"/>
    <w:rsid w:val="000F0557"/>
    <w:rsid w:val="000F05AC"/>
    <w:rsid w:val="000F09FB"/>
    <w:rsid w:val="000F0B1C"/>
    <w:rsid w:val="000F0B97"/>
    <w:rsid w:val="000F0D27"/>
    <w:rsid w:val="000F0D98"/>
    <w:rsid w:val="000F0EDA"/>
    <w:rsid w:val="000F0F9B"/>
    <w:rsid w:val="000F1041"/>
    <w:rsid w:val="000F107A"/>
    <w:rsid w:val="000F1269"/>
    <w:rsid w:val="000F135E"/>
    <w:rsid w:val="000F167D"/>
    <w:rsid w:val="000F1694"/>
    <w:rsid w:val="000F16C8"/>
    <w:rsid w:val="000F1958"/>
    <w:rsid w:val="000F1A3D"/>
    <w:rsid w:val="000F1D43"/>
    <w:rsid w:val="000F1EA0"/>
    <w:rsid w:val="000F1EA7"/>
    <w:rsid w:val="000F1FF3"/>
    <w:rsid w:val="000F204C"/>
    <w:rsid w:val="000F2728"/>
    <w:rsid w:val="000F294F"/>
    <w:rsid w:val="000F29F1"/>
    <w:rsid w:val="000F2A1F"/>
    <w:rsid w:val="000F2AE1"/>
    <w:rsid w:val="000F2D33"/>
    <w:rsid w:val="000F2EEE"/>
    <w:rsid w:val="000F301D"/>
    <w:rsid w:val="000F31C0"/>
    <w:rsid w:val="000F31E7"/>
    <w:rsid w:val="000F329A"/>
    <w:rsid w:val="000F333F"/>
    <w:rsid w:val="000F339E"/>
    <w:rsid w:val="000F355D"/>
    <w:rsid w:val="000F3601"/>
    <w:rsid w:val="000F3669"/>
    <w:rsid w:val="000F3684"/>
    <w:rsid w:val="000F3BC0"/>
    <w:rsid w:val="000F3C2D"/>
    <w:rsid w:val="000F3C71"/>
    <w:rsid w:val="000F3E9A"/>
    <w:rsid w:val="000F3FA1"/>
    <w:rsid w:val="000F41F2"/>
    <w:rsid w:val="000F4AFF"/>
    <w:rsid w:val="000F4C61"/>
    <w:rsid w:val="000F4DB5"/>
    <w:rsid w:val="000F4E45"/>
    <w:rsid w:val="000F4E8D"/>
    <w:rsid w:val="000F51BA"/>
    <w:rsid w:val="000F51D0"/>
    <w:rsid w:val="000F5212"/>
    <w:rsid w:val="000F5293"/>
    <w:rsid w:val="000F5351"/>
    <w:rsid w:val="000F555A"/>
    <w:rsid w:val="000F55DC"/>
    <w:rsid w:val="000F55DF"/>
    <w:rsid w:val="000F56FC"/>
    <w:rsid w:val="000F58B1"/>
    <w:rsid w:val="000F5AB1"/>
    <w:rsid w:val="000F5CC4"/>
    <w:rsid w:val="000F5CE9"/>
    <w:rsid w:val="000F5D32"/>
    <w:rsid w:val="000F5DE4"/>
    <w:rsid w:val="000F5E01"/>
    <w:rsid w:val="000F5F46"/>
    <w:rsid w:val="000F5F5C"/>
    <w:rsid w:val="000F6040"/>
    <w:rsid w:val="000F6058"/>
    <w:rsid w:val="000F6109"/>
    <w:rsid w:val="000F6129"/>
    <w:rsid w:val="000F61A4"/>
    <w:rsid w:val="000F620D"/>
    <w:rsid w:val="000F62EA"/>
    <w:rsid w:val="000F63BC"/>
    <w:rsid w:val="000F669F"/>
    <w:rsid w:val="000F66DF"/>
    <w:rsid w:val="000F68C9"/>
    <w:rsid w:val="000F6E3A"/>
    <w:rsid w:val="000F6FFE"/>
    <w:rsid w:val="000F7065"/>
    <w:rsid w:val="000F72B6"/>
    <w:rsid w:val="000F7338"/>
    <w:rsid w:val="000F752C"/>
    <w:rsid w:val="000F761F"/>
    <w:rsid w:val="000F7688"/>
    <w:rsid w:val="000F78EF"/>
    <w:rsid w:val="000F7966"/>
    <w:rsid w:val="000F79C3"/>
    <w:rsid w:val="000F7A44"/>
    <w:rsid w:val="000F7A79"/>
    <w:rsid w:val="000F7AFC"/>
    <w:rsid w:val="000F7CD6"/>
    <w:rsid w:val="000F7E13"/>
    <w:rsid w:val="000F7E40"/>
    <w:rsid w:val="000F7F05"/>
    <w:rsid w:val="001001DF"/>
    <w:rsid w:val="001002C2"/>
    <w:rsid w:val="0010045F"/>
    <w:rsid w:val="00100806"/>
    <w:rsid w:val="00100829"/>
    <w:rsid w:val="001008F8"/>
    <w:rsid w:val="00100BC1"/>
    <w:rsid w:val="00100C3A"/>
    <w:rsid w:val="00100C99"/>
    <w:rsid w:val="00100CDB"/>
    <w:rsid w:val="00100FAA"/>
    <w:rsid w:val="001012A6"/>
    <w:rsid w:val="001013EF"/>
    <w:rsid w:val="0010154D"/>
    <w:rsid w:val="0010155A"/>
    <w:rsid w:val="0010167D"/>
    <w:rsid w:val="00101869"/>
    <w:rsid w:val="00101995"/>
    <w:rsid w:val="00101A7F"/>
    <w:rsid w:val="00101AE2"/>
    <w:rsid w:val="00101B86"/>
    <w:rsid w:val="00101B8F"/>
    <w:rsid w:val="00101DF1"/>
    <w:rsid w:val="00101E88"/>
    <w:rsid w:val="00102061"/>
    <w:rsid w:val="001020BC"/>
    <w:rsid w:val="001020ED"/>
    <w:rsid w:val="00102168"/>
    <w:rsid w:val="0010218A"/>
    <w:rsid w:val="001023AE"/>
    <w:rsid w:val="001024C8"/>
    <w:rsid w:val="00102AD7"/>
    <w:rsid w:val="00102B15"/>
    <w:rsid w:val="00102BE8"/>
    <w:rsid w:val="00102CAE"/>
    <w:rsid w:val="00102E4E"/>
    <w:rsid w:val="00103068"/>
    <w:rsid w:val="0010312D"/>
    <w:rsid w:val="00103131"/>
    <w:rsid w:val="001033C5"/>
    <w:rsid w:val="0010348F"/>
    <w:rsid w:val="00103C45"/>
    <w:rsid w:val="00103DD4"/>
    <w:rsid w:val="00104175"/>
    <w:rsid w:val="001041BB"/>
    <w:rsid w:val="00104232"/>
    <w:rsid w:val="00104251"/>
    <w:rsid w:val="001042C5"/>
    <w:rsid w:val="001042CC"/>
    <w:rsid w:val="00104331"/>
    <w:rsid w:val="00104376"/>
    <w:rsid w:val="0010464B"/>
    <w:rsid w:val="00104782"/>
    <w:rsid w:val="001049C6"/>
    <w:rsid w:val="00104C09"/>
    <w:rsid w:val="00104C2C"/>
    <w:rsid w:val="00104C59"/>
    <w:rsid w:val="00104D79"/>
    <w:rsid w:val="00104FAF"/>
    <w:rsid w:val="00104FC1"/>
    <w:rsid w:val="00105204"/>
    <w:rsid w:val="0010529E"/>
    <w:rsid w:val="0010537B"/>
    <w:rsid w:val="0010542D"/>
    <w:rsid w:val="001056A2"/>
    <w:rsid w:val="001056D1"/>
    <w:rsid w:val="0010579E"/>
    <w:rsid w:val="001058A3"/>
    <w:rsid w:val="001059EF"/>
    <w:rsid w:val="00105B00"/>
    <w:rsid w:val="00105C59"/>
    <w:rsid w:val="00105E3C"/>
    <w:rsid w:val="00105F4E"/>
    <w:rsid w:val="0010603C"/>
    <w:rsid w:val="00106251"/>
    <w:rsid w:val="00106377"/>
    <w:rsid w:val="001065CD"/>
    <w:rsid w:val="00106612"/>
    <w:rsid w:val="00106623"/>
    <w:rsid w:val="00106769"/>
    <w:rsid w:val="001067DC"/>
    <w:rsid w:val="00106A4E"/>
    <w:rsid w:val="00106B7C"/>
    <w:rsid w:val="00106C73"/>
    <w:rsid w:val="00106D32"/>
    <w:rsid w:val="00106D3F"/>
    <w:rsid w:val="00106DF1"/>
    <w:rsid w:val="00106FEA"/>
    <w:rsid w:val="00107315"/>
    <w:rsid w:val="00107342"/>
    <w:rsid w:val="001073D0"/>
    <w:rsid w:val="00107409"/>
    <w:rsid w:val="00107440"/>
    <w:rsid w:val="001074D8"/>
    <w:rsid w:val="001076CC"/>
    <w:rsid w:val="0010780A"/>
    <w:rsid w:val="001078C0"/>
    <w:rsid w:val="00107B60"/>
    <w:rsid w:val="00107E34"/>
    <w:rsid w:val="00107E53"/>
    <w:rsid w:val="0011000F"/>
    <w:rsid w:val="001102BF"/>
    <w:rsid w:val="0011036C"/>
    <w:rsid w:val="001104F6"/>
    <w:rsid w:val="00110541"/>
    <w:rsid w:val="0011055C"/>
    <w:rsid w:val="0011080A"/>
    <w:rsid w:val="00110822"/>
    <w:rsid w:val="00110A58"/>
    <w:rsid w:val="00110B28"/>
    <w:rsid w:val="00110B8B"/>
    <w:rsid w:val="00110D50"/>
    <w:rsid w:val="0011133A"/>
    <w:rsid w:val="00111526"/>
    <w:rsid w:val="0011155E"/>
    <w:rsid w:val="0011160D"/>
    <w:rsid w:val="00111697"/>
    <w:rsid w:val="001116DF"/>
    <w:rsid w:val="00111853"/>
    <w:rsid w:val="00111972"/>
    <w:rsid w:val="00111B16"/>
    <w:rsid w:val="00111F1B"/>
    <w:rsid w:val="00111FCA"/>
    <w:rsid w:val="00112057"/>
    <w:rsid w:val="0011238B"/>
    <w:rsid w:val="001124BB"/>
    <w:rsid w:val="00112540"/>
    <w:rsid w:val="001126A5"/>
    <w:rsid w:val="00112716"/>
    <w:rsid w:val="00112B1E"/>
    <w:rsid w:val="00112C4E"/>
    <w:rsid w:val="00112C79"/>
    <w:rsid w:val="00112D37"/>
    <w:rsid w:val="00112DA0"/>
    <w:rsid w:val="00112F94"/>
    <w:rsid w:val="001130C6"/>
    <w:rsid w:val="00113128"/>
    <w:rsid w:val="00113349"/>
    <w:rsid w:val="001133F7"/>
    <w:rsid w:val="001134D2"/>
    <w:rsid w:val="0011362D"/>
    <w:rsid w:val="001136FA"/>
    <w:rsid w:val="00113894"/>
    <w:rsid w:val="001138B9"/>
    <w:rsid w:val="00113A44"/>
    <w:rsid w:val="00113BDE"/>
    <w:rsid w:val="00113C68"/>
    <w:rsid w:val="00113D38"/>
    <w:rsid w:val="00113E11"/>
    <w:rsid w:val="00113F0A"/>
    <w:rsid w:val="001145F5"/>
    <w:rsid w:val="00114652"/>
    <w:rsid w:val="00114709"/>
    <w:rsid w:val="00114737"/>
    <w:rsid w:val="001147BF"/>
    <w:rsid w:val="00114899"/>
    <w:rsid w:val="001149D0"/>
    <w:rsid w:val="001149EA"/>
    <w:rsid w:val="00114C9E"/>
    <w:rsid w:val="00114CCD"/>
    <w:rsid w:val="00115164"/>
    <w:rsid w:val="001151DF"/>
    <w:rsid w:val="0011525B"/>
    <w:rsid w:val="001152F0"/>
    <w:rsid w:val="00115572"/>
    <w:rsid w:val="0011563E"/>
    <w:rsid w:val="00115809"/>
    <w:rsid w:val="00115904"/>
    <w:rsid w:val="0011590E"/>
    <w:rsid w:val="00115938"/>
    <w:rsid w:val="001159F1"/>
    <w:rsid w:val="00115A15"/>
    <w:rsid w:val="00115AC1"/>
    <w:rsid w:val="00115F2A"/>
    <w:rsid w:val="00115F45"/>
    <w:rsid w:val="0011604E"/>
    <w:rsid w:val="00116177"/>
    <w:rsid w:val="0011653C"/>
    <w:rsid w:val="001166DA"/>
    <w:rsid w:val="00116704"/>
    <w:rsid w:val="00116851"/>
    <w:rsid w:val="00116A76"/>
    <w:rsid w:val="00116C9B"/>
    <w:rsid w:val="00116D17"/>
    <w:rsid w:val="00116D2E"/>
    <w:rsid w:val="00116E70"/>
    <w:rsid w:val="00116FC8"/>
    <w:rsid w:val="001171A2"/>
    <w:rsid w:val="0011726D"/>
    <w:rsid w:val="00117762"/>
    <w:rsid w:val="00117950"/>
    <w:rsid w:val="00117A59"/>
    <w:rsid w:val="00117E0D"/>
    <w:rsid w:val="00117E5B"/>
    <w:rsid w:val="00117EEB"/>
    <w:rsid w:val="00117F67"/>
    <w:rsid w:val="001201C2"/>
    <w:rsid w:val="001203B4"/>
    <w:rsid w:val="001205C5"/>
    <w:rsid w:val="001209D2"/>
    <w:rsid w:val="00120C56"/>
    <w:rsid w:val="00120E20"/>
    <w:rsid w:val="00120EFD"/>
    <w:rsid w:val="00120F3D"/>
    <w:rsid w:val="001213ED"/>
    <w:rsid w:val="001214FC"/>
    <w:rsid w:val="00121501"/>
    <w:rsid w:val="00121568"/>
    <w:rsid w:val="0012169C"/>
    <w:rsid w:val="0012173E"/>
    <w:rsid w:val="00121A0D"/>
    <w:rsid w:val="00121B32"/>
    <w:rsid w:val="00121C91"/>
    <w:rsid w:val="00121D43"/>
    <w:rsid w:val="00121F0A"/>
    <w:rsid w:val="00121F80"/>
    <w:rsid w:val="00121FB1"/>
    <w:rsid w:val="0012214A"/>
    <w:rsid w:val="001221D7"/>
    <w:rsid w:val="0012222E"/>
    <w:rsid w:val="001222F0"/>
    <w:rsid w:val="0012232E"/>
    <w:rsid w:val="00122397"/>
    <w:rsid w:val="001224E5"/>
    <w:rsid w:val="0012256A"/>
    <w:rsid w:val="00122587"/>
    <w:rsid w:val="001227A5"/>
    <w:rsid w:val="00122B23"/>
    <w:rsid w:val="00122C0E"/>
    <w:rsid w:val="00122C5E"/>
    <w:rsid w:val="00122FEE"/>
    <w:rsid w:val="001230FC"/>
    <w:rsid w:val="001232DF"/>
    <w:rsid w:val="001233D7"/>
    <w:rsid w:val="001233DD"/>
    <w:rsid w:val="001234E4"/>
    <w:rsid w:val="001235F6"/>
    <w:rsid w:val="0012365F"/>
    <w:rsid w:val="0012393F"/>
    <w:rsid w:val="00123B45"/>
    <w:rsid w:val="00123DC2"/>
    <w:rsid w:val="00123F65"/>
    <w:rsid w:val="00123FC9"/>
    <w:rsid w:val="00124058"/>
    <w:rsid w:val="001240A9"/>
    <w:rsid w:val="001240CC"/>
    <w:rsid w:val="00124326"/>
    <w:rsid w:val="0012434A"/>
    <w:rsid w:val="00124566"/>
    <w:rsid w:val="00124569"/>
    <w:rsid w:val="001245DA"/>
    <w:rsid w:val="001248EF"/>
    <w:rsid w:val="00124C22"/>
    <w:rsid w:val="00124C77"/>
    <w:rsid w:val="00124D63"/>
    <w:rsid w:val="00124EE7"/>
    <w:rsid w:val="00124F15"/>
    <w:rsid w:val="00124F33"/>
    <w:rsid w:val="00124FB4"/>
    <w:rsid w:val="00124FF9"/>
    <w:rsid w:val="001250D2"/>
    <w:rsid w:val="00125157"/>
    <w:rsid w:val="00125224"/>
    <w:rsid w:val="0012522E"/>
    <w:rsid w:val="001252F2"/>
    <w:rsid w:val="001253C2"/>
    <w:rsid w:val="00125550"/>
    <w:rsid w:val="001255D1"/>
    <w:rsid w:val="00125607"/>
    <w:rsid w:val="00125730"/>
    <w:rsid w:val="0012577C"/>
    <w:rsid w:val="001257EE"/>
    <w:rsid w:val="001257F9"/>
    <w:rsid w:val="00125836"/>
    <w:rsid w:val="00125A97"/>
    <w:rsid w:val="00125BDD"/>
    <w:rsid w:val="00125C2A"/>
    <w:rsid w:val="00125C40"/>
    <w:rsid w:val="00125CAA"/>
    <w:rsid w:val="001260E9"/>
    <w:rsid w:val="00126193"/>
    <w:rsid w:val="001261A3"/>
    <w:rsid w:val="001263A4"/>
    <w:rsid w:val="00126408"/>
    <w:rsid w:val="00126428"/>
    <w:rsid w:val="001265DB"/>
    <w:rsid w:val="00126731"/>
    <w:rsid w:val="00126799"/>
    <w:rsid w:val="001268C5"/>
    <w:rsid w:val="00126A34"/>
    <w:rsid w:val="00126D18"/>
    <w:rsid w:val="00126DBC"/>
    <w:rsid w:val="00126DEC"/>
    <w:rsid w:val="00126E11"/>
    <w:rsid w:val="00126FE7"/>
    <w:rsid w:val="00127277"/>
    <w:rsid w:val="001272CB"/>
    <w:rsid w:val="001272CE"/>
    <w:rsid w:val="00127362"/>
    <w:rsid w:val="0012775F"/>
    <w:rsid w:val="00127862"/>
    <w:rsid w:val="00127AFA"/>
    <w:rsid w:val="00127B8A"/>
    <w:rsid w:val="00127BF6"/>
    <w:rsid w:val="00127CD3"/>
    <w:rsid w:val="0013003A"/>
    <w:rsid w:val="001300A0"/>
    <w:rsid w:val="001300FD"/>
    <w:rsid w:val="0013023A"/>
    <w:rsid w:val="001303D3"/>
    <w:rsid w:val="001304F7"/>
    <w:rsid w:val="00130586"/>
    <w:rsid w:val="00130681"/>
    <w:rsid w:val="00130871"/>
    <w:rsid w:val="00130951"/>
    <w:rsid w:val="00130C14"/>
    <w:rsid w:val="00130D93"/>
    <w:rsid w:val="00130E53"/>
    <w:rsid w:val="00130F4E"/>
    <w:rsid w:val="00131088"/>
    <w:rsid w:val="00131096"/>
    <w:rsid w:val="001310C5"/>
    <w:rsid w:val="00131433"/>
    <w:rsid w:val="001315A2"/>
    <w:rsid w:val="001315CC"/>
    <w:rsid w:val="0013164B"/>
    <w:rsid w:val="0013173B"/>
    <w:rsid w:val="00131B99"/>
    <w:rsid w:val="00131E23"/>
    <w:rsid w:val="0013231A"/>
    <w:rsid w:val="001323B8"/>
    <w:rsid w:val="0013258A"/>
    <w:rsid w:val="001325FF"/>
    <w:rsid w:val="00132863"/>
    <w:rsid w:val="001329A7"/>
    <w:rsid w:val="00132A04"/>
    <w:rsid w:val="00132BEE"/>
    <w:rsid w:val="00132E1E"/>
    <w:rsid w:val="00132EA6"/>
    <w:rsid w:val="00133077"/>
    <w:rsid w:val="001330D2"/>
    <w:rsid w:val="001330F2"/>
    <w:rsid w:val="001332B9"/>
    <w:rsid w:val="001336EF"/>
    <w:rsid w:val="00133856"/>
    <w:rsid w:val="001339F4"/>
    <w:rsid w:val="00133A89"/>
    <w:rsid w:val="00133C02"/>
    <w:rsid w:val="00133C7F"/>
    <w:rsid w:val="001345AC"/>
    <w:rsid w:val="00134657"/>
    <w:rsid w:val="001346D0"/>
    <w:rsid w:val="0013493F"/>
    <w:rsid w:val="00134A8D"/>
    <w:rsid w:val="00134C2F"/>
    <w:rsid w:val="00134EBC"/>
    <w:rsid w:val="00134F70"/>
    <w:rsid w:val="00135044"/>
    <w:rsid w:val="0013566B"/>
    <w:rsid w:val="001356EC"/>
    <w:rsid w:val="001356EE"/>
    <w:rsid w:val="00135797"/>
    <w:rsid w:val="001357AB"/>
    <w:rsid w:val="001357E5"/>
    <w:rsid w:val="00135963"/>
    <w:rsid w:val="001359C1"/>
    <w:rsid w:val="00135A50"/>
    <w:rsid w:val="00135B67"/>
    <w:rsid w:val="00135C53"/>
    <w:rsid w:val="00135D33"/>
    <w:rsid w:val="00135DB1"/>
    <w:rsid w:val="001360FB"/>
    <w:rsid w:val="0013621E"/>
    <w:rsid w:val="0013647A"/>
    <w:rsid w:val="001369BF"/>
    <w:rsid w:val="00136E0E"/>
    <w:rsid w:val="00136E27"/>
    <w:rsid w:val="00136E55"/>
    <w:rsid w:val="00136E66"/>
    <w:rsid w:val="00136E72"/>
    <w:rsid w:val="0013704B"/>
    <w:rsid w:val="00137183"/>
    <w:rsid w:val="001374A7"/>
    <w:rsid w:val="00137571"/>
    <w:rsid w:val="001376D7"/>
    <w:rsid w:val="00137756"/>
    <w:rsid w:val="00137835"/>
    <w:rsid w:val="0013794B"/>
    <w:rsid w:val="00137B37"/>
    <w:rsid w:val="00137C21"/>
    <w:rsid w:val="00137C39"/>
    <w:rsid w:val="00137CAD"/>
    <w:rsid w:val="00137CD5"/>
    <w:rsid w:val="00137DC3"/>
    <w:rsid w:val="00137E7D"/>
    <w:rsid w:val="001403EE"/>
    <w:rsid w:val="00140657"/>
    <w:rsid w:val="001406B0"/>
    <w:rsid w:val="001406CB"/>
    <w:rsid w:val="0014072D"/>
    <w:rsid w:val="00140848"/>
    <w:rsid w:val="00140964"/>
    <w:rsid w:val="00140B45"/>
    <w:rsid w:val="00140BF9"/>
    <w:rsid w:val="00140D2E"/>
    <w:rsid w:val="00140DEE"/>
    <w:rsid w:val="001410CF"/>
    <w:rsid w:val="00141102"/>
    <w:rsid w:val="00141392"/>
    <w:rsid w:val="001415C7"/>
    <w:rsid w:val="00141744"/>
    <w:rsid w:val="00141818"/>
    <w:rsid w:val="0014181D"/>
    <w:rsid w:val="00141846"/>
    <w:rsid w:val="0014199C"/>
    <w:rsid w:val="00141A79"/>
    <w:rsid w:val="00141B0E"/>
    <w:rsid w:val="001421E9"/>
    <w:rsid w:val="001423D2"/>
    <w:rsid w:val="001424D3"/>
    <w:rsid w:val="00142522"/>
    <w:rsid w:val="0014254F"/>
    <w:rsid w:val="00142833"/>
    <w:rsid w:val="00142843"/>
    <w:rsid w:val="001428D2"/>
    <w:rsid w:val="00142BF2"/>
    <w:rsid w:val="00142E37"/>
    <w:rsid w:val="00142E77"/>
    <w:rsid w:val="00142EBC"/>
    <w:rsid w:val="00143203"/>
    <w:rsid w:val="001432C4"/>
    <w:rsid w:val="0014331B"/>
    <w:rsid w:val="001434BD"/>
    <w:rsid w:val="001435E5"/>
    <w:rsid w:val="0014370E"/>
    <w:rsid w:val="001437F3"/>
    <w:rsid w:val="00143AE4"/>
    <w:rsid w:val="00143BEA"/>
    <w:rsid w:val="00143C47"/>
    <w:rsid w:val="00143C84"/>
    <w:rsid w:val="00143CE1"/>
    <w:rsid w:val="00144006"/>
    <w:rsid w:val="00144043"/>
    <w:rsid w:val="00144145"/>
    <w:rsid w:val="00144397"/>
    <w:rsid w:val="00144685"/>
    <w:rsid w:val="001446B9"/>
    <w:rsid w:val="001446FE"/>
    <w:rsid w:val="00144838"/>
    <w:rsid w:val="00144B73"/>
    <w:rsid w:val="00144FF3"/>
    <w:rsid w:val="00145021"/>
    <w:rsid w:val="0014517E"/>
    <w:rsid w:val="001452B8"/>
    <w:rsid w:val="0014543A"/>
    <w:rsid w:val="00145806"/>
    <w:rsid w:val="00145940"/>
    <w:rsid w:val="00145B36"/>
    <w:rsid w:val="00145B86"/>
    <w:rsid w:val="00145D10"/>
    <w:rsid w:val="00145EE4"/>
    <w:rsid w:val="00146106"/>
    <w:rsid w:val="001462AC"/>
    <w:rsid w:val="00146349"/>
    <w:rsid w:val="00146481"/>
    <w:rsid w:val="0014648D"/>
    <w:rsid w:val="0014656B"/>
    <w:rsid w:val="00146577"/>
    <w:rsid w:val="00146653"/>
    <w:rsid w:val="00146726"/>
    <w:rsid w:val="00146888"/>
    <w:rsid w:val="0014694E"/>
    <w:rsid w:val="001469AD"/>
    <w:rsid w:val="00146C84"/>
    <w:rsid w:val="00146C92"/>
    <w:rsid w:val="00146CA7"/>
    <w:rsid w:val="00146F48"/>
    <w:rsid w:val="00147100"/>
    <w:rsid w:val="00147113"/>
    <w:rsid w:val="0014711F"/>
    <w:rsid w:val="0014713C"/>
    <w:rsid w:val="0014720A"/>
    <w:rsid w:val="00147335"/>
    <w:rsid w:val="0014774E"/>
    <w:rsid w:val="001478B7"/>
    <w:rsid w:val="00147A1E"/>
    <w:rsid w:val="00147AE3"/>
    <w:rsid w:val="00147D97"/>
    <w:rsid w:val="00147EF8"/>
    <w:rsid w:val="00150300"/>
    <w:rsid w:val="00150314"/>
    <w:rsid w:val="00150A63"/>
    <w:rsid w:val="00150A96"/>
    <w:rsid w:val="00150B3A"/>
    <w:rsid w:val="00150E29"/>
    <w:rsid w:val="00150E3C"/>
    <w:rsid w:val="00151062"/>
    <w:rsid w:val="001510B0"/>
    <w:rsid w:val="0015125F"/>
    <w:rsid w:val="00151265"/>
    <w:rsid w:val="001513B6"/>
    <w:rsid w:val="00151464"/>
    <w:rsid w:val="0015154C"/>
    <w:rsid w:val="00151572"/>
    <w:rsid w:val="00151DA0"/>
    <w:rsid w:val="00152015"/>
    <w:rsid w:val="00152183"/>
    <w:rsid w:val="00152212"/>
    <w:rsid w:val="001523FA"/>
    <w:rsid w:val="0015249F"/>
    <w:rsid w:val="001524A9"/>
    <w:rsid w:val="001524DF"/>
    <w:rsid w:val="00152581"/>
    <w:rsid w:val="00152796"/>
    <w:rsid w:val="00152822"/>
    <w:rsid w:val="00152D5B"/>
    <w:rsid w:val="00152F04"/>
    <w:rsid w:val="00152F26"/>
    <w:rsid w:val="00152FC6"/>
    <w:rsid w:val="00153378"/>
    <w:rsid w:val="00153506"/>
    <w:rsid w:val="001536F2"/>
    <w:rsid w:val="00153794"/>
    <w:rsid w:val="0015381B"/>
    <w:rsid w:val="001539A9"/>
    <w:rsid w:val="00153C91"/>
    <w:rsid w:val="00153CE6"/>
    <w:rsid w:val="00153CF9"/>
    <w:rsid w:val="00153E51"/>
    <w:rsid w:val="00153F14"/>
    <w:rsid w:val="00154322"/>
    <w:rsid w:val="0015449B"/>
    <w:rsid w:val="00154629"/>
    <w:rsid w:val="00154669"/>
    <w:rsid w:val="001548FD"/>
    <w:rsid w:val="0015493C"/>
    <w:rsid w:val="00154C9A"/>
    <w:rsid w:val="00154CBF"/>
    <w:rsid w:val="00154E20"/>
    <w:rsid w:val="001550EE"/>
    <w:rsid w:val="00155148"/>
    <w:rsid w:val="0015517E"/>
    <w:rsid w:val="0015537B"/>
    <w:rsid w:val="001556C3"/>
    <w:rsid w:val="001556E2"/>
    <w:rsid w:val="001556EC"/>
    <w:rsid w:val="001558BF"/>
    <w:rsid w:val="001559EB"/>
    <w:rsid w:val="00155B01"/>
    <w:rsid w:val="00155CB7"/>
    <w:rsid w:val="00155DA8"/>
    <w:rsid w:val="00155F01"/>
    <w:rsid w:val="0015617A"/>
    <w:rsid w:val="001564F8"/>
    <w:rsid w:val="00156709"/>
    <w:rsid w:val="001567CC"/>
    <w:rsid w:val="00156836"/>
    <w:rsid w:val="00156A41"/>
    <w:rsid w:val="00156BB6"/>
    <w:rsid w:val="00156CAF"/>
    <w:rsid w:val="00156D37"/>
    <w:rsid w:val="00156EF2"/>
    <w:rsid w:val="001570D9"/>
    <w:rsid w:val="001571EC"/>
    <w:rsid w:val="0015722D"/>
    <w:rsid w:val="0015726B"/>
    <w:rsid w:val="001575A2"/>
    <w:rsid w:val="00157669"/>
    <w:rsid w:val="001577EF"/>
    <w:rsid w:val="00157829"/>
    <w:rsid w:val="001578CC"/>
    <w:rsid w:val="00157BFE"/>
    <w:rsid w:val="00157D4A"/>
    <w:rsid w:val="00157E70"/>
    <w:rsid w:val="00157F0B"/>
    <w:rsid w:val="00157F24"/>
    <w:rsid w:val="001600BC"/>
    <w:rsid w:val="001601DC"/>
    <w:rsid w:val="00160212"/>
    <w:rsid w:val="0016034D"/>
    <w:rsid w:val="00160487"/>
    <w:rsid w:val="00160497"/>
    <w:rsid w:val="001605C4"/>
    <w:rsid w:val="0016065C"/>
    <w:rsid w:val="0016074E"/>
    <w:rsid w:val="00160761"/>
    <w:rsid w:val="001607D6"/>
    <w:rsid w:val="001608AA"/>
    <w:rsid w:val="00160943"/>
    <w:rsid w:val="00160A06"/>
    <w:rsid w:val="00160A5D"/>
    <w:rsid w:val="00160B37"/>
    <w:rsid w:val="00160BEB"/>
    <w:rsid w:val="00160D66"/>
    <w:rsid w:val="00160F5C"/>
    <w:rsid w:val="0016102D"/>
    <w:rsid w:val="00161155"/>
    <w:rsid w:val="0016116E"/>
    <w:rsid w:val="0016118F"/>
    <w:rsid w:val="001611CB"/>
    <w:rsid w:val="001611FD"/>
    <w:rsid w:val="00161335"/>
    <w:rsid w:val="0016154D"/>
    <w:rsid w:val="0016172B"/>
    <w:rsid w:val="00161A4C"/>
    <w:rsid w:val="00161BE9"/>
    <w:rsid w:val="00161C8B"/>
    <w:rsid w:val="00161CDD"/>
    <w:rsid w:val="00161F00"/>
    <w:rsid w:val="00161F53"/>
    <w:rsid w:val="001620E9"/>
    <w:rsid w:val="001620EC"/>
    <w:rsid w:val="0016224C"/>
    <w:rsid w:val="00162253"/>
    <w:rsid w:val="001622F4"/>
    <w:rsid w:val="00162633"/>
    <w:rsid w:val="00162688"/>
    <w:rsid w:val="00162768"/>
    <w:rsid w:val="001628EC"/>
    <w:rsid w:val="0016293C"/>
    <w:rsid w:val="00162967"/>
    <w:rsid w:val="00162A1F"/>
    <w:rsid w:val="00162B6B"/>
    <w:rsid w:val="00162BC9"/>
    <w:rsid w:val="00162C32"/>
    <w:rsid w:val="00162F06"/>
    <w:rsid w:val="00162FF4"/>
    <w:rsid w:val="0016305B"/>
    <w:rsid w:val="001631BD"/>
    <w:rsid w:val="001634C1"/>
    <w:rsid w:val="001636FA"/>
    <w:rsid w:val="00163741"/>
    <w:rsid w:val="001637D5"/>
    <w:rsid w:val="0016398B"/>
    <w:rsid w:val="00163DCA"/>
    <w:rsid w:val="00163E1F"/>
    <w:rsid w:val="00163F4D"/>
    <w:rsid w:val="001641C3"/>
    <w:rsid w:val="00164251"/>
    <w:rsid w:val="00164446"/>
    <w:rsid w:val="001646B7"/>
    <w:rsid w:val="001647A4"/>
    <w:rsid w:val="0016493D"/>
    <w:rsid w:val="00164942"/>
    <w:rsid w:val="0016496E"/>
    <w:rsid w:val="00164C43"/>
    <w:rsid w:val="00164D15"/>
    <w:rsid w:val="00164E21"/>
    <w:rsid w:val="00164E5B"/>
    <w:rsid w:val="00164F76"/>
    <w:rsid w:val="00165000"/>
    <w:rsid w:val="001651AE"/>
    <w:rsid w:val="00165357"/>
    <w:rsid w:val="001653B9"/>
    <w:rsid w:val="0016554B"/>
    <w:rsid w:val="00165555"/>
    <w:rsid w:val="0016564C"/>
    <w:rsid w:val="00165725"/>
    <w:rsid w:val="0016582D"/>
    <w:rsid w:val="00165833"/>
    <w:rsid w:val="0016589E"/>
    <w:rsid w:val="001658B1"/>
    <w:rsid w:val="00165CA6"/>
    <w:rsid w:val="00165E31"/>
    <w:rsid w:val="0016601C"/>
    <w:rsid w:val="001660EF"/>
    <w:rsid w:val="00166368"/>
    <w:rsid w:val="001663CD"/>
    <w:rsid w:val="0016645B"/>
    <w:rsid w:val="00166866"/>
    <w:rsid w:val="001669F1"/>
    <w:rsid w:val="00166A07"/>
    <w:rsid w:val="00166CBE"/>
    <w:rsid w:val="00166D45"/>
    <w:rsid w:val="00166DC3"/>
    <w:rsid w:val="00166DF8"/>
    <w:rsid w:val="00166E23"/>
    <w:rsid w:val="00166F5C"/>
    <w:rsid w:val="00167016"/>
    <w:rsid w:val="00167128"/>
    <w:rsid w:val="0016723F"/>
    <w:rsid w:val="00167332"/>
    <w:rsid w:val="001673DD"/>
    <w:rsid w:val="001678DC"/>
    <w:rsid w:val="00167A8D"/>
    <w:rsid w:val="00167BD1"/>
    <w:rsid w:val="00167D79"/>
    <w:rsid w:val="00167DDD"/>
    <w:rsid w:val="00167E02"/>
    <w:rsid w:val="001700A2"/>
    <w:rsid w:val="0017015F"/>
    <w:rsid w:val="001701C2"/>
    <w:rsid w:val="001701E3"/>
    <w:rsid w:val="00170617"/>
    <w:rsid w:val="001707AE"/>
    <w:rsid w:val="001707B3"/>
    <w:rsid w:val="001708C1"/>
    <w:rsid w:val="001708D9"/>
    <w:rsid w:val="001709B4"/>
    <w:rsid w:val="00170A02"/>
    <w:rsid w:val="00170A3D"/>
    <w:rsid w:val="00170B0A"/>
    <w:rsid w:val="00170BE5"/>
    <w:rsid w:val="00170D72"/>
    <w:rsid w:val="00170F01"/>
    <w:rsid w:val="00170FA6"/>
    <w:rsid w:val="00171074"/>
    <w:rsid w:val="00171193"/>
    <w:rsid w:val="001711E3"/>
    <w:rsid w:val="00171379"/>
    <w:rsid w:val="0017138F"/>
    <w:rsid w:val="001713AC"/>
    <w:rsid w:val="001713B2"/>
    <w:rsid w:val="00171445"/>
    <w:rsid w:val="001716ED"/>
    <w:rsid w:val="0017182A"/>
    <w:rsid w:val="001719B2"/>
    <w:rsid w:val="00171AE5"/>
    <w:rsid w:val="00171B9B"/>
    <w:rsid w:val="00171CAC"/>
    <w:rsid w:val="00171FDB"/>
    <w:rsid w:val="001721D1"/>
    <w:rsid w:val="00172256"/>
    <w:rsid w:val="001724C9"/>
    <w:rsid w:val="0017270C"/>
    <w:rsid w:val="001727FB"/>
    <w:rsid w:val="00172891"/>
    <w:rsid w:val="00172A0D"/>
    <w:rsid w:val="00172B00"/>
    <w:rsid w:val="00172C5E"/>
    <w:rsid w:val="00172D98"/>
    <w:rsid w:val="00173441"/>
    <w:rsid w:val="001735A7"/>
    <w:rsid w:val="00173626"/>
    <w:rsid w:val="00173780"/>
    <w:rsid w:val="00173984"/>
    <w:rsid w:val="00173B77"/>
    <w:rsid w:val="00173B7B"/>
    <w:rsid w:val="00173B94"/>
    <w:rsid w:val="00173BF0"/>
    <w:rsid w:val="00173FA4"/>
    <w:rsid w:val="0017422E"/>
    <w:rsid w:val="00174918"/>
    <w:rsid w:val="00174CD6"/>
    <w:rsid w:val="00174D1E"/>
    <w:rsid w:val="00174E70"/>
    <w:rsid w:val="00174F8A"/>
    <w:rsid w:val="001753DA"/>
    <w:rsid w:val="001754DD"/>
    <w:rsid w:val="00175616"/>
    <w:rsid w:val="0017564E"/>
    <w:rsid w:val="00175651"/>
    <w:rsid w:val="0017572A"/>
    <w:rsid w:val="001758CF"/>
    <w:rsid w:val="00175C0A"/>
    <w:rsid w:val="00175CFD"/>
    <w:rsid w:val="00175DB6"/>
    <w:rsid w:val="00175EC9"/>
    <w:rsid w:val="00175ED9"/>
    <w:rsid w:val="00175F64"/>
    <w:rsid w:val="00175FC8"/>
    <w:rsid w:val="00176034"/>
    <w:rsid w:val="00176111"/>
    <w:rsid w:val="00176160"/>
    <w:rsid w:val="00176389"/>
    <w:rsid w:val="001767E1"/>
    <w:rsid w:val="00176841"/>
    <w:rsid w:val="001768A2"/>
    <w:rsid w:val="00176912"/>
    <w:rsid w:val="0017698A"/>
    <w:rsid w:val="00176AB3"/>
    <w:rsid w:val="00176B23"/>
    <w:rsid w:val="00176BF9"/>
    <w:rsid w:val="00176C3F"/>
    <w:rsid w:val="00176E51"/>
    <w:rsid w:val="00176F4B"/>
    <w:rsid w:val="0017704E"/>
    <w:rsid w:val="00177090"/>
    <w:rsid w:val="001775A3"/>
    <w:rsid w:val="001775BD"/>
    <w:rsid w:val="00177949"/>
    <w:rsid w:val="00177957"/>
    <w:rsid w:val="00177A9B"/>
    <w:rsid w:val="00177AE7"/>
    <w:rsid w:val="00177C1B"/>
    <w:rsid w:val="00177D1C"/>
    <w:rsid w:val="00177F99"/>
    <w:rsid w:val="001802D0"/>
    <w:rsid w:val="00180379"/>
    <w:rsid w:val="001806E9"/>
    <w:rsid w:val="001807E6"/>
    <w:rsid w:val="001808D2"/>
    <w:rsid w:val="00180959"/>
    <w:rsid w:val="001809B1"/>
    <w:rsid w:val="00180B8D"/>
    <w:rsid w:val="00180EC7"/>
    <w:rsid w:val="00180EE0"/>
    <w:rsid w:val="00181044"/>
    <w:rsid w:val="001812EC"/>
    <w:rsid w:val="001813C1"/>
    <w:rsid w:val="001813D0"/>
    <w:rsid w:val="001816A0"/>
    <w:rsid w:val="0018191C"/>
    <w:rsid w:val="001819EF"/>
    <w:rsid w:val="001819F9"/>
    <w:rsid w:val="00181A22"/>
    <w:rsid w:val="00181A25"/>
    <w:rsid w:val="00181A66"/>
    <w:rsid w:val="00181D0E"/>
    <w:rsid w:val="00181D79"/>
    <w:rsid w:val="00181E86"/>
    <w:rsid w:val="00181ECA"/>
    <w:rsid w:val="00181F11"/>
    <w:rsid w:val="0018204F"/>
    <w:rsid w:val="00182147"/>
    <w:rsid w:val="0018228A"/>
    <w:rsid w:val="001822D6"/>
    <w:rsid w:val="001823F3"/>
    <w:rsid w:val="001825F8"/>
    <w:rsid w:val="0018268A"/>
    <w:rsid w:val="0018272B"/>
    <w:rsid w:val="0018273A"/>
    <w:rsid w:val="0018274A"/>
    <w:rsid w:val="001827E7"/>
    <w:rsid w:val="00182837"/>
    <w:rsid w:val="00182864"/>
    <w:rsid w:val="00182929"/>
    <w:rsid w:val="001829AE"/>
    <w:rsid w:val="00182B49"/>
    <w:rsid w:val="00182C73"/>
    <w:rsid w:val="00182D8A"/>
    <w:rsid w:val="00182D94"/>
    <w:rsid w:val="00182DD0"/>
    <w:rsid w:val="00182F60"/>
    <w:rsid w:val="0018303D"/>
    <w:rsid w:val="00183320"/>
    <w:rsid w:val="001833F6"/>
    <w:rsid w:val="00183505"/>
    <w:rsid w:val="00183796"/>
    <w:rsid w:val="001837AE"/>
    <w:rsid w:val="001837D0"/>
    <w:rsid w:val="00183B93"/>
    <w:rsid w:val="00183DF4"/>
    <w:rsid w:val="00183E4C"/>
    <w:rsid w:val="00184012"/>
    <w:rsid w:val="00184048"/>
    <w:rsid w:val="00184573"/>
    <w:rsid w:val="001846C3"/>
    <w:rsid w:val="00184703"/>
    <w:rsid w:val="00184860"/>
    <w:rsid w:val="001849AC"/>
    <w:rsid w:val="001849EB"/>
    <w:rsid w:val="00184A7F"/>
    <w:rsid w:val="00184A9E"/>
    <w:rsid w:val="00184BA2"/>
    <w:rsid w:val="00184EC3"/>
    <w:rsid w:val="00184F8F"/>
    <w:rsid w:val="00185006"/>
    <w:rsid w:val="00185234"/>
    <w:rsid w:val="0018529F"/>
    <w:rsid w:val="00185488"/>
    <w:rsid w:val="001856C6"/>
    <w:rsid w:val="001858F1"/>
    <w:rsid w:val="00185A2A"/>
    <w:rsid w:val="00185AC5"/>
    <w:rsid w:val="00185AE1"/>
    <w:rsid w:val="00185AF2"/>
    <w:rsid w:val="00185B3C"/>
    <w:rsid w:val="00185B40"/>
    <w:rsid w:val="00185D3C"/>
    <w:rsid w:val="00185D85"/>
    <w:rsid w:val="00185F68"/>
    <w:rsid w:val="0018605F"/>
    <w:rsid w:val="001861DC"/>
    <w:rsid w:val="00186208"/>
    <w:rsid w:val="00186387"/>
    <w:rsid w:val="00186539"/>
    <w:rsid w:val="001865EB"/>
    <w:rsid w:val="00186618"/>
    <w:rsid w:val="00186918"/>
    <w:rsid w:val="00186A99"/>
    <w:rsid w:val="00186ABC"/>
    <w:rsid w:val="00186B44"/>
    <w:rsid w:val="00186B7F"/>
    <w:rsid w:val="00186D00"/>
    <w:rsid w:val="00186E09"/>
    <w:rsid w:val="00186FEC"/>
    <w:rsid w:val="00187256"/>
    <w:rsid w:val="0018751F"/>
    <w:rsid w:val="00187575"/>
    <w:rsid w:val="00187586"/>
    <w:rsid w:val="00187824"/>
    <w:rsid w:val="00187886"/>
    <w:rsid w:val="001878D5"/>
    <w:rsid w:val="00187C47"/>
    <w:rsid w:val="00187D33"/>
    <w:rsid w:val="00187D6C"/>
    <w:rsid w:val="00187EC2"/>
    <w:rsid w:val="00190211"/>
    <w:rsid w:val="00190238"/>
    <w:rsid w:val="00190332"/>
    <w:rsid w:val="001903B8"/>
    <w:rsid w:val="00190462"/>
    <w:rsid w:val="00190790"/>
    <w:rsid w:val="0019087E"/>
    <w:rsid w:val="001908A3"/>
    <w:rsid w:val="00190946"/>
    <w:rsid w:val="00190A9B"/>
    <w:rsid w:val="00190B7E"/>
    <w:rsid w:val="00190BDD"/>
    <w:rsid w:val="00190C40"/>
    <w:rsid w:val="00190E15"/>
    <w:rsid w:val="00190E9E"/>
    <w:rsid w:val="001911C2"/>
    <w:rsid w:val="00191291"/>
    <w:rsid w:val="00191376"/>
    <w:rsid w:val="00191391"/>
    <w:rsid w:val="00191575"/>
    <w:rsid w:val="001916EA"/>
    <w:rsid w:val="001918C3"/>
    <w:rsid w:val="00191A8B"/>
    <w:rsid w:val="00191B9E"/>
    <w:rsid w:val="00191C54"/>
    <w:rsid w:val="00191D50"/>
    <w:rsid w:val="00191EF2"/>
    <w:rsid w:val="00191F71"/>
    <w:rsid w:val="00192312"/>
    <w:rsid w:val="00192356"/>
    <w:rsid w:val="00192489"/>
    <w:rsid w:val="0019253E"/>
    <w:rsid w:val="00192639"/>
    <w:rsid w:val="00192735"/>
    <w:rsid w:val="001928AA"/>
    <w:rsid w:val="001928D3"/>
    <w:rsid w:val="00192972"/>
    <w:rsid w:val="00192A8C"/>
    <w:rsid w:val="00192CE0"/>
    <w:rsid w:val="00192CFA"/>
    <w:rsid w:val="00192D1D"/>
    <w:rsid w:val="00192EFB"/>
    <w:rsid w:val="00192F14"/>
    <w:rsid w:val="00193024"/>
    <w:rsid w:val="00193172"/>
    <w:rsid w:val="00193212"/>
    <w:rsid w:val="00193256"/>
    <w:rsid w:val="001932B6"/>
    <w:rsid w:val="0019373A"/>
    <w:rsid w:val="00193754"/>
    <w:rsid w:val="00193781"/>
    <w:rsid w:val="001937C9"/>
    <w:rsid w:val="00193881"/>
    <w:rsid w:val="00193922"/>
    <w:rsid w:val="00193999"/>
    <w:rsid w:val="00193AF1"/>
    <w:rsid w:val="00193E24"/>
    <w:rsid w:val="00193FD7"/>
    <w:rsid w:val="00193FDE"/>
    <w:rsid w:val="0019407D"/>
    <w:rsid w:val="001941CF"/>
    <w:rsid w:val="00194260"/>
    <w:rsid w:val="00194351"/>
    <w:rsid w:val="00194495"/>
    <w:rsid w:val="001945A9"/>
    <w:rsid w:val="0019460D"/>
    <w:rsid w:val="001946E7"/>
    <w:rsid w:val="001946FD"/>
    <w:rsid w:val="00194715"/>
    <w:rsid w:val="001948A6"/>
    <w:rsid w:val="00194BF9"/>
    <w:rsid w:val="00194D36"/>
    <w:rsid w:val="001950B5"/>
    <w:rsid w:val="0019510D"/>
    <w:rsid w:val="0019514A"/>
    <w:rsid w:val="00195194"/>
    <w:rsid w:val="001954FB"/>
    <w:rsid w:val="001958C6"/>
    <w:rsid w:val="00195937"/>
    <w:rsid w:val="00195A69"/>
    <w:rsid w:val="00195ADE"/>
    <w:rsid w:val="00195B1C"/>
    <w:rsid w:val="00195C0E"/>
    <w:rsid w:val="00195E0F"/>
    <w:rsid w:val="0019610F"/>
    <w:rsid w:val="0019617A"/>
    <w:rsid w:val="00196256"/>
    <w:rsid w:val="00196273"/>
    <w:rsid w:val="00196547"/>
    <w:rsid w:val="001965A6"/>
    <w:rsid w:val="001967CB"/>
    <w:rsid w:val="001968FD"/>
    <w:rsid w:val="0019698C"/>
    <w:rsid w:val="00196A69"/>
    <w:rsid w:val="00196B89"/>
    <w:rsid w:val="00196D73"/>
    <w:rsid w:val="00196F37"/>
    <w:rsid w:val="001970E3"/>
    <w:rsid w:val="001971D4"/>
    <w:rsid w:val="001972D3"/>
    <w:rsid w:val="0019741E"/>
    <w:rsid w:val="001975FC"/>
    <w:rsid w:val="001976E5"/>
    <w:rsid w:val="00197882"/>
    <w:rsid w:val="001978BD"/>
    <w:rsid w:val="001978DF"/>
    <w:rsid w:val="00197A06"/>
    <w:rsid w:val="00197A9B"/>
    <w:rsid w:val="00197D80"/>
    <w:rsid w:val="001A052B"/>
    <w:rsid w:val="001A0612"/>
    <w:rsid w:val="001A0A06"/>
    <w:rsid w:val="001A0B21"/>
    <w:rsid w:val="001A0C13"/>
    <w:rsid w:val="001A112D"/>
    <w:rsid w:val="001A1131"/>
    <w:rsid w:val="001A1235"/>
    <w:rsid w:val="001A1351"/>
    <w:rsid w:val="001A144B"/>
    <w:rsid w:val="001A1548"/>
    <w:rsid w:val="001A17DF"/>
    <w:rsid w:val="001A1A1E"/>
    <w:rsid w:val="001A1B90"/>
    <w:rsid w:val="001A1BD3"/>
    <w:rsid w:val="001A1CCB"/>
    <w:rsid w:val="001A1D09"/>
    <w:rsid w:val="001A1F43"/>
    <w:rsid w:val="001A1F69"/>
    <w:rsid w:val="001A1F82"/>
    <w:rsid w:val="001A2041"/>
    <w:rsid w:val="001A20C2"/>
    <w:rsid w:val="001A2134"/>
    <w:rsid w:val="001A2744"/>
    <w:rsid w:val="001A275F"/>
    <w:rsid w:val="001A2A33"/>
    <w:rsid w:val="001A2BDA"/>
    <w:rsid w:val="001A2BE5"/>
    <w:rsid w:val="001A2E3D"/>
    <w:rsid w:val="001A2F5A"/>
    <w:rsid w:val="001A2F85"/>
    <w:rsid w:val="001A3612"/>
    <w:rsid w:val="001A3695"/>
    <w:rsid w:val="001A3883"/>
    <w:rsid w:val="001A3A3C"/>
    <w:rsid w:val="001A3BA6"/>
    <w:rsid w:val="001A3CDE"/>
    <w:rsid w:val="001A3CE4"/>
    <w:rsid w:val="001A3D4C"/>
    <w:rsid w:val="001A4134"/>
    <w:rsid w:val="001A4223"/>
    <w:rsid w:val="001A4309"/>
    <w:rsid w:val="001A4676"/>
    <w:rsid w:val="001A4722"/>
    <w:rsid w:val="001A4AC8"/>
    <w:rsid w:val="001A4C76"/>
    <w:rsid w:val="001A4D29"/>
    <w:rsid w:val="001A4DAE"/>
    <w:rsid w:val="001A4DB7"/>
    <w:rsid w:val="001A4EB5"/>
    <w:rsid w:val="001A4EE7"/>
    <w:rsid w:val="001A4F06"/>
    <w:rsid w:val="001A4FDC"/>
    <w:rsid w:val="001A511F"/>
    <w:rsid w:val="001A51CE"/>
    <w:rsid w:val="001A51D4"/>
    <w:rsid w:val="001A521B"/>
    <w:rsid w:val="001A52AD"/>
    <w:rsid w:val="001A52F3"/>
    <w:rsid w:val="001A53A3"/>
    <w:rsid w:val="001A54B0"/>
    <w:rsid w:val="001A551F"/>
    <w:rsid w:val="001A55D4"/>
    <w:rsid w:val="001A5761"/>
    <w:rsid w:val="001A579B"/>
    <w:rsid w:val="001A5968"/>
    <w:rsid w:val="001A5FA2"/>
    <w:rsid w:val="001A608E"/>
    <w:rsid w:val="001A616A"/>
    <w:rsid w:val="001A61B5"/>
    <w:rsid w:val="001A61B9"/>
    <w:rsid w:val="001A62AE"/>
    <w:rsid w:val="001A62C9"/>
    <w:rsid w:val="001A6360"/>
    <w:rsid w:val="001A63AE"/>
    <w:rsid w:val="001A63F6"/>
    <w:rsid w:val="001A6701"/>
    <w:rsid w:val="001A68AD"/>
    <w:rsid w:val="001A69CC"/>
    <w:rsid w:val="001A6A15"/>
    <w:rsid w:val="001A6A8F"/>
    <w:rsid w:val="001A6AEE"/>
    <w:rsid w:val="001A6D7A"/>
    <w:rsid w:val="001A6DC4"/>
    <w:rsid w:val="001A6E14"/>
    <w:rsid w:val="001A6E5C"/>
    <w:rsid w:val="001A6EAF"/>
    <w:rsid w:val="001A72C0"/>
    <w:rsid w:val="001A745E"/>
    <w:rsid w:val="001A7496"/>
    <w:rsid w:val="001A766B"/>
    <w:rsid w:val="001A77D9"/>
    <w:rsid w:val="001A78D7"/>
    <w:rsid w:val="001A7CA8"/>
    <w:rsid w:val="001A7E83"/>
    <w:rsid w:val="001B01E2"/>
    <w:rsid w:val="001B0281"/>
    <w:rsid w:val="001B02D6"/>
    <w:rsid w:val="001B06AA"/>
    <w:rsid w:val="001B073C"/>
    <w:rsid w:val="001B078D"/>
    <w:rsid w:val="001B0864"/>
    <w:rsid w:val="001B0866"/>
    <w:rsid w:val="001B0867"/>
    <w:rsid w:val="001B0914"/>
    <w:rsid w:val="001B0B81"/>
    <w:rsid w:val="001B0C88"/>
    <w:rsid w:val="001B0CF7"/>
    <w:rsid w:val="001B0D1B"/>
    <w:rsid w:val="001B0E19"/>
    <w:rsid w:val="001B0EC6"/>
    <w:rsid w:val="001B1201"/>
    <w:rsid w:val="001B1259"/>
    <w:rsid w:val="001B137E"/>
    <w:rsid w:val="001B1AB0"/>
    <w:rsid w:val="001B1CAA"/>
    <w:rsid w:val="001B1EF5"/>
    <w:rsid w:val="001B1EFA"/>
    <w:rsid w:val="001B21ED"/>
    <w:rsid w:val="001B245E"/>
    <w:rsid w:val="001B248B"/>
    <w:rsid w:val="001B263D"/>
    <w:rsid w:val="001B29EE"/>
    <w:rsid w:val="001B2A8E"/>
    <w:rsid w:val="001B2AF2"/>
    <w:rsid w:val="001B2C3F"/>
    <w:rsid w:val="001B2C64"/>
    <w:rsid w:val="001B2E29"/>
    <w:rsid w:val="001B2EB0"/>
    <w:rsid w:val="001B30BA"/>
    <w:rsid w:val="001B33AA"/>
    <w:rsid w:val="001B3411"/>
    <w:rsid w:val="001B3808"/>
    <w:rsid w:val="001B38A4"/>
    <w:rsid w:val="001B38CC"/>
    <w:rsid w:val="001B3AEC"/>
    <w:rsid w:val="001B3C08"/>
    <w:rsid w:val="001B3D0D"/>
    <w:rsid w:val="001B3ED0"/>
    <w:rsid w:val="001B4159"/>
    <w:rsid w:val="001B42B3"/>
    <w:rsid w:val="001B4413"/>
    <w:rsid w:val="001B445C"/>
    <w:rsid w:val="001B44A0"/>
    <w:rsid w:val="001B4531"/>
    <w:rsid w:val="001B479A"/>
    <w:rsid w:val="001B47BF"/>
    <w:rsid w:val="001B4A54"/>
    <w:rsid w:val="001B4A97"/>
    <w:rsid w:val="001B4C80"/>
    <w:rsid w:val="001B4CC5"/>
    <w:rsid w:val="001B4F50"/>
    <w:rsid w:val="001B51E6"/>
    <w:rsid w:val="001B5204"/>
    <w:rsid w:val="001B5228"/>
    <w:rsid w:val="001B528B"/>
    <w:rsid w:val="001B560C"/>
    <w:rsid w:val="001B56EC"/>
    <w:rsid w:val="001B5733"/>
    <w:rsid w:val="001B5874"/>
    <w:rsid w:val="001B58EC"/>
    <w:rsid w:val="001B5B20"/>
    <w:rsid w:val="001B5B21"/>
    <w:rsid w:val="001B5C41"/>
    <w:rsid w:val="001B5C6E"/>
    <w:rsid w:val="001B5C9A"/>
    <w:rsid w:val="001B5E09"/>
    <w:rsid w:val="001B5F18"/>
    <w:rsid w:val="001B60BB"/>
    <w:rsid w:val="001B6220"/>
    <w:rsid w:val="001B6348"/>
    <w:rsid w:val="001B6798"/>
    <w:rsid w:val="001B6808"/>
    <w:rsid w:val="001B6813"/>
    <w:rsid w:val="001B690C"/>
    <w:rsid w:val="001B69B0"/>
    <w:rsid w:val="001B6A31"/>
    <w:rsid w:val="001B72DF"/>
    <w:rsid w:val="001B7499"/>
    <w:rsid w:val="001B74EB"/>
    <w:rsid w:val="001B7678"/>
    <w:rsid w:val="001B778E"/>
    <w:rsid w:val="001B794F"/>
    <w:rsid w:val="001B7A6D"/>
    <w:rsid w:val="001B7B08"/>
    <w:rsid w:val="001B7B0E"/>
    <w:rsid w:val="001B7B43"/>
    <w:rsid w:val="001B7B51"/>
    <w:rsid w:val="001B7BE2"/>
    <w:rsid w:val="001B7C3B"/>
    <w:rsid w:val="001B7C73"/>
    <w:rsid w:val="001B7CF9"/>
    <w:rsid w:val="001B7D63"/>
    <w:rsid w:val="001B7F32"/>
    <w:rsid w:val="001B7F35"/>
    <w:rsid w:val="001C0305"/>
    <w:rsid w:val="001C04A5"/>
    <w:rsid w:val="001C056A"/>
    <w:rsid w:val="001C0B0D"/>
    <w:rsid w:val="001C0B81"/>
    <w:rsid w:val="001C0B97"/>
    <w:rsid w:val="001C0C0A"/>
    <w:rsid w:val="001C0CEB"/>
    <w:rsid w:val="001C0DC0"/>
    <w:rsid w:val="001C1289"/>
    <w:rsid w:val="001C159E"/>
    <w:rsid w:val="001C15E5"/>
    <w:rsid w:val="001C1806"/>
    <w:rsid w:val="001C1871"/>
    <w:rsid w:val="001C1A32"/>
    <w:rsid w:val="001C1B51"/>
    <w:rsid w:val="001C1BB0"/>
    <w:rsid w:val="001C1EE8"/>
    <w:rsid w:val="001C213C"/>
    <w:rsid w:val="001C21BE"/>
    <w:rsid w:val="001C21C9"/>
    <w:rsid w:val="001C22A3"/>
    <w:rsid w:val="001C235F"/>
    <w:rsid w:val="001C24BF"/>
    <w:rsid w:val="001C24E9"/>
    <w:rsid w:val="001C2508"/>
    <w:rsid w:val="001C2601"/>
    <w:rsid w:val="001C263E"/>
    <w:rsid w:val="001C2915"/>
    <w:rsid w:val="001C2CAD"/>
    <w:rsid w:val="001C2CB1"/>
    <w:rsid w:val="001C2F29"/>
    <w:rsid w:val="001C3171"/>
    <w:rsid w:val="001C31F3"/>
    <w:rsid w:val="001C35D2"/>
    <w:rsid w:val="001C3830"/>
    <w:rsid w:val="001C3E24"/>
    <w:rsid w:val="001C3F19"/>
    <w:rsid w:val="001C3F25"/>
    <w:rsid w:val="001C4426"/>
    <w:rsid w:val="001C44EE"/>
    <w:rsid w:val="001C47F9"/>
    <w:rsid w:val="001C47FB"/>
    <w:rsid w:val="001C4856"/>
    <w:rsid w:val="001C489B"/>
    <w:rsid w:val="001C4976"/>
    <w:rsid w:val="001C4A5F"/>
    <w:rsid w:val="001C4AEB"/>
    <w:rsid w:val="001C4BA2"/>
    <w:rsid w:val="001C4F96"/>
    <w:rsid w:val="001C51FF"/>
    <w:rsid w:val="001C5210"/>
    <w:rsid w:val="001C52DC"/>
    <w:rsid w:val="001C52F4"/>
    <w:rsid w:val="001C569C"/>
    <w:rsid w:val="001C58A9"/>
    <w:rsid w:val="001C5A8F"/>
    <w:rsid w:val="001C5B22"/>
    <w:rsid w:val="001C5C02"/>
    <w:rsid w:val="001C5DDD"/>
    <w:rsid w:val="001C5DE6"/>
    <w:rsid w:val="001C6008"/>
    <w:rsid w:val="001C606E"/>
    <w:rsid w:val="001C6309"/>
    <w:rsid w:val="001C6373"/>
    <w:rsid w:val="001C63C1"/>
    <w:rsid w:val="001C640C"/>
    <w:rsid w:val="001C6539"/>
    <w:rsid w:val="001C66DC"/>
    <w:rsid w:val="001C673A"/>
    <w:rsid w:val="001C6860"/>
    <w:rsid w:val="001C6A62"/>
    <w:rsid w:val="001C6B33"/>
    <w:rsid w:val="001C6BF0"/>
    <w:rsid w:val="001C6CA4"/>
    <w:rsid w:val="001C6F0E"/>
    <w:rsid w:val="001C6FDE"/>
    <w:rsid w:val="001C70B4"/>
    <w:rsid w:val="001C71E2"/>
    <w:rsid w:val="001C71FC"/>
    <w:rsid w:val="001C75BD"/>
    <w:rsid w:val="001C7834"/>
    <w:rsid w:val="001C7884"/>
    <w:rsid w:val="001C78B9"/>
    <w:rsid w:val="001C7C30"/>
    <w:rsid w:val="001C7EAB"/>
    <w:rsid w:val="001C7F47"/>
    <w:rsid w:val="001D001B"/>
    <w:rsid w:val="001D006E"/>
    <w:rsid w:val="001D00A1"/>
    <w:rsid w:val="001D00D1"/>
    <w:rsid w:val="001D031C"/>
    <w:rsid w:val="001D03C6"/>
    <w:rsid w:val="001D0454"/>
    <w:rsid w:val="001D04A7"/>
    <w:rsid w:val="001D04C2"/>
    <w:rsid w:val="001D073E"/>
    <w:rsid w:val="001D09EB"/>
    <w:rsid w:val="001D0A07"/>
    <w:rsid w:val="001D0A71"/>
    <w:rsid w:val="001D0C5F"/>
    <w:rsid w:val="001D0C84"/>
    <w:rsid w:val="001D0F1C"/>
    <w:rsid w:val="001D0FCE"/>
    <w:rsid w:val="001D12F2"/>
    <w:rsid w:val="001D15EF"/>
    <w:rsid w:val="001D161C"/>
    <w:rsid w:val="001D16AA"/>
    <w:rsid w:val="001D16CC"/>
    <w:rsid w:val="001D1772"/>
    <w:rsid w:val="001D179A"/>
    <w:rsid w:val="001D1800"/>
    <w:rsid w:val="001D1813"/>
    <w:rsid w:val="001D1A7C"/>
    <w:rsid w:val="001D1BCA"/>
    <w:rsid w:val="001D1D3B"/>
    <w:rsid w:val="001D1F09"/>
    <w:rsid w:val="001D201F"/>
    <w:rsid w:val="001D205C"/>
    <w:rsid w:val="001D20AD"/>
    <w:rsid w:val="001D21C3"/>
    <w:rsid w:val="001D21D1"/>
    <w:rsid w:val="001D22D6"/>
    <w:rsid w:val="001D2326"/>
    <w:rsid w:val="001D2485"/>
    <w:rsid w:val="001D25F4"/>
    <w:rsid w:val="001D2652"/>
    <w:rsid w:val="001D2770"/>
    <w:rsid w:val="001D2803"/>
    <w:rsid w:val="001D2889"/>
    <w:rsid w:val="001D2C52"/>
    <w:rsid w:val="001D2CA4"/>
    <w:rsid w:val="001D2D0F"/>
    <w:rsid w:val="001D2D5E"/>
    <w:rsid w:val="001D2DF4"/>
    <w:rsid w:val="001D2E5B"/>
    <w:rsid w:val="001D2F4F"/>
    <w:rsid w:val="001D3036"/>
    <w:rsid w:val="001D30B1"/>
    <w:rsid w:val="001D3358"/>
    <w:rsid w:val="001D33BF"/>
    <w:rsid w:val="001D342A"/>
    <w:rsid w:val="001D3556"/>
    <w:rsid w:val="001D35DC"/>
    <w:rsid w:val="001D36A3"/>
    <w:rsid w:val="001D3888"/>
    <w:rsid w:val="001D390A"/>
    <w:rsid w:val="001D39D0"/>
    <w:rsid w:val="001D3A0C"/>
    <w:rsid w:val="001D3BA1"/>
    <w:rsid w:val="001D3C22"/>
    <w:rsid w:val="001D3CDF"/>
    <w:rsid w:val="001D3D6F"/>
    <w:rsid w:val="001D3DDA"/>
    <w:rsid w:val="001D3DEA"/>
    <w:rsid w:val="001D3E7D"/>
    <w:rsid w:val="001D3EF2"/>
    <w:rsid w:val="001D3F0B"/>
    <w:rsid w:val="001D3F13"/>
    <w:rsid w:val="001D420C"/>
    <w:rsid w:val="001D4323"/>
    <w:rsid w:val="001D43CC"/>
    <w:rsid w:val="001D4461"/>
    <w:rsid w:val="001D480E"/>
    <w:rsid w:val="001D483B"/>
    <w:rsid w:val="001D48E7"/>
    <w:rsid w:val="001D4B1C"/>
    <w:rsid w:val="001D4BAD"/>
    <w:rsid w:val="001D4FF0"/>
    <w:rsid w:val="001D5009"/>
    <w:rsid w:val="001D5039"/>
    <w:rsid w:val="001D504B"/>
    <w:rsid w:val="001D5250"/>
    <w:rsid w:val="001D5372"/>
    <w:rsid w:val="001D5446"/>
    <w:rsid w:val="001D546B"/>
    <w:rsid w:val="001D561C"/>
    <w:rsid w:val="001D580F"/>
    <w:rsid w:val="001D590B"/>
    <w:rsid w:val="001D5A74"/>
    <w:rsid w:val="001D5B09"/>
    <w:rsid w:val="001D5DA4"/>
    <w:rsid w:val="001D5FD7"/>
    <w:rsid w:val="001D60DA"/>
    <w:rsid w:val="001D630A"/>
    <w:rsid w:val="001D6486"/>
    <w:rsid w:val="001D65D9"/>
    <w:rsid w:val="001D693C"/>
    <w:rsid w:val="001D6971"/>
    <w:rsid w:val="001D6991"/>
    <w:rsid w:val="001D6A0D"/>
    <w:rsid w:val="001D6AA1"/>
    <w:rsid w:val="001D6BCF"/>
    <w:rsid w:val="001D6C8E"/>
    <w:rsid w:val="001D6E32"/>
    <w:rsid w:val="001D7131"/>
    <w:rsid w:val="001D719A"/>
    <w:rsid w:val="001D730C"/>
    <w:rsid w:val="001D7912"/>
    <w:rsid w:val="001D7A9A"/>
    <w:rsid w:val="001D7C77"/>
    <w:rsid w:val="001D7C98"/>
    <w:rsid w:val="001D7E12"/>
    <w:rsid w:val="001D7FF0"/>
    <w:rsid w:val="001E020B"/>
    <w:rsid w:val="001E02A6"/>
    <w:rsid w:val="001E0316"/>
    <w:rsid w:val="001E046A"/>
    <w:rsid w:val="001E04CB"/>
    <w:rsid w:val="001E053A"/>
    <w:rsid w:val="001E059D"/>
    <w:rsid w:val="001E0910"/>
    <w:rsid w:val="001E0941"/>
    <w:rsid w:val="001E0BD1"/>
    <w:rsid w:val="001E0BE9"/>
    <w:rsid w:val="001E0C49"/>
    <w:rsid w:val="001E0CBA"/>
    <w:rsid w:val="001E0D9B"/>
    <w:rsid w:val="001E0E3A"/>
    <w:rsid w:val="001E0FC0"/>
    <w:rsid w:val="001E1095"/>
    <w:rsid w:val="001E119A"/>
    <w:rsid w:val="001E11BD"/>
    <w:rsid w:val="001E130C"/>
    <w:rsid w:val="001E14E1"/>
    <w:rsid w:val="001E167C"/>
    <w:rsid w:val="001E19D1"/>
    <w:rsid w:val="001E19F8"/>
    <w:rsid w:val="001E1A38"/>
    <w:rsid w:val="001E1BFD"/>
    <w:rsid w:val="001E1F81"/>
    <w:rsid w:val="001E1FF1"/>
    <w:rsid w:val="001E2049"/>
    <w:rsid w:val="001E2116"/>
    <w:rsid w:val="001E219B"/>
    <w:rsid w:val="001E223B"/>
    <w:rsid w:val="001E24C7"/>
    <w:rsid w:val="001E2658"/>
    <w:rsid w:val="001E2714"/>
    <w:rsid w:val="001E2A2F"/>
    <w:rsid w:val="001E2A98"/>
    <w:rsid w:val="001E2AA1"/>
    <w:rsid w:val="001E2BCD"/>
    <w:rsid w:val="001E2BE2"/>
    <w:rsid w:val="001E2C30"/>
    <w:rsid w:val="001E2D3B"/>
    <w:rsid w:val="001E2D52"/>
    <w:rsid w:val="001E2E17"/>
    <w:rsid w:val="001E2F21"/>
    <w:rsid w:val="001E2F42"/>
    <w:rsid w:val="001E3151"/>
    <w:rsid w:val="001E356C"/>
    <w:rsid w:val="001E393C"/>
    <w:rsid w:val="001E3AA7"/>
    <w:rsid w:val="001E3B5B"/>
    <w:rsid w:val="001E3B7F"/>
    <w:rsid w:val="001E3C3E"/>
    <w:rsid w:val="001E3CDB"/>
    <w:rsid w:val="001E3CF5"/>
    <w:rsid w:val="001E3D5B"/>
    <w:rsid w:val="001E3E38"/>
    <w:rsid w:val="001E3ED0"/>
    <w:rsid w:val="001E3EDC"/>
    <w:rsid w:val="001E3F28"/>
    <w:rsid w:val="001E3FF2"/>
    <w:rsid w:val="001E404F"/>
    <w:rsid w:val="001E4185"/>
    <w:rsid w:val="001E4437"/>
    <w:rsid w:val="001E4447"/>
    <w:rsid w:val="001E4464"/>
    <w:rsid w:val="001E455B"/>
    <w:rsid w:val="001E45CC"/>
    <w:rsid w:val="001E46FE"/>
    <w:rsid w:val="001E49AB"/>
    <w:rsid w:val="001E4A30"/>
    <w:rsid w:val="001E4AC0"/>
    <w:rsid w:val="001E4BAE"/>
    <w:rsid w:val="001E4C9A"/>
    <w:rsid w:val="001E4D5C"/>
    <w:rsid w:val="001E4F47"/>
    <w:rsid w:val="001E5115"/>
    <w:rsid w:val="001E53BF"/>
    <w:rsid w:val="001E53F8"/>
    <w:rsid w:val="001E547F"/>
    <w:rsid w:val="001E54DD"/>
    <w:rsid w:val="001E55CB"/>
    <w:rsid w:val="001E55FD"/>
    <w:rsid w:val="001E576F"/>
    <w:rsid w:val="001E57CE"/>
    <w:rsid w:val="001E585C"/>
    <w:rsid w:val="001E5A68"/>
    <w:rsid w:val="001E5B2D"/>
    <w:rsid w:val="001E5FE6"/>
    <w:rsid w:val="001E619D"/>
    <w:rsid w:val="001E6502"/>
    <w:rsid w:val="001E654D"/>
    <w:rsid w:val="001E6557"/>
    <w:rsid w:val="001E65FC"/>
    <w:rsid w:val="001E6750"/>
    <w:rsid w:val="001E6834"/>
    <w:rsid w:val="001E6CD4"/>
    <w:rsid w:val="001E6FF9"/>
    <w:rsid w:val="001E76D6"/>
    <w:rsid w:val="001E76E8"/>
    <w:rsid w:val="001E76EB"/>
    <w:rsid w:val="001E7AA1"/>
    <w:rsid w:val="001E7ABE"/>
    <w:rsid w:val="001E7C18"/>
    <w:rsid w:val="001E7CBF"/>
    <w:rsid w:val="001E7CEA"/>
    <w:rsid w:val="001E7E42"/>
    <w:rsid w:val="001E7F9C"/>
    <w:rsid w:val="001F005D"/>
    <w:rsid w:val="001F00DB"/>
    <w:rsid w:val="001F01DD"/>
    <w:rsid w:val="001F02C3"/>
    <w:rsid w:val="001F0391"/>
    <w:rsid w:val="001F047C"/>
    <w:rsid w:val="001F07FE"/>
    <w:rsid w:val="001F0AD3"/>
    <w:rsid w:val="001F0B84"/>
    <w:rsid w:val="001F0D72"/>
    <w:rsid w:val="001F0E28"/>
    <w:rsid w:val="001F0F83"/>
    <w:rsid w:val="001F103F"/>
    <w:rsid w:val="001F1143"/>
    <w:rsid w:val="001F1255"/>
    <w:rsid w:val="001F1306"/>
    <w:rsid w:val="001F1307"/>
    <w:rsid w:val="001F1396"/>
    <w:rsid w:val="001F14E8"/>
    <w:rsid w:val="001F153B"/>
    <w:rsid w:val="001F1579"/>
    <w:rsid w:val="001F167A"/>
    <w:rsid w:val="001F17D9"/>
    <w:rsid w:val="001F1983"/>
    <w:rsid w:val="001F1ADA"/>
    <w:rsid w:val="001F1B22"/>
    <w:rsid w:val="001F1DA5"/>
    <w:rsid w:val="001F1E3B"/>
    <w:rsid w:val="001F215A"/>
    <w:rsid w:val="001F23DF"/>
    <w:rsid w:val="001F2538"/>
    <w:rsid w:val="001F2709"/>
    <w:rsid w:val="001F27C9"/>
    <w:rsid w:val="001F288A"/>
    <w:rsid w:val="001F28B1"/>
    <w:rsid w:val="001F290E"/>
    <w:rsid w:val="001F2990"/>
    <w:rsid w:val="001F2A60"/>
    <w:rsid w:val="001F2CBA"/>
    <w:rsid w:val="001F3087"/>
    <w:rsid w:val="001F30B8"/>
    <w:rsid w:val="001F336F"/>
    <w:rsid w:val="001F33DB"/>
    <w:rsid w:val="001F3536"/>
    <w:rsid w:val="001F357A"/>
    <w:rsid w:val="001F3599"/>
    <w:rsid w:val="001F35D4"/>
    <w:rsid w:val="001F3670"/>
    <w:rsid w:val="001F3671"/>
    <w:rsid w:val="001F37AF"/>
    <w:rsid w:val="001F383C"/>
    <w:rsid w:val="001F38A0"/>
    <w:rsid w:val="001F39DD"/>
    <w:rsid w:val="001F3B66"/>
    <w:rsid w:val="001F3B96"/>
    <w:rsid w:val="001F3B98"/>
    <w:rsid w:val="001F3C0C"/>
    <w:rsid w:val="001F3C14"/>
    <w:rsid w:val="001F3C60"/>
    <w:rsid w:val="001F3D02"/>
    <w:rsid w:val="001F3D17"/>
    <w:rsid w:val="001F3D44"/>
    <w:rsid w:val="001F3DAD"/>
    <w:rsid w:val="001F3E73"/>
    <w:rsid w:val="001F3EC3"/>
    <w:rsid w:val="001F3F01"/>
    <w:rsid w:val="001F4034"/>
    <w:rsid w:val="001F408F"/>
    <w:rsid w:val="001F4249"/>
    <w:rsid w:val="001F4256"/>
    <w:rsid w:val="001F431A"/>
    <w:rsid w:val="001F436B"/>
    <w:rsid w:val="001F438E"/>
    <w:rsid w:val="001F43D4"/>
    <w:rsid w:val="001F4437"/>
    <w:rsid w:val="001F4482"/>
    <w:rsid w:val="001F45B6"/>
    <w:rsid w:val="001F45D7"/>
    <w:rsid w:val="001F475E"/>
    <w:rsid w:val="001F47B2"/>
    <w:rsid w:val="001F4C4A"/>
    <w:rsid w:val="001F4C94"/>
    <w:rsid w:val="001F4CDF"/>
    <w:rsid w:val="001F4E22"/>
    <w:rsid w:val="001F4E34"/>
    <w:rsid w:val="001F5503"/>
    <w:rsid w:val="001F565A"/>
    <w:rsid w:val="001F56C0"/>
    <w:rsid w:val="001F579B"/>
    <w:rsid w:val="001F5A70"/>
    <w:rsid w:val="001F5AF9"/>
    <w:rsid w:val="001F5B07"/>
    <w:rsid w:val="001F5C6A"/>
    <w:rsid w:val="001F5D69"/>
    <w:rsid w:val="001F5D90"/>
    <w:rsid w:val="001F5E1D"/>
    <w:rsid w:val="001F5E76"/>
    <w:rsid w:val="001F5EEE"/>
    <w:rsid w:val="001F5F10"/>
    <w:rsid w:val="001F6022"/>
    <w:rsid w:val="001F6086"/>
    <w:rsid w:val="001F60DB"/>
    <w:rsid w:val="001F61FA"/>
    <w:rsid w:val="001F629F"/>
    <w:rsid w:val="001F64F6"/>
    <w:rsid w:val="001F64F7"/>
    <w:rsid w:val="001F650F"/>
    <w:rsid w:val="001F673C"/>
    <w:rsid w:val="001F676E"/>
    <w:rsid w:val="001F6833"/>
    <w:rsid w:val="001F68B8"/>
    <w:rsid w:val="001F6948"/>
    <w:rsid w:val="001F6A33"/>
    <w:rsid w:val="001F6B0F"/>
    <w:rsid w:val="001F6C46"/>
    <w:rsid w:val="001F6CAA"/>
    <w:rsid w:val="001F6D1E"/>
    <w:rsid w:val="001F6D26"/>
    <w:rsid w:val="001F6F7C"/>
    <w:rsid w:val="001F6FD1"/>
    <w:rsid w:val="001F70E4"/>
    <w:rsid w:val="001F713F"/>
    <w:rsid w:val="001F7300"/>
    <w:rsid w:val="001F751D"/>
    <w:rsid w:val="001F7627"/>
    <w:rsid w:val="001F7679"/>
    <w:rsid w:val="001F774B"/>
    <w:rsid w:val="001F78BC"/>
    <w:rsid w:val="001F79DD"/>
    <w:rsid w:val="001F7A65"/>
    <w:rsid w:val="001F7ABD"/>
    <w:rsid w:val="001F7B2F"/>
    <w:rsid w:val="001F7DBA"/>
    <w:rsid w:val="001F7DC0"/>
    <w:rsid w:val="001F7FDB"/>
    <w:rsid w:val="00200033"/>
    <w:rsid w:val="00200135"/>
    <w:rsid w:val="00200261"/>
    <w:rsid w:val="00200576"/>
    <w:rsid w:val="002006CD"/>
    <w:rsid w:val="00200772"/>
    <w:rsid w:val="00200DDF"/>
    <w:rsid w:val="00201115"/>
    <w:rsid w:val="00201170"/>
    <w:rsid w:val="00201172"/>
    <w:rsid w:val="00201662"/>
    <w:rsid w:val="00201844"/>
    <w:rsid w:val="00201954"/>
    <w:rsid w:val="00201AB8"/>
    <w:rsid w:val="00201D3E"/>
    <w:rsid w:val="00201E2B"/>
    <w:rsid w:val="00201E68"/>
    <w:rsid w:val="00202005"/>
    <w:rsid w:val="00202031"/>
    <w:rsid w:val="0020207C"/>
    <w:rsid w:val="00202118"/>
    <w:rsid w:val="002021C6"/>
    <w:rsid w:val="00202228"/>
    <w:rsid w:val="00202354"/>
    <w:rsid w:val="0020248F"/>
    <w:rsid w:val="002029B2"/>
    <w:rsid w:val="002029C9"/>
    <w:rsid w:val="00202A55"/>
    <w:rsid w:val="00202B82"/>
    <w:rsid w:val="00202FA8"/>
    <w:rsid w:val="0020322C"/>
    <w:rsid w:val="00203386"/>
    <w:rsid w:val="002033D0"/>
    <w:rsid w:val="002033E0"/>
    <w:rsid w:val="002033E8"/>
    <w:rsid w:val="0020349D"/>
    <w:rsid w:val="002034B4"/>
    <w:rsid w:val="00203513"/>
    <w:rsid w:val="0020359C"/>
    <w:rsid w:val="002035D0"/>
    <w:rsid w:val="002038EE"/>
    <w:rsid w:val="00203EC0"/>
    <w:rsid w:val="00203F42"/>
    <w:rsid w:val="002041F7"/>
    <w:rsid w:val="002042FE"/>
    <w:rsid w:val="002043D9"/>
    <w:rsid w:val="0020450B"/>
    <w:rsid w:val="00204763"/>
    <w:rsid w:val="00204773"/>
    <w:rsid w:val="002047C3"/>
    <w:rsid w:val="002048F1"/>
    <w:rsid w:val="0020491A"/>
    <w:rsid w:val="00204A3F"/>
    <w:rsid w:val="00204B98"/>
    <w:rsid w:val="00204C52"/>
    <w:rsid w:val="00204CA2"/>
    <w:rsid w:val="00204D9A"/>
    <w:rsid w:val="00204E3D"/>
    <w:rsid w:val="00204E59"/>
    <w:rsid w:val="00204EC5"/>
    <w:rsid w:val="00204F72"/>
    <w:rsid w:val="00205129"/>
    <w:rsid w:val="00205138"/>
    <w:rsid w:val="00205339"/>
    <w:rsid w:val="00205465"/>
    <w:rsid w:val="002054ED"/>
    <w:rsid w:val="002055CF"/>
    <w:rsid w:val="0020562D"/>
    <w:rsid w:val="002059EE"/>
    <w:rsid w:val="00205A51"/>
    <w:rsid w:val="00205AC4"/>
    <w:rsid w:val="00205AD0"/>
    <w:rsid w:val="00205C35"/>
    <w:rsid w:val="00205CD6"/>
    <w:rsid w:val="00205D04"/>
    <w:rsid w:val="00206377"/>
    <w:rsid w:val="00206409"/>
    <w:rsid w:val="002065BE"/>
    <w:rsid w:val="002067B8"/>
    <w:rsid w:val="00206843"/>
    <w:rsid w:val="00206968"/>
    <w:rsid w:val="00206A68"/>
    <w:rsid w:val="00206A98"/>
    <w:rsid w:val="00206AD3"/>
    <w:rsid w:val="00206B08"/>
    <w:rsid w:val="00206C25"/>
    <w:rsid w:val="00206D98"/>
    <w:rsid w:val="00206DF4"/>
    <w:rsid w:val="00206EAB"/>
    <w:rsid w:val="00206F99"/>
    <w:rsid w:val="00207109"/>
    <w:rsid w:val="00207228"/>
    <w:rsid w:val="0020723F"/>
    <w:rsid w:val="0020725E"/>
    <w:rsid w:val="00207375"/>
    <w:rsid w:val="002073A9"/>
    <w:rsid w:val="002073D8"/>
    <w:rsid w:val="002074D2"/>
    <w:rsid w:val="00207564"/>
    <w:rsid w:val="00207628"/>
    <w:rsid w:val="002076A8"/>
    <w:rsid w:val="0020787E"/>
    <w:rsid w:val="00207A72"/>
    <w:rsid w:val="00207AB5"/>
    <w:rsid w:val="00207B3A"/>
    <w:rsid w:val="00207B55"/>
    <w:rsid w:val="00207BFB"/>
    <w:rsid w:val="00207C04"/>
    <w:rsid w:val="00207C95"/>
    <w:rsid w:val="00207E39"/>
    <w:rsid w:val="00207E6F"/>
    <w:rsid w:val="00207EB2"/>
    <w:rsid w:val="00207F90"/>
    <w:rsid w:val="002100F9"/>
    <w:rsid w:val="002104EB"/>
    <w:rsid w:val="002105B2"/>
    <w:rsid w:val="002106E8"/>
    <w:rsid w:val="00210901"/>
    <w:rsid w:val="00210ABA"/>
    <w:rsid w:val="00210B06"/>
    <w:rsid w:val="00210D38"/>
    <w:rsid w:val="00210D3F"/>
    <w:rsid w:val="00210D6E"/>
    <w:rsid w:val="00210DA0"/>
    <w:rsid w:val="00210DAE"/>
    <w:rsid w:val="00210F73"/>
    <w:rsid w:val="0021103C"/>
    <w:rsid w:val="002110DD"/>
    <w:rsid w:val="002111AC"/>
    <w:rsid w:val="0021129E"/>
    <w:rsid w:val="00211310"/>
    <w:rsid w:val="002116B5"/>
    <w:rsid w:val="002116C5"/>
    <w:rsid w:val="00211884"/>
    <w:rsid w:val="00211AD7"/>
    <w:rsid w:val="00211C0D"/>
    <w:rsid w:val="0021203D"/>
    <w:rsid w:val="002120FB"/>
    <w:rsid w:val="002123B1"/>
    <w:rsid w:val="002123C7"/>
    <w:rsid w:val="002123CA"/>
    <w:rsid w:val="0021250C"/>
    <w:rsid w:val="0021260F"/>
    <w:rsid w:val="002126D4"/>
    <w:rsid w:val="002128D0"/>
    <w:rsid w:val="00212B62"/>
    <w:rsid w:val="00212C7D"/>
    <w:rsid w:val="00212EC1"/>
    <w:rsid w:val="0021311A"/>
    <w:rsid w:val="002131F9"/>
    <w:rsid w:val="00213355"/>
    <w:rsid w:val="002133C1"/>
    <w:rsid w:val="002133D7"/>
    <w:rsid w:val="0021342C"/>
    <w:rsid w:val="00213630"/>
    <w:rsid w:val="00213708"/>
    <w:rsid w:val="00213732"/>
    <w:rsid w:val="00213790"/>
    <w:rsid w:val="00213AE3"/>
    <w:rsid w:val="00213B71"/>
    <w:rsid w:val="00213BAE"/>
    <w:rsid w:val="00213E6B"/>
    <w:rsid w:val="00213FE0"/>
    <w:rsid w:val="00214017"/>
    <w:rsid w:val="002140E6"/>
    <w:rsid w:val="0021444A"/>
    <w:rsid w:val="00214499"/>
    <w:rsid w:val="00214577"/>
    <w:rsid w:val="002145BC"/>
    <w:rsid w:val="00214A39"/>
    <w:rsid w:val="00214ADA"/>
    <w:rsid w:val="00214B1D"/>
    <w:rsid w:val="00214C65"/>
    <w:rsid w:val="00214D61"/>
    <w:rsid w:val="00214D65"/>
    <w:rsid w:val="00214DA3"/>
    <w:rsid w:val="00214DAB"/>
    <w:rsid w:val="00214E5F"/>
    <w:rsid w:val="00214FE6"/>
    <w:rsid w:val="00215246"/>
    <w:rsid w:val="002153DA"/>
    <w:rsid w:val="00215643"/>
    <w:rsid w:val="00215775"/>
    <w:rsid w:val="002157EB"/>
    <w:rsid w:val="00215A4B"/>
    <w:rsid w:val="00215B30"/>
    <w:rsid w:val="00215BC1"/>
    <w:rsid w:val="00215D2D"/>
    <w:rsid w:val="00215F76"/>
    <w:rsid w:val="00215FD5"/>
    <w:rsid w:val="00216436"/>
    <w:rsid w:val="00216525"/>
    <w:rsid w:val="0021660C"/>
    <w:rsid w:val="00216869"/>
    <w:rsid w:val="00216907"/>
    <w:rsid w:val="002169EB"/>
    <w:rsid w:val="00216B7B"/>
    <w:rsid w:val="00216F9E"/>
    <w:rsid w:val="00217020"/>
    <w:rsid w:val="0021728F"/>
    <w:rsid w:val="002172D4"/>
    <w:rsid w:val="002173EF"/>
    <w:rsid w:val="0021743A"/>
    <w:rsid w:val="002174A5"/>
    <w:rsid w:val="00217619"/>
    <w:rsid w:val="002176A7"/>
    <w:rsid w:val="002177A1"/>
    <w:rsid w:val="00217872"/>
    <w:rsid w:val="00217BD5"/>
    <w:rsid w:val="00217D6C"/>
    <w:rsid w:val="00217DA3"/>
    <w:rsid w:val="00217E07"/>
    <w:rsid w:val="002200F0"/>
    <w:rsid w:val="00220195"/>
    <w:rsid w:val="00220511"/>
    <w:rsid w:val="0022054A"/>
    <w:rsid w:val="00220659"/>
    <w:rsid w:val="002206B7"/>
    <w:rsid w:val="0022087D"/>
    <w:rsid w:val="00220914"/>
    <w:rsid w:val="00220A1D"/>
    <w:rsid w:val="00220AC8"/>
    <w:rsid w:val="00220C0B"/>
    <w:rsid w:val="00220C58"/>
    <w:rsid w:val="00220C97"/>
    <w:rsid w:val="00220FA3"/>
    <w:rsid w:val="00221179"/>
    <w:rsid w:val="002212F9"/>
    <w:rsid w:val="00221392"/>
    <w:rsid w:val="00221497"/>
    <w:rsid w:val="0022149C"/>
    <w:rsid w:val="00221585"/>
    <w:rsid w:val="002215B4"/>
    <w:rsid w:val="002219B8"/>
    <w:rsid w:val="00221A06"/>
    <w:rsid w:val="00221FEA"/>
    <w:rsid w:val="00221FF7"/>
    <w:rsid w:val="0022226E"/>
    <w:rsid w:val="00222374"/>
    <w:rsid w:val="00222396"/>
    <w:rsid w:val="002223F5"/>
    <w:rsid w:val="00222431"/>
    <w:rsid w:val="00222444"/>
    <w:rsid w:val="00222612"/>
    <w:rsid w:val="002227B1"/>
    <w:rsid w:val="002228F2"/>
    <w:rsid w:val="0022293E"/>
    <w:rsid w:val="00222BA4"/>
    <w:rsid w:val="00223056"/>
    <w:rsid w:val="002231EA"/>
    <w:rsid w:val="002233B5"/>
    <w:rsid w:val="00223418"/>
    <w:rsid w:val="00223488"/>
    <w:rsid w:val="0022349E"/>
    <w:rsid w:val="00223594"/>
    <w:rsid w:val="0022380F"/>
    <w:rsid w:val="00223A44"/>
    <w:rsid w:val="00223B09"/>
    <w:rsid w:val="00223E50"/>
    <w:rsid w:val="00223FC1"/>
    <w:rsid w:val="002240BD"/>
    <w:rsid w:val="00224240"/>
    <w:rsid w:val="0022426B"/>
    <w:rsid w:val="0022426E"/>
    <w:rsid w:val="00224378"/>
    <w:rsid w:val="002245A5"/>
    <w:rsid w:val="00224856"/>
    <w:rsid w:val="0022491A"/>
    <w:rsid w:val="00224971"/>
    <w:rsid w:val="00224A8E"/>
    <w:rsid w:val="00224AD5"/>
    <w:rsid w:val="00224C56"/>
    <w:rsid w:val="00224CC0"/>
    <w:rsid w:val="00224EAD"/>
    <w:rsid w:val="00224EEB"/>
    <w:rsid w:val="00224F39"/>
    <w:rsid w:val="00225010"/>
    <w:rsid w:val="002251F7"/>
    <w:rsid w:val="002252E0"/>
    <w:rsid w:val="002253B9"/>
    <w:rsid w:val="00225535"/>
    <w:rsid w:val="002255D9"/>
    <w:rsid w:val="00225655"/>
    <w:rsid w:val="0022570B"/>
    <w:rsid w:val="002259CF"/>
    <w:rsid w:val="00225CEC"/>
    <w:rsid w:val="00225D34"/>
    <w:rsid w:val="00225EB1"/>
    <w:rsid w:val="00225F42"/>
    <w:rsid w:val="00226301"/>
    <w:rsid w:val="002263B6"/>
    <w:rsid w:val="002263CC"/>
    <w:rsid w:val="0022657B"/>
    <w:rsid w:val="002265FA"/>
    <w:rsid w:val="00226640"/>
    <w:rsid w:val="00226675"/>
    <w:rsid w:val="0022681E"/>
    <w:rsid w:val="00226899"/>
    <w:rsid w:val="00226CBA"/>
    <w:rsid w:val="00226CC7"/>
    <w:rsid w:val="00226F55"/>
    <w:rsid w:val="00227057"/>
    <w:rsid w:val="00227251"/>
    <w:rsid w:val="00227267"/>
    <w:rsid w:val="002273D5"/>
    <w:rsid w:val="00227680"/>
    <w:rsid w:val="0022790F"/>
    <w:rsid w:val="00227D1C"/>
    <w:rsid w:val="00227E11"/>
    <w:rsid w:val="00227F6C"/>
    <w:rsid w:val="00230279"/>
    <w:rsid w:val="002302FD"/>
    <w:rsid w:val="00230399"/>
    <w:rsid w:val="00230613"/>
    <w:rsid w:val="002306EF"/>
    <w:rsid w:val="00230719"/>
    <w:rsid w:val="00230AE1"/>
    <w:rsid w:val="00230AF1"/>
    <w:rsid w:val="00230BEE"/>
    <w:rsid w:val="00230C37"/>
    <w:rsid w:val="00230C60"/>
    <w:rsid w:val="00230D46"/>
    <w:rsid w:val="00230E4D"/>
    <w:rsid w:val="00230ECA"/>
    <w:rsid w:val="00230F80"/>
    <w:rsid w:val="0023136E"/>
    <w:rsid w:val="002314E9"/>
    <w:rsid w:val="00231506"/>
    <w:rsid w:val="002315B7"/>
    <w:rsid w:val="002316FA"/>
    <w:rsid w:val="002319E7"/>
    <w:rsid w:val="00231A0B"/>
    <w:rsid w:val="00231A84"/>
    <w:rsid w:val="00231C1E"/>
    <w:rsid w:val="00231D32"/>
    <w:rsid w:val="00231D5F"/>
    <w:rsid w:val="00231E29"/>
    <w:rsid w:val="00231ECD"/>
    <w:rsid w:val="00231F21"/>
    <w:rsid w:val="002320A8"/>
    <w:rsid w:val="002323DE"/>
    <w:rsid w:val="00232586"/>
    <w:rsid w:val="002325BD"/>
    <w:rsid w:val="0023278C"/>
    <w:rsid w:val="00232817"/>
    <w:rsid w:val="0023297C"/>
    <w:rsid w:val="00232A9D"/>
    <w:rsid w:val="00232AB2"/>
    <w:rsid w:val="00232B46"/>
    <w:rsid w:val="00232B65"/>
    <w:rsid w:val="00232C8F"/>
    <w:rsid w:val="00232F08"/>
    <w:rsid w:val="00232FE0"/>
    <w:rsid w:val="00233483"/>
    <w:rsid w:val="00233512"/>
    <w:rsid w:val="00233519"/>
    <w:rsid w:val="0023355C"/>
    <w:rsid w:val="0023372E"/>
    <w:rsid w:val="0023391B"/>
    <w:rsid w:val="0023394D"/>
    <w:rsid w:val="00233A39"/>
    <w:rsid w:val="00233B46"/>
    <w:rsid w:val="00233C70"/>
    <w:rsid w:val="00233E79"/>
    <w:rsid w:val="00233E87"/>
    <w:rsid w:val="00233F5B"/>
    <w:rsid w:val="00233FD7"/>
    <w:rsid w:val="0023421A"/>
    <w:rsid w:val="00234408"/>
    <w:rsid w:val="00234429"/>
    <w:rsid w:val="0023443B"/>
    <w:rsid w:val="00234656"/>
    <w:rsid w:val="002347B7"/>
    <w:rsid w:val="0023484A"/>
    <w:rsid w:val="0023484F"/>
    <w:rsid w:val="002349E4"/>
    <w:rsid w:val="00234AD2"/>
    <w:rsid w:val="00234D66"/>
    <w:rsid w:val="00234E1C"/>
    <w:rsid w:val="00234E8C"/>
    <w:rsid w:val="0023500E"/>
    <w:rsid w:val="00235072"/>
    <w:rsid w:val="00235206"/>
    <w:rsid w:val="002357E5"/>
    <w:rsid w:val="0023581C"/>
    <w:rsid w:val="00235862"/>
    <w:rsid w:val="0023586B"/>
    <w:rsid w:val="00235883"/>
    <w:rsid w:val="00235A9B"/>
    <w:rsid w:val="00235AED"/>
    <w:rsid w:val="00235B61"/>
    <w:rsid w:val="00235CD7"/>
    <w:rsid w:val="00235DA2"/>
    <w:rsid w:val="00236181"/>
    <w:rsid w:val="002363CC"/>
    <w:rsid w:val="00236426"/>
    <w:rsid w:val="00236542"/>
    <w:rsid w:val="00236701"/>
    <w:rsid w:val="0023675B"/>
    <w:rsid w:val="00236834"/>
    <w:rsid w:val="0023695E"/>
    <w:rsid w:val="0023699B"/>
    <w:rsid w:val="002369FD"/>
    <w:rsid w:val="00236B14"/>
    <w:rsid w:val="00236B54"/>
    <w:rsid w:val="00236BFE"/>
    <w:rsid w:val="00236DE8"/>
    <w:rsid w:val="002372EB"/>
    <w:rsid w:val="00237321"/>
    <w:rsid w:val="002375EF"/>
    <w:rsid w:val="002376C5"/>
    <w:rsid w:val="002376E5"/>
    <w:rsid w:val="0023775A"/>
    <w:rsid w:val="002379D2"/>
    <w:rsid w:val="00237A1E"/>
    <w:rsid w:val="00237A55"/>
    <w:rsid w:val="00237CAE"/>
    <w:rsid w:val="00237F18"/>
    <w:rsid w:val="002402E5"/>
    <w:rsid w:val="0024058D"/>
    <w:rsid w:val="002405FA"/>
    <w:rsid w:val="002407B1"/>
    <w:rsid w:val="0024082D"/>
    <w:rsid w:val="00240836"/>
    <w:rsid w:val="00240850"/>
    <w:rsid w:val="00240A56"/>
    <w:rsid w:val="00240BEC"/>
    <w:rsid w:val="002411A3"/>
    <w:rsid w:val="00241232"/>
    <w:rsid w:val="0024139D"/>
    <w:rsid w:val="00241445"/>
    <w:rsid w:val="00241487"/>
    <w:rsid w:val="002414D1"/>
    <w:rsid w:val="0024150B"/>
    <w:rsid w:val="00241689"/>
    <w:rsid w:val="00241885"/>
    <w:rsid w:val="00241C21"/>
    <w:rsid w:val="00241CC0"/>
    <w:rsid w:val="00241E37"/>
    <w:rsid w:val="00241FDB"/>
    <w:rsid w:val="00242161"/>
    <w:rsid w:val="002421AC"/>
    <w:rsid w:val="00242301"/>
    <w:rsid w:val="002424BC"/>
    <w:rsid w:val="002425A8"/>
    <w:rsid w:val="00242A77"/>
    <w:rsid w:val="00242A8E"/>
    <w:rsid w:val="00242B49"/>
    <w:rsid w:val="00242D96"/>
    <w:rsid w:val="00242E1D"/>
    <w:rsid w:val="00242E52"/>
    <w:rsid w:val="00242E64"/>
    <w:rsid w:val="00242EA8"/>
    <w:rsid w:val="0024325E"/>
    <w:rsid w:val="00243308"/>
    <w:rsid w:val="002434BE"/>
    <w:rsid w:val="002434D9"/>
    <w:rsid w:val="0024368F"/>
    <w:rsid w:val="002436D2"/>
    <w:rsid w:val="002436D4"/>
    <w:rsid w:val="00243779"/>
    <w:rsid w:val="0024378F"/>
    <w:rsid w:val="002437BA"/>
    <w:rsid w:val="00243891"/>
    <w:rsid w:val="00243897"/>
    <w:rsid w:val="0024398C"/>
    <w:rsid w:val="00243996"/>
    <w:rsid w:val="00243B34"/>
    <w:rsid w:val="00243C0A"/>
    <w:rsid w:val="00243C6B"/>
    <w:rsid w:val="00243D45"/>
    <w:rsid w:val="00243E89"/>
    <w:rsid w:val="00244118"/>
    <w:rsid w:val="00244150"/>
    <w:rsid w:val="00244172"/>
    <w:rsid w:val="002441DB"/>
    <w:rsid w:val="00244284"/>
    <w:rsid w:val="002444AA"/>
    <w:rsid w:val="0024453E"/>
    <w:rsid w:val="00244540"/>
    <w:rsid w:val="002447E8"/>
    <w:rsid w:val="00244841"/>
    <w:rsid w:val="00244855"/>
    <w:rsid w:val="0024485B"/>
    <w:rsid w:val="00244863"/>
    <w:rsid w:val="0024491A"/>
    <w:rsid w:val="00244955"/>
    <w:rsid w:val="002449CA"/>
    <w:rsid w:val="00244CA2"/>
    <w:rsid w:val="00244D5C"/>
    <w:rsid w:val="002452E4"/>
    <w:rsid w:val="0024554B"/>
    <w:rsid w:val="00245649"/>
    <w:rsid w:val="00245685"/>
    <w:rsid w:val="002456DF"/>
    <w:rsid w:val="00245711"/>
    <w:rsid w:val="00245771"/>
    <w:rsid w:val="0024587B"/>
    <w:rsid w:val="002458A6"/>
    <w:rsid w:val="00245B23"/>
    <w:rsid w:val="00245B2F"/>
    <w:rsid w:val="00245DDA"/>
    <w:rsid w:val="00245E15"/>
    <w:rsid w:val="00246076"/>
    <w:rsid w:val="00246198"/>
    <w:rsid w:val="00246432"/>
    <w:rsid w:val="00246562"/>
    <w:rsid w:val="0024675D"/>
    <w:rsid w:val="0024699B"/>
    <w:rsid w:val="00246B4C"/>
    <w:rsid w:val="00246CB9"/>
    <w:rsid w:val="00247044"/>
    <w:rsid w:val="00247102"/>
    <w:rsid w:val="002477A2"/>
    <w:rsid w:val="0024781F"/>
    <w:rsid w:val="00247901"/>
    <w:rsid w:val="00247C0D"/>
    <w:rsid w:val="00247C4D"/>
    <w:rsid w:val="00247DBB"/>
    <w:rsid w:val="00247ED4"/>
    <w:rsid w:val="00247F91"/>
    <w:rsid w:val="00247FA1"/>
    <w:rsid w:val="00247FEA"/>
    <w:rsid w:val="0025010B"/>
    <w:rsid w:val="002501C9"/>
    <w:rsid w:val="00250333"/>
    <w:rsid w:val="0025043D"/>
    <w:rsid w:val="002504EF"/>
    <w:rsid w:val="0025052B"/>
    <w:rsid w:val="0025053C"/>
    <w:rsid w:val="00250551"/>
    <w:rsid w:val="00250857"/>
    <w:rsid w:val="00250B27"/>
    <w:rsid w:val="00250BB3"/>
    <w:rsid w:val="00250BEB"/>
    <w:rsid w:val="00250C5E"/>
    <w:rsid w:val="00250D18"/>
    <w:rsid w:val="00250E9D"/>
    <w:rsid w:val="00250F86"/>
    <w:rsid w:val="00251124"/>
    <w:rsid w:val="002511C8"/>
    <w:rsid w:val="00251478"/>
    <w:rsid w:val="00251479"/>
    <w:rsid w:val="00251650"/>
    <w:rsid w:val="00251883"/>
    <w:rsid w:val="002519AF"/>
    <w:rsid w:val="00251BFB"/>
    <w:rsid w:val="00251CE1"/>
    <w:rsid w:val="00251EC3"/>
    <w:rsid w:val="00251F1F"/>
    <w:rsid w:val="00251F28"/>
    <w:rsid w:val="00251F8C"/>
    <w:rsid w:val="00251FD9"/>
    <w:rsid w:val="0025204B"/>
    <w:rsid w:val="0025207F"/>
    <w:rsid w:val="00252157"/>
    <w:rsid w:val="002523B9"/>
    <w:rsid w:val="00252441"/>
    <w:rsid w:val="0025246E"/>
    <w:rsid w:val="00252577"/>
    <w:rsid w:val="002525CC"/>
    <w:rsid w:val="002525DB"/>
    <w:rsid w:val="0025264B"/>
    <w:rsid w:val="00252682"/>
    <w:rsid w:val="002527D6"/>
    <w:rsid w:val="0025285A"/>
    <w:rsid w:val="0025289F"/>
    <w:rsid w:val="00252A1C"/>
    <w:rsid w:val="00252D1B"/>
    <w:rsid w:val="00252D9E"/>
    <w:rsid w:val="00252E03"/>
    <w:rsid w:val="00252F27"/>
    <w:rsid w:val="00252FC1"/>
    <w:rsid w:val="002531BD"/>
    <w:rsid w:val="0025328D"/>
    <w:rsid w:val="0025337E"/>
    <w:rsid w:val="00253433"/>
    <w:rsid w:val="0025346B"/>
    <w:rsid w:val="0025352C"/>
    <w:rsid w:val="00253728"/>
    <w:rsid w:val="00253AB4"/>
    <w:rsid w:val="00253B37"/>
    <w:rsid w:val="00253B90"/>
    <w:rsid w:val="00253D37"/>
    <w:rsid w:val="00253DC0"/>
    <w:rsid w:val="00253FFF"/>
    <w:rsid w:val="0025402B"/>
    <w:rsid w:val="00254050"/>
    <w:rsid w:val="002540AE"/>
    <w:rsid w:val="002541CC"/>
    <w:rsid w:val="002543E9"/>
    <w:rsid w:val="00254439"/>
    <w:rsid w:val="002546AF"/>
    <w:rsid w:val="0025492B"/>
    <w:rsid w:val="00254A9E"/>
    <w:rsid w:val="00254AEA"/>
    <w:rsid w:val="00254B33"/>
    <w:rsid w:val="00254B4E"/>
    <w:rsid w:val="00254B62"/>
    <w:rsid w:val="00254C13"/>
    <w:rsid w:val="00254CB5"/>
    <w:rsid w:val="00254F38"/>
    <w:rsid w:val="0025515F"/>
    <w:rsid w:val="00255436"/>
    <w:rsid w:val="00255487"/>
    <w:rsid w:val="002554B7"/>
    <w:rsid w:val="0025559B"/>
    <w:rsid w:val="00255839"/>
    <w:rsid w:val="00255855"/>
    <w:rsid w:val="00255BF3"/>
    <w:rsid w:val="00255C43"/>
    <w:rsid w:val="00255CF7"/>
    <w:rsid w:val="00255D10"/>
    <w:rsid w:val="00255D58"/>
    <w:rsid w:val="00255E14"/>
    <w:rsid w:val="00255E5E"/>
    <w:rsid w:val="00255E5F"/>
    <w:rsid w:val="0025610C"/>
    <w:rsid w:val="00256293"/>
    <w:rsid w:val="00256308"/>
    <w:rsid w:val="002563E4"/>
    <w:rsid w:val="00256473"/>
    <w:rsid w:val="00256C21"/>
    <w:rsid w:val="00256C2C"/>
    <w:rsid w:val="00256D2B"/>
    <w:rsid w:val="00256D72"/>
    <w:rsid w:val="00256ECF"/>
    <w:rsid w:val="00256F70"/>
    <w:rsid w:val="00256FBB"/>
    <w:rsid w:val="002572C9"/>
    <w:rsid w:val="00257339"/>
    <w:rsid w:val="00257630"/>
    <w:rsid w:val="00257B26"/>
    <w:rsid w:val="00257D55"/>
    <w:rsid w:val="00260177"/>
    <w:rsid w:val="0026022F"/>
    <w:rsid w:val="00260265"/>
    <w:rsid w:val="002604DA"/>
    <w:rsid w:val="0026054D"/>
    <w:rsid w:val="0026066E"/>
    <w:rsid w:val="002606CE"/>
    <w:rsid w:val="002608CC"/>
    <w:rsid w:val="00260B86"/>
    <w:rsid w:val="00260BF5"/>
    <w:rsid w:val="00260C29"/>
    <w:rsid w:val="00260CAC"/>
    <w:rsid w:val="00260F92"/>
    <w:rsid w:val="002610D9"/>
    <w:rsid w:val="00261185"/>
    <w:rsid w:val="00261260"/>
    <w:rsid w:val="0026184B"/>
    <w:rsid w:val="00261AEC"/>
    <w:rsid w:val="00261AFC"/>
    <w:rsid w:val="00261B03"/>
    <w:rsid w:val="00261B49"/>
    <w:rsid w:val="00261BF3"/>
    <w:rsid w:val="00261FF7"/>
    <w:rsid w:val="0026206C"/>
    <w:rsid w:val="00262367"/>
    <w:rsid w:val="002623E8"/>
    <w:rsid w:val="00262758"/>
    <w:rsid w:val="00262D9D"/>
    <w:rsid w:val="00262F13"/>
    <w:rsid w:val="00262FD3"/>
    <w:rsid w:val="002630A6"/>
    <w:rsid w:val="002630B8"/>
    <w:rsid w:val="002630E2"/>
    <w:rsid w:val="00263234"/>
    <w:rsid w:val="00263276"/>
    <w:rsid w:val="002632C5"/>
    <w:rsid w:val="00263472"/>
    <w:rsid w:val="00263653"/>
    <w:rsid w:val="00263831"/>
    <w:rsid w:val="002639D1"/>
    <w:rsid w:val="00263A12"/>
    <w:rsid w:val="00263A7F"/>
    <w:rsid w:val="00263BA1"/>
    <w:rsid w:val="00263C84"/>
    <w:rsid w:val="00264348"/>
    <w:rsid w:val="002648D2"/>
    <w:rsid w:val="002648D6"/>
    <w:rsid w:val="00264A57"/>
    <w:rsid w:val="00264A6C"/>
    <w:rsid w:val="00264ABE"/>
    <w:rsid w:val="00264AD0"/>
    <w:rsid w:val="00264D2D"/>
    <w:rsid w:val="002650EC"/>
    <w:rsid w:val="0026524B"/>
    <w:rsid w:val="002652A7"/>
    <w:rsid w:val="0026530E"/>
    <w:rsid w:val="00265386"/>
    <w:rsid w:val="0026553C"/>
    <w:rsid w:val="0026564C"/>
    <w:rsid w:val="00265781"/>
    <w:rsid w:val="00265864"/>
    <w:rsid w:val="00265B41"/>
    <w:rsid w:val="00265B48"/>
    <w:rsid w:val="00265BCC"/>
    <w:rsid w:val="00265E18"/>
    <w:rsid w:val="00266184"/>
    <w:rsid w:val="0026641C"/>
    <w:rsid w:val="00266557"/>
    <w:rsid w:val="00266560"/>
    <w:rsid w:val="002665AA"/>
    <w:rsid w:val="002665B1"/>
    <w:rsid w:val="0026660C"/>
    <w:rsid w:val="00266940"/>
    <w:rsid w:val="00266A8F"/>
    <w:rsid w:val="00266B52"/>
    <w:rsid w:val="00266BC9"/>
    <w:rsid w:val="00266D3C"/>
    <w:rsid w:val="00266E4F"/>
    <w:rsid w:val="002670EC"/>
    <w:rsid w:val="002671C0"/>
    <w:rsid w:val="002673DE"/>
    <w:rsid w:val="00267678"/>
    <w:rsid w:val="0026770C"/>
    <w:rsid w:val="00267763"/>
    <w:rsid w:val="002677C4"/>
    <w:rsid w:val="002679DB"/>
    <w:rsid w:val="00267B7B"/>
    <w:rsid w:val="00267F89"/>
    <w:rsid w:val="00270139"/>
    <w:rsid w:val="00270242"/>
    <w:rsid w:val="0027032D"/>
    <w:rsid w:val="002703DB"/>
    <w:rsid w:val="002704F3"/>
    <w:rsid w:val="0027073D"/>
    <w:rsid w:val="002707B2"/>
    <w:rsid w:val="00270923"/>
    <w:rsid w:val="0027098E"/>
    <w:rsid w:val="00270C37"/>
    <w:rsid w:val="00270C7C"/>
    <w:rsid w:val="00270DE0"/>
    <w:rsid w:val="00270FEF"/>
    <w:rsid w:val="00271095"/>
    <w:rsid w:val="00271114"/>
    <w:rsid w:val="0027132E"/>
    <w:rsid w:val="00271524"/>
    <w:rsid w:val="00271778"/>
    <w:rsid w:val="002717AD"/>
    <w:rsid w:val="002719AF"/>
    <w:rsid w:val="00271B35"/>
    <w:rsid w:val="00271B76"/>
    <w:rsid w:val="00271CB5"/>
    <w:rsid w:val="00271CF9"/>
    <w:rsid w:val="0027247D"/>
    <w:rsid w:val="00272523"/>
    <w:rsid w:val="0027268C"/>
    <w:rsid w:val="002727D7"/>
    <w:rsid w:val="0027287A"/>
    <w:rsid w:val="002728DD"/>
    <w:rsid w:val="002729A5"/>
    <w:rsid w:val="00272A4A"/>
    <w:rsid w:val="00272C10"/>
    <w:rsid w:val="00272CB3"/>
    <w:rsid w:val="00272D43"/>
    <w:rsid w:val="00272E8F"/>
    <w:rsid w:val="00272F9A"/>
    <w:rsid w:val="00273299"/>
    <w:rsid w:val="002733AF"/>
    <w:rsid w:val="002733C4"/>
    <w:rsid w:val="00273457"/>
    <w:rsid w:val="002734C3"/>
    <w:rsid w:val="0027351E"/>
    <w:rsid w:val="00273534"/>
    <w:rsid w:val="00273A92"/>
    <w:rsid w:val="00273B13"/>
    <w:rsid w:val="00273BB6"/>
    <w:rsid w:val="00273D23"/>
    <w:rsid w:val="00273E63"/>
    <w:rsid w:val="00273EF3"/>
    <w:rsid w:val="00273F86"/>
    <w:rsid w:val="00274023"/>
    <w:rsid w:val="002745CB"/>
    <w:rsid w:val="0027466F"/>
    <w:rsid w:val="002746AE"/>
    <w:rsid w:val="00274803"/>
    <w:rsid w:val="00274AB9"/>
    <w:rsid w:val="00274CB7"/>
    <w:rsid w:val="00274EE6"/>
    <w:rsid w:val="00274FC4"/>
    <w:rsid w:val="0027512C"/>
    <w:rsid w:val="0027519D"/>
    <w:rsid w:val="0027528D"/>
    <w:rsid w:val="0027538F"/>
    <w:rsid w:val="0027557C"/>
    <w:rsid w:val="0027570A"/>
    <w:rsid w:val="00275954"/>
    <w:rsid w:val="002759C4"/>
    <w:rsid w:val="002759F3"/>
    <w:rsid w:val="00276130"/>
    <w:rsid w:val="0027622E"/>
    <w:rsid w:val="00276814"/>
    <w:rsid w:val="0027691E"/>
    <w:rsid w:val="002769A2"/>
    <w:rsid w:val="00276AFC"/>
    <w:rsid w:val="00276B0A"/>
    <w:rsid w:val="00276BA6"/>
    <w:rsid w:val="00276BB4"/>
    <w:rsid w:val="00276CE8"/>
    <w:rsid w:val="00276E41"/>
    <w:rsid w:val="00277038"/>
    <w:rsid w:val="002771FF"/>
    <w:rsid w:val="002774EC"/>
    <w:rsid w:val="002776C0"/>
    <w:rsid w:val="00280575"/>
    <w:rsid w:val="0028057B"/>
    <w:rsid w:val="00280605"/>
    <w:rsid w:val="00280943"/>
    <w:rsid w:val="002809AB"/>
    <w:rsid w:val="002809ED"/>
    <w:rsid w:val="00280BEF"/>
    <w:rsid w:val="00280D21"/>
    <w:rsid w:val="00280D7E"/>
    <w:rsid w:val="00280DBB"/>
    <w:rsid w:val="00280FB8"/>
    <w:rsid w:val="00281187"/>
    <w:rsid w:val="002811E7"/>
    <w:rsid w:val="00281234"/>
    <w:rsid w:val="002813A8"/>
    <w:rsid w:val="0028167B"/>
    <w:rsid w:val="0028168B"/>
    <w:rsid w:val="002817D1"/>
    <w:rsid w:val="002818F2"/>
    <w:rsid w:val="002819EF"/>
    <w:rsid w:val="00281A49"/>
    <w:rsid w:val="00281EF8"/>
    <w:rsid w:val="00281FEA"/>
    <w:rsid w:val="002820BD"/>
    <w:rsid w:val="00282149"/>
    <w:rsid w:val="0028238D"/>
    <w:rsid w:val="002823D7"/>
    <w:rsid w:val="00282849"/>
    <w:rsid w:val="0028289A"/>
    <w:rsid w:val="00282A51"/>
    <w:rsid w:val="00282BA1"/>
    <w:rsid w:val="00282D24"/>
    <w:rsid w:val="00282D63"/>
    <w:rsid w:val="00282F22"/>
    <w:rsid w:val="0028316E"/>
    <w:rsid w:val="0028335F"/>
    <w:rsid w:val="002833F4"/>
    <w:rsid w:val="00283637"/>
    <w:rsid w:val="002836CB"/>
    <w:rsid w:val="0028396F"/>
    <w:rsid w:val="00283978"/>
    <w:rsid w:val="00283979"/>
    <w:rsid w:val="00283A37"/>
    <w:rsid w:val="00283AA5"/>
    <w:rsid w:val="00283BB9"/>
    <w:rsid w:val="00283CCD"/>
    <w:rsid w:val="00283D7D"/>
    <w:rsid w:val="00283E56"/>
    <w:rsid w:val="00283F8E"/>
    <w:rsid w:val="0028414F"/>
    <w:rsid w:val="002842FD"/>
    <w:rsid w:val="002843A3"/>
    <w:rsid w:val="0028445B"/>
    <w:rsid w:val="00284879"/>
    <w:rsid w:val="002849C9"/>
    <w:rsid w:val="002849EA"/>
    <w:rsid w:val="00284A55"/>
    <w:rsid w:val="00284B52"/>
    <w:rsid w:val="00284B98"/>
    <w:rsid w:val="00284BFA"/>
    <w:rsid w:val="00284C0C"/>
    <w:rsid w:val="00284C72"/>
    <w:rsid w:val="00284CDA"/>
    <w:rsid w:val="00284D76"/>
    <w:rsid w:val="00284E22"/>
    <w:rsid w:val="0028503D"/>
    <w:rsid w:val="002850F4"/>
    <w:rsid w:val="002850F8"/>
    <w:rsid w:val="0028535F"/>
    <w:rsid w:val="0028547C"/>
    <w:rsid w:val="00285502"/>
    <w:rsid w:val="002856F8"/>
    <w:rsid w:val="002857A7"/>
    <w:rsid w:val="0028590C"/>
    <w:rsid w:val="00285973"/>
    <w:rsid w:val="00285CC2"/>
    <w:rsid w:val="002860F9"/>
    <w:rsid w:val="00286142"/>
    <w:rsid w:val="00286508"/>
    <w:rsid w:val="00286522"/>
    <w:rsid w:val="0028654A"/>
    <w:rsid w:val="002865A1"/>
    <w:rsid w:val="002868F1"/>
    <w:rsid w:val="00286C87"/>
    <w:rsid w:val="00286D77"/>
    <w:rsid w:val="00286D9F"/>
    <w:rsid w:val="00286DFC"/>
    <w:rsid w:val="00286E80"/>
    <w:rsid w:val="00286F1A"/>
    <w:rsid w:val="00286F3C"/>
    <w:rsid w:val="00286F84"/>
    <w:rsid w:val="00287678"/>
    <w:rsid w:val="00287753"/>
    <w:rsid w:val="00287796"/>
    <w:rsid w:val="0028781B"/>
    <w:rsid w:val="002878A1"/>
    <w:rsid w:val="00287A8F"/>
    <w:rsid w:val="00287AAC"/>
    <w:rsid w:val="00287B7B"/>
    <w:rsid w:val="00287D39"/>
    <w:rsid w:val="00287D51"/>
    <w:rsid w:val="00287DE1"/>
    <w:rsid w:val="00287EDB"/>
    <w:rsid w:val="0029007F"/>
    <w:rsid w:val="002901CC"/>
    <w:rsid w:val="002902B4"/>
    <w:rsid w:val="0029080E"/>
    <w:rsid w:val="0029083E"/>
    <w:rsid w:val="00290858"/>
    <w:rsid w:val="00290BF4"/>
    <w:rsid w:val="00290CFC"/>
    <w:rsid w:val="00290DA8"/>
    <w:rsid w:val="00290F6C"/>
    <w:rsid w:val="00291065"/>
    <w:rsid w:val="00291448"/>
    <w:rsid w:val="0029165F"/>
    <w:rsid w:val="00291729"/>
    <w:rsid w:val="00291776"/>
    <w:rsid w:val="00291802"/>
    <w:rsid w:val="0029181C"/>
    <w:rsid w:val="00291869"/>
    <w:rsid w:val="0029192B"/>
    <w:rsid w:val="00291ACE"/>
    <w:rsid w:val="00291ACF"/>
    <w:rsid w:val="0029211E"/>
    <w:rsid w:val="0029215F"/>
    <w:rsid w:val="00292349"/>
    <w:rsid w:val="002924F4"/>
    <w:rsid w:val="00292521"/>
    <w:rsid w:val="0029272D"/>
    <w:rsid w:val="00292735"/>
    <w:rsid w:val="002927CF"/>
    <w:rsid w:val="0029299E"/>
    <w:rsid w:val="00292B48"/>
    <w:rsid w:val="00292B97"/>
    <w:rsid w:val="00292BD1"/>
    <w:rsid w:val="00292BF9"/>
    <w:rsid w:val="00292C7F"/>
    <w:rsid w:val="00292CEC"/>
    <w:rsid w:val="00292E92"/>
    <w:rsid w:val="0029319D"/>
    <w:rsid w:val="00293269"/>
    <w:rsid w:val="0029332D"/>
    <w:rsid w:val="0029339A"/>
    <w:rsid w:val="00293462"/>
    <w:rsid w:val="002934A6"/>
    <w:rsid w:val="00293596"/>
    <w:rsid w:val="00293736"/>
    <w:rsid w:val="00293763"/>
    <w:rsid w:val="0029396A"/>
    <w:rsid w:val="00293B50"/>
    <w:rsid w:val="00293C22"/>
    <w:rsid w:val="00293E49"/>
    <w:rsid w:val="002942FB"/>
    <w:rsid w:val="002943EC"/>
    <w:rsid w:val="002949E6"/>
    <w:rsid w:val="00294A39"/>
    <w:rsid w:val="00294A5E"/>
    <w:rsid w:val="00294A76"/>
    <w:rsid w:val="00294AD6"/>
    <w:rsid w:val="00294B7B"/>
    <w:rsid w:val="00294C05"/>
    <w:rsid w:val="00294EAD"/>
    <w:rsid w:val="00294EB1"/>
    <w:rsid w:val="00295186"/>
    <w:rsid w:val="002951D3"/>
    <w:rsid w:val="0029523E"/>
    <w:rsid w:val="0029524F"/>
    <w:rsid w:val="00295303"/>
    <w:rsid w:val="002953F3"/>
    <w:rsid w:val="00295465"/>
    <w:rsid w:val="0029548A"/>
    <w:rsid w:val="00295920"/>
    <w:rsid w:val="00295A6C"/>
    <w:rsid w:val="00295DBD"/>
    <w:rsid w:val="00295E93"/>
    <w:rsid w:val="00295E9B"/>
    <w:rsid w:val="00295F4C"/>
    <w:rsid w:val="00296023"/>
    <w:rsid w:val="002960A4"/>
    <w:rsid w:val="002960B5"/>
    <w:rsid w:val="002960EC"/>
    <w:rsid w:val="002965AE"/>
    <w:rsid w:val="0029666C"/>
    <w:rsid w:val="0029675D"/>
    <w:rsid w:val="00296A76"/>
    <w:rsid w:val="00296BA8"/>
    <w:rsid w:val="00296F1C"/>
    <w:rsid w:val="00297038"/>
    <w:rsid w:val="0029717C"/>
    <w:rsid w:val="002972F4"/>
    <w:rsid w:val="00297363"/>
    <w:rsid w:val="00297438"/>
    <w:rsid w:val="0029744B"/>
    <w:rsid w:val="002976BC"/>
    <w:rsid w:val="00297987"/>
    <w:rsid w:val="00297AF3"/>
    <w:rsid w:val="00297CEE"/>
    <w:rsid w:val="00297D88"/>
    <w:rsid w:val="002A011D"/>
    <w:rsid w:val="002A019F"/>
    <w:rsid w:val="002A01F9"/>
    <w:rsid w:val="002A0204"/>
    <w:rsid w:val="002A02C0"/>
    <w:rsid w:val="002A02C6"/>
    <w:rsid w:val="002A0394"/>
    <w:rsid w:val="002A04F0"/>
    <w:rsid w:val="002A04F8"/>
    <w:rsid w:val="002A0637"/>
    <w:rsid w:val="002A0646"/>
    <w:rsid w:val="002A06C6"/>
    <w:rsid w:val="002A0721"/>
    <w:rsid w:val="002A0779"/>
    <w:rsid w:val="002A0E9A"/>
    <w:rsid w:val="002A1120"/>
    <w:rsid w:val="002A13AE"/>
    <w:rsid w:val="002A147B"/>
    <w:rsid w:val="002A1636"/>
    <w:rsid w:val="002A1652"/>
    <w:rsid w:val="002A185C"/>
    <w:rsid w:val="002A1866"/>
    <w:rsid w:val="002A189C"/>
    <w:rsid w:val="002A18A0"/>
    <w:rsid w:val="002A1963"/>
    <w:rsid w:val="002A198D"/>
    <w:rsid w:val="002A1A04"/>
    <w:rsid w:val="002A1A7B"/>
    <w:rsid w:val="002A1AD2"/>
    <w:rsid w:val="002A1B02"/>
    <w:rsid w:val="002A1C24"/>
    <w:rsid w:val="002A1D4B"/>
    <w:rsid w:val="002A2259"/>
    <w:rsid w:val="002A242F"/>
    <w:rsid w:val="002A25A4"/>
    <w:rsid w:val="002A2810"/>
    <w:rsid w:val="002A297D"/>
    <w:rsid w:val="002A2D55"/>
    <w:rsid w:val="002A2F83"/>
    <w:rsid w:val="002A2FC0"/>
    <w:rsid w:val="002A3081"/>
    <w:rsid w:val="002A31AD"/>
    <w:rsid w:val="002A31D5"/>
    <w:rsid w:val="002A3211"/>
    <w:rsid w:val="002A3303"/>
    <w:rsid w:val="002A345A"/>
    <w:rsid w:val="002A3519"/>
    <w:rsid w:val="002A371E"/>
    <w:rsid w:val="002A3937"/>
    <w:rsid w:val="002A3C26"/>
    <w:rsid w:val="002A3C9A"/>
    <w:rsid w:val="002A4072"/>
    <w:rsid w:val="002A40F9"/>
    <w:rsid w:val="002A4167"/>
    <w:rsid w:val="002A4225"/>
    <w:rsid w:val="002A436A"/>
    <w:rsid w:val="002A48CC"/>
    <w:rsid w:val="002A48D6"/>
    <w:rsid w:val="002A4B00"/>
    <w:rsid w:val="002A4DBC"/>
    <w:rsid w:val="002A50A1"/>
    <w:rsid w:val="002A50C3"/>
    <w:rsid w:val="002A511F"/>
    <w:rsid w:val="002A515E"/>
    <w:rsid w:val="002A52DE"/>
    <w:rsid w:val="002A53B7"/>
    <w:rsid w:val="002A5407"/>
    <w:rsid w:val="002A5462"/>
    <w:rsid w:val="002A558B"/>
    <w:rsid w:val="002A56F0"/>
    <w:rsid w:val="002A5766"/>
    <w:rsid w:val="002A5AC1"/>
    <w:rsid w:val="002A5B54"/>
    <w:rsid w:val="002A5BAB"/>
    <w:rsid w:val="002A5BCC"/>
    <w:rsid w:val="002A5C44"/>
    <w:rsid w:val="002A5CD7"/>
    <w:rsid w:val="002A5F83"/>
    <w:rsid w:val="002A5FFD"/>
    <w:rsid w:val="002A611B"/>
    <w:rsid w:val="002A618F"/>
    <w:rsid w:val="002A6275"/>
    <w:rsid w:val="002A62F8"/>
    <w:rsid w:val="002A6358"/>
    <w:rsid w:val="002A6467"/>
    <w:rsid w:val="002A69FF"/>
    <w:rsid w:val="002A6A7E"/>
    <w:rsid w:val="002A6BAF"/>
    <w:rsid w:val="002A6C55"/>
    <w:rsid w:val="002A6C93"/>
    <w:rsid w:val="002A6CB4"/>
    <w:rsid w:val="002A6D45"/>
    <w:rsid w:val="002A7030"/>
    <w:rsid w:val="002A7063"/>
    <w:rsid w:val="002A7359"/>
    <w:rsid w:val="002A7455"/>
    <w:rsid w:val="002A75D8"/>
    <w:rsid w:val="002A76B3"/>
    <w:rsid w:val="002A7AED"/>
    <w:rsid w:val="002A7D5E"/>
    <w:rsid w:val="002A7E0C"/>
    <w:rsid w:val="002A7F83"/>
    <w:rsid w:val="002B0170"/>
    <w:rsid w:val="002B0312"/>
    <w:rsid w:val="002B03E7"/>
    <w:rsid w:val="002B044F"/>
    <w:rsid w:val="002B06C0"/>
    <w:rsid w:val="002B0789"/>
    <w:rsid w:val="002B0A18"/>
    <w:rsid w:val="002B0BD2"/>
    <w:rsid w:val="002B0E2C"/>
    <w:rsid w:val="002B0E79"/>
    <w:rsid w:val="002B0FC0"/>
    <w:rsid w:val="002B1100"/>
    <w:rsid w:val="002B13FD"/>
    <w:rsid w:val="002B142C"/>
    <w:rsid w:val="002B14BA"/>
    <w:rsid w:val="002B14C5"/>
    <w:rsid w:val="002B14DF"/>
    <w:rsid w:val="002B1528"/>
    <w:rsid w:val="002B16E3"/>
    <w:rsid w:val="002B187C"/>
    <w:rsid w:val="002B1E31"/>
    <w:rsid w:val="002B1E80"/>
    <w:rsid w:val="002B205F"/>
    <w:rsid w:val="002B2193"/>
    <w:rsid w:val="002B21FD"/>
    <w:rsid w:val="002B222B"/>
    <w:rsid w:val="002B22C0"/>
    <w:rsid w:val="002B2583"/>
    <w:rsid w:val="002B259F"/>
    <w:rsid w:val="002B26D5"/>
    <w:rsid w:val="002B280A"/>
    <w:rsid w:val="002B2A61"/>
    <w:rsid w:val="002B2BBB"/>
    <w:rsid w:val="002B2CFD"/>
    <w:rsid w:val="002B2D8A"/>
    <w:rsid w:val="002B2E1E"/>
    <w:rsid w:val="002B2E54"/>
    <w:rsid w:val="002B2EAD"/>
    <w:rsid w:val="002B2F3B"/>
    <w:rsid w:val="002B314F"/>
    <w:rsid w:val="002B323B"/>
    <w:rsid w:val="002B334D"/>
    <w:rsid w:val="002B345E"/>
    <w:rsid w:val="002B34BC"/>
    <w:rsid w:val="002B35D0"/>
    <w:rsid w:val="002B36A3"/>
    <w:rsid w:val="002B37D9"/>
    <w:rsid w:val="002B3949"/>
    <w:rsid w:val="002B397B"/>
    <w:rsid w:val="002B3993"/>
    <w:rsid w:val="002B3A78"/>
    <w:rsid w:val="002B3A9D"/>
    <w:rsid w:val="002B3B63"/>
    <w:rsid w:val="002B3C26"/>
    <w:rsid w:val="002B3D52"/>
    <w:rsid w:val="002B3DC4"/>
    <w:rsid w:val="002B3F8E"/>
    <w:rsid w:val="002B3FB8"/>
    <w:rsid w:val="002B4000"/>
    <w:rsid w:val="002B413A"/>
    <w:rsid w:val="002B4264"/>
    <w:rsid w:val="002B42D2"/>
    <w:rsid w:val="002B4374"/>
    <w:rsid w:val="002B4437"/>
    <w:rsid w:val="002B448D"/>
    <w:rsid w:val="002B4562"/>
    <w:rsid w:val="002B460A"/>
    <w:rsid w:val="002B48A9"/>
    <w:rsid w:val="002B4919"/>
    <w:rsid w:val="002B4A3B"/>
    <w:rsid w:val="002B4D4D"/>
    <w:rsid w:val="002B4E6A"/>
    <w:rsid w:val="002B4F05"/>
    <w:rsid w:val="002B5175"/>
    <w:rsid w:val="002B5494"/>
    <w:rsid w:val="002B54E3"/>
    <w:rsid w:val="002B555E"/>
    <w:rsid w:val="002B5568"/>
    <w:rsid w:val="002B55A8"/>
    <w:rsid w:val="002B5703"/>
    <w:rsid w:val="002B5825"/>
    <w:rsid w:val="002B5883"/>
    <w:rsid w:val="002B5BEC"/>
    <w:rsid w:val="002B5C3C"/>
    <w:rsid w:val="002B5C98"/>
    <w:rsid w:val="002B5DFE"/>
    <w:rsid w:val="002B5EC2"/>
    <w:rsid w:val="002B5F32"/>
    <w:rsid w:val="002B613C"/>
    <w:rsid w:val="002B6540"/>
    <w:rsid w:val="002B657B"/>
    <w:rsid w:val="002B6628"/>
    <w:rsid w:val="002B665C"/>
    <w:rsid w:val="002B6663"/>
    <w:rsid w:val="002B66DF"/>
    <w:rsid w:val="002B6969"/>
    <w:rsid w:val="002B6A82"/>
    <w:rsid w:val="002B6C49"/>
    <w:rsid w:val="002B6E67"/>
    <w:rsid w:val="002B6EA2"/>
    <w:rsid w:val="002B7076"/>
    <w:rsid w:val="002B70E7"/>
    <w:rsid w:val="002B712A"/>
    <w:rsid w:val="002B7239"/>
    <w:rsid w:val="002B736B"/>
    <w:rsid w:val="002B7613"/>
    <w:rsid w:val="002B7777"/>
    <w:rsid w:val="002B7902"/>
    <w:rsid w:val="002B7A11"/>
    <w:rsid w:val="002B7B3E"/>
    <w:rsid w:val="002B7F75"/>
    <w:rsid w:val="002C0086"/>
    <w:rsid w:val="002C0162"/>
    <w:rsid w:val="002C017C"/>
    <w:rsid w:val="002C022F"/>
    <w:rsid w:val="002C023C"/>
    <w:rsid w:val="002C0396"/>
    <w:rsid w:val="002C07B4"/>
    <w:rsid w:val="002C082F"/>
    <w:rsid w:val="002C0C7C"/>
    <w:rsid w:val="002C0CA5"/>
    <w:rsid w:val="002C0E2B"/>
    <w:rsid w:val="002C10F0"/>
    <w:rsid w:val="002C1221"/>
    <w:rsid w:val="002C126D"/>
    <w:rsid w:val="002C132C"/>
    <w:rsid w:val="002C141F"/>
    <w:rsid w:val="002C16BC"/>
    <w:rsid w:val="002C1824"/>
    <w:rsid w:val="002C18B2"/>
    <w:rsid w:val="002C18F0"/>
    <w:rsid w:val="002C1A6E"/>
    <w:rsid w:val="002C1BAF"/>
    <w:rsid w:val="002C1E34"/>
    <w:rsid w:val="002C1F6D"/>
    <w:rsid w:val="002C211F"/>
    <w:rsid w:val="002C21A9"/>
    <w:rsid w:val="002C2211"/>
    <w:rsid w:val="002C22CF"/>
    <w:rsid w:val="002C2430"/>
    <w:rsid w:val="002C2431"/>
    <w:rsid w:val="002C2491"/>
    <w:rsid w:val="002C25D9"/>
    <w:rsid w:val="002C260E"/>
    <w:rsid w:val="002C26BF"/>
    <w:rsid w:val="002C28A6"/>
    <w:rsid w:val="002C2BD1"/>
    <w:rsid w:val="002C2C20"/>
    <w:rsid w:val="002C2D78"/>
    <w:rsid w:val="002C2E99"/>
    <w:rsid w:val="002C2F2A"/>
    <w:rsid w:val="002C308F"/>
    <w:rsid w:val="002C3183"/>
    <w:rsid w:val="002C31B6"/>
    <w:rsid w:val="002C3246"/>
    <w:rsid w:val="002C354D"/>
    <w:rsid w:val="002C3642"/>
    <w:rsid w:val="002C3666"/>
    <w:rsid w:val="002C36EE"/>
    <w:rsid w:val="002C36FA"/>
    <w:rsid w:val="002C383B"/>
    <w:rsid w:val="002C39C2"/>
    <w:rsid w:val="002C3A0D"/>
    <w:rsid w:val="002C3C71"/>
    <w:rsid w:val="002C3D83"/>
    <w:rsid w:val="002C3FF9"/>
    <w:rsid w:val="002C4096"/>
    <w:rsid w:val="002C4114"/>
    <w:rsid w:val="002C4157"/>
    <w:rsid w:val="002C4293"/>
    <w:rsid w:val="002C4345"/>
    <w:rsid w:val="002C4362"/>
    <w:rsid w:val="002C4662"/>
    <w:rsid w:val="002C46B6"/>
    <w:rsid w:val="002C4708"/>
    <w:rsid w:val="002C482A"/>
    <w:rsid w:val="002C4893"/>
    <w:rsid w:val="002C4897"/>
    <w:rsid w:val="002C4954"/>
    <w:rsid w:val="002C4A24"/>
    <w:rsid w:val="002C4AEE"/>
    <w:rsid w:val="002C50D0"/>
    <w:rsid w:val="002C537E"/>
    <w:rsid w:val="002C5512"/>
    <w:rsid w:val="002C55EC"/>
    <w:rsid w:val="002C581E"/>
    <w:rsid w:val="002C5A3C"/>
    <w:rsid w:val="002C5ACD"/>
    <w:rsid w:val="002C5D74"/>
    <w:rsid w:val="002C5FF8"/>
    <w:rsid w:val="002C6076"/>
    <w:rsid w:val="002C616A"/>
    <w:rsid w:val="002C6173"/>
    <w:rsid w:val="002C6176"/>
    <w:rsid w:val="002C639A"/>
    <w:rsid w:val="002C67E4"/>
    <w:rsid w:val="002C687E"/>
    <w:rsid w:val="002C6A1F"/>
    <w:rsid w:val="002C6D00"/>
    <w:rsid w:val="002C6DC2"/>
    <w:rsid w:val="002C7011"/>
    <w:rsid w:val="002C7076"/>
    <w:rsid w:val="002C74FA"/>
    <w:rsid w:val="002C7537"/>
    <w:rsid w:val="002C755E"/>
    <w:rsid w:val="002C769D"/>
    <w:rsid w:val="002C76D1"/>
    <w:rsid w:val="002C7738"/>
    <w:rsid w:val="002C7766"/>
    <w:rsid w:val="002C7980"/>
    <w:rsid w:val="002C7DEB"/>
    <w:rsid w:val="002C7E53"/>
    <w:rsid w:val="002C7E96"/>
    <w:rsid w:val="002C7ED3"/>
    <w:rsid w:val="002C7F52"/>
    <w:rsid w:val="002D0213"/>
    <w:rsid w:val="002D03B8"/>
    <w:rsid w:val="002D0431"/>
    <w:rsid w:val="002D0707"/>
    <w:rsid w:val="002D0766"/>
    <w:rsid w:val="002D09AC"/>
    <w:rsid w:val="002D0A97"/>
    <w:rsid w:val="002D0C40"/>
    <w:rsid w:val="002D0F1D"/>
    <w:rsid w:val="002D0FE1"/>
    <w:rsid w:val="002D106A"/>
    <w:rsid w:val="002D1237"/>
    <w:rsid w:val="002D1399"/>
    <w:rsid w:val="002D13EA"/>
    <w:rsid w:val="002D140D"/>
    <w:rsid w:val="002D1509"/>
    <w:rsid w:val="002D1515"/>
    <w:rsid w:val="002D15EC"/>
    <w:rsid w:val="002D1820"/>
    <w:rsid w:val="002D1836"/>
    <w:rsid w:val="002D197D"/>
    <w:rsid w:val="002D19FF"/>
    <w:rsid w:val="002D1AE2"/>
    <w:rsid w:val="002D1B5D"/>
    <w:rsid w:val="002D1FB0"/>
    <w:rsid w:val="002D2026"/>
    <w:rsid w:val="002D20DA"/>
    <w:rsid w:val="002D23B3"/>
    <w:rsid w:val="002D24FC"/>
    <w:rsid w:val="002D2504"/>
    <w:rsid w:val="002D2728"/>
    <w:rsid w:val="002D2809"/>
    <w:rsid w:val="002D2A7A"/>
    <w:rsid w:val="002D2AAD"/>
    <w:rsid w:val="002D2DF6"/>
    <w:rsid w:val="002D3166"/>
    <w:rsid w:val="002D31C1"/>
    <w:rsid w:val="002D3244"/>
    <w:rsid w:val="002D32BE"/>
    <w:rsid w:val="002D3304"/>
    <w:rsid w:val="002D33D6"/>
    <w:rsid w:val="002D391E"/>
    <w:rsid w:val="002D39CB"/>
    <w:rsid w:val="002D3BEB"/>
    <w:rsid w:val="002D3C3B"/>
    <w:rsid w:val="002D3CDD"/>
    <w:rsid w:val="002D3D8C"/>
    <w:rsid w:val="002D3E16"/>
    <w:rsid w:val="002D3EF6"/>
    <w:rsid w:val="002D42F2"/>
    <w:rsid w:val="002D434B"/>
    <w:rsid w:val="002D445E"/>
    <w:rsid w:val="002D46DA"/>
    <w:rsid w:val="002D48B5"/>
    <w:rsid w:val="002D49C4"/>
    <w:rsid w:val="002D4BAB"/>
    <w:rsid w:val="002D4D44"/>
    <w:rsid w:val="002D4D6D"/>
    <w:rsid w:val="002D4E15"/>
    <w:rsid w:val="002D4E6A"/>
    <w:rsid w:val="002D51E1"/>
    <w:rsid w:val="002D5216"/>
    <w:rsid w:val="002D52FE"/>
    <w:rsid w:val="002D531F"/>
    <w:rsid w:val="002D53A2"/>
    <w:rsid w:val="002D540A"/>
    <w:rsid w:val="002D55FA"/>
    <w:rsid w:val="002D56E6"/>
    <w:rsid w:val="002D5722"/>
    <w:rsid w:val="002D5730"/>
    <w:rsid w:val="002D58F2"/>
    <w:rsid w:val="002D5B7D"/>
    <w:rsid w:val="002D5C83"/>
    <w:rsid w:val="002D5C90"/>
    <w:rsid w:val="002D5D35"/>
    <w:rsid w:val="002D5D55"/>
    <w:rsid w:val="002D60A8"/>
    <w:rsid w:val="002D60F3"/>
    <w:rsid w:val="002D6601"/>
    <w:rsid w:val="002D66AC"/>
    <w:rsid w:val="002D67CB"/>
    <w:rsid w:val="002D6980"/>
    <w:rsid w:val="002D69A9"/>
    <w:rsid w:val="002D6AFC"/>
    <w:rsid w:val="002D6D71"/>
    <w:rsid w:val="002D6E02"/>
    <w:rsid w:val="002D6F67"/>
    <w:rsid w:val="002D6F90"/>
    <w:rsid w:val="002D7154"/>
    <w:rsid w:val="002D7293"/>
    <w:rsid w:val="002D73EF"/>
    <w:rsid w:val="002D74BD"/>
    <w:rsid w:val="002D7859"/>
    <w:rsid w:val="002D7A55"/>
    <w:rsid w:val="002D7B5F"/>
    <w:rsid w:val="002D7BB0"/>
    <w:rsid w:val="002D7BE2"/>
    <w:rsid w:val="002D7BFF"/>
    <w:rsid w:val="002E000E"/>
    <w:rsid w:val="002E00B5"/>
    <w:rsid w:val="002E00FB"/>
    <w:rsid w:val="002E03F0"/>
    <w:rsid w:val="002E05E7"/>
    <w:rsid w:val="002E06B1"/>
    <w:rsid w:val="002E08CC"/>
    <w:rsid w:val="002E096B"/>
    <w:rsid w:val="002E09AB"/>
    <w:rsid w:val="002E0A33"/>
    <w:rsid w:val="002E0BBB"/>
    <w:rsid w:val="002E0C1E"/>
    <w:rsid w:val="002E0E3F"/>
    <w:rsid w:val="002E0ED7"/>
    <w:rsid w:val="002E1146"/>
    <w:rsid w:val="002E11F8"/>
    <w:rsid w:val="002E13AD"/>
    <w:rsid w:val="002E141A"/>
    <w:rsid w:val="002E14F0"/>
    <w:rsid w:val="002E165B"/>
    <w:rsid w:val="002E1738"/>
    <w:rsid w:val="002E1A92"/>
    <w:rsid w:val="002E1B42"/>
    <w:rsid w:val="002E1CAD"/>
    <w:rsid w:val="002E1D8E"/>
    <w:rsid w:val="002E2242"/>
    <w:rsid w:val="002E2264"/>
    <w:rsid w:val="002E22DA"/>
    <w:rsid w:val="002E2399"/>
    <w:rsid w:val="002E23E8"/>
    <w:rsid w:val="002E2542"/>
    <w:rsid w:val="002E25DC"/>
    <w:rsid w:val="002E26B8"/>
    <w:rsid w:val="002E26D9"/>
    <w:rsid w:val="002E27F5"/>
    <w:rsid w:val="002E282E"/>
    <w:rsid w:val="002E29CB"/>
    <w:rsid w:val="002E2A22"/>
    <w:rsid w:val="002E2C62"/>
    <w:rsid w:val="002E2CD5"/>
    <w:rsid w:val="002E2D06"/>
    <w:rsid w:val="002E2E51"/>
    <w:rsid w:val="002E2EFA"/>
    <w:rsid w:val="002E30B1"/>
    <w:rsid w:val="002E3287"/>
    <w:rsid w:val="002E32D4"/>
    <w:rsid w:val="002E332C"/>
    <w:rsid w:val="002E360A"/>
    <w:rsid w:val="002E3716"/>
    <w:rsid w:val="002E384F"/>
    <w:rsid w:val="002E3AF6"/>
    <w:rsid w:val="002E3B91"/>
    <w:rsid w:val="002E3C7E"/>
    <w:rsid w:val="002E3D5D"/>
    <w:rsid w:val="002E3DF7"/>
    <w:rsid w:val="002E4072"/>
    <w:rsid w:val="002E40D1"/>
    <w:rsid w:val="002E45ED"/>
    <w:rsid w:val="002E46D8"/>
    <w:rsid w:val="002E4975"/>
    <w:rsid w:val="002E4A80"/>
    <w:rsid w:val="002E4EEE"/>
    <w:rsid w:val="002E4FB9"/>
    <w:rsid w:val="002E5139"/>
    <w:rsid w:val="002E518C"/>
    <w:rsid w:val="002E524C"/>
    <w:rsid w:val="002E5298"/>
    <w:rsid w:val="002E533E"/>
    <w:rsid w:val="002E53D5"/>
    <w:rsid w:val="002E54F7"/>
    <w:rsid w:val="002E556C"/>
    <w:rsid w:val="002E5902"/>
    <w:rsid w:val="002E59A5"/>
    <w:rsid w:val="002E5A34"/>
    <w:rsid w:val="002E5AAF"/>
    <w:rsid w:val="002E5B7E"/>
    <w:rsid w:val="002E5D68"/>
    <w:rsid w:val="002E5D9A"/>
    <w:rsid w:val="002E5F44"/>
    <w:rsid w:val="002E5FA2"/>
    <w:rsid w:val="002E5FBE"/>
    <w:rsid w:val="002E5FD6"/>
    <w:rsid w:val="002E6034"/>
    <w:rsid w:val="002E60CD"/>
    <w:rsid w:val="002E612B"/>
    <w:rsid w:val="002E6171"/>
    <w:rsid w:val="002E62FA"/>
    <w:rsid w:val="002E64D2"/>
    <w:rsid w:val="002E6A49"/>
    <w:rsid w:val="002E6ADB"/>
    <w:rsid w:val="002E6AF9"/>
    <w:rsid w:val="002E6E2A"/>
    <w:rsid w:val="002E6EDD"/>
    <w:rsid w:val="002E7709"/>
    <w:rsid w:val="002E775A"/>
    <w:rsid w:val="002E77B5"/>
    <w:rsid w:val="002E7916"/>
    <w:rsid w:val="002E7A5F"/>
    <w:rsid w:val="002E7B5B"/>
    <w:rsid w:val="002E7C40"/>
    <w:rsid w:val="002E7CF3"/>
    <w:rsid w:val="002E7EA1"/>
    <w:rsid w:val="002F0006"/>
    <w:rsid w:val="002F01F6"/>
    <w:rsid w:val="002F02C2"/>
    <w:rsid w:val="002F0375"/>
    <w:rsid w:val="002F0482"/>
    <w:rsid w:val="002F04D1"/>
    <w:rsid w:val="002F059F"/>
    <w:rsid w:val="002F0703"/>
    <w:rsid w:val="002F08AB"/>
    <w:rsid w:val="002F0914"/>
    <w:rsid w:val="002F0B25"/>
    <w:rsid w:val="002F0E45"/>
    <w:rsid w:val="002F0E6C"/>
    <w:rsid w:val="002F0E78"/>
    <w:rsid w:val="002F0FB9"/>
    <w:rsid w:val="002F0FF3"/>
    <w:rsid w:val="002F10B2"/>
    <w:rsid w:val="002F18B9"/>
    <w:rsid w:val="002F1BF3"/>
    <w:rsid w:val="002F1C1E"/>
    <w:rsid w:val="002F1C74"/>
    <w:rsid w:val="002F1CB4"/>
    <w:rsid w:val="002F1CEA"/>
    <w:rsid w:val="002F1D73"/>
    <w:rsid w:val="002F1F31"/>
    <w:rsid w:val="002F1FDC"/>
    <w:rsid w:val="002F233D"/>
    <w:rsid w:val="002F2408"/>
    <w:rsid w:val="002F2531"/>
    <w:rsid w:val="002F254C"/>
    <w:rsid w:val="002F266D"/>
    <w:rsid w:val="002F2820"/>
    <w:rsid w:val="002F2B4D"/>
    <w:rsid w:val="002F2B6E"/>
    <w:rsid w:val="002F2DBA"/>
    <w:rsid w:val="002F2DCD"/>
    <w:rsid w:val="002F2DD7"/>
    <w:rsid w:val="002F3244"/>
    <w:rsid w:val="002F3330"/>
    <w:rsid w:val="002F3426"/>
    <w:rsid w:val="002F342C"/>
    <w:rsid w:val="002F370C"/>
    <w:rsid w:val="002F37BF"/>
    <w:rsid w:val="002F37E2"/>
    <w:rsid w:val="002F3A4D"/>
    <w:rsid w:val="002F3AED"/>
    <w:rsid w:val="002F3C69"/>
    <w:rsid w:val="002F3CC1"/>
    <w:rsid w:val="002F3CC3"/>
    <w:rsid w:val="002F3CCD"/>
    <w:rsid w:val="002F3DAF"/>
    <w:rsid w:val="002F3E48"/>
    <w:rsid w:val="002F42E3"/>
    <w:rsid w:val="002F43D5"/>
    <w:rsid w:val="002F4623"/>
    <w:rsid w:val="002F463F"/>
    <w:rsid w:val="002F4781"/>
    <w:rsid w:val="002F4800"/>
    <w:rsid w:val="002F4908"/>
    <w:rsid w:val="002F492C"/>
    <w:rsid w:val="002F4BD1"/>
    <w:rsid w:val="002F4CEB"/>
    <w:rsid w:val="002F4DD4"/>
    <w:rsid w:val="002F4E6F"/>
    <w:rsid w:val="002F4F1A"/>
    <w:rsid w:val="002F502C"/>
    <w:rsid w:val="002F5055"/>
    <w:rsid w:val="002F516A"/>
    <w:rsid w:val="002F51AC"/>
    <w:rsid w:val="002F5228"/>
    <w:rsid w:val="002F53D8"/>
    <w:rsid w:val="002F54F6"/>
    <w:rsid w:val="002F560E"/>
    <w:rsid w:val="002F57C4"/>
    <w:rsid w:val="002F5948"/>
    <w:rsid w:val="002F5B11"/>
    <w:rsid w:val="002F5BC4"/>
    <w:rsid w:val="002F5CF5"/>
    <w:rsid w:val="002F60AE"/>
    <w:rsid w:val="002F61A7"/>
    <w:rsid w:val="002F6236"/>
    <w:rsid w:val="002F62A5"/>
    <w:rsid w:val="002F6414"/>
    <w:rsid w:val="002F643D"/>
    <w:rsid w:val="002F6668"/>
    <w:rsid w:val="002F66E1"/>
    <w:rsid w:val="002F67FE"/>
    <w:rsid w:val="002F69F6"/>
    <w:rsid w:val="002F6A71"/>
    <w:rsid w:val="002F6AFF"/>
    <w:rsid w:val="002F6B18"/>
    <w:rsid w:val="002F6D75"/>
    <w:rsid w:val="002F6EFB"/>
    <w:rsid w:val="002F6F69"/>
    <w:rsid w:val="002F6F77"/>
    <w:rsid w:val="002F6FCC"/>
    <w:rsid w:val="002F70CF"/>
    <w:rsid w:val="002F7149"/>
    <w:rsid w:val="002F71B3"/>
    <w:rsid w:val="002F7277"/>
    <w:rsid w:val="002F72C6"/>
    <w:rsid w:val="002F758A"/>
    <w:rsid w:val="002F766E"/>
    <w:rsid w:val="002F778E"/>
    <w:rsid w:val="002F7858"/>
    <w:rsid w:val="002F7AEB"/>
    <w:rsid w:val="002F7D66"/>
    <w:rsid w:val="002F7E23"/>
    <w:rsid w:val="002F7EF4"/>
    <w:rsid w:val="002F7F4B"/>
    <w:rsid w:val="002F7FD6"/>
    <w:rsid w:val="003000D9"/>
    <w:rsid w:val="003001A2"/>
    <w:rsid w:val="0030047C"/>
    <w:rsid w:val="00300500"/>
    <w:rsid w:val="003005BE"/>
    <w:rsid w:val="00300665"/>
    <w:rsid w:val="003008E0"/>
    <w:rsid w:val="003008E1"/>
    <w:rsid w:val="003009F2"/>
    <w:rsid w:val="00300AD9"/>
    <w:rsid w:val="00300B49"/>
    <w:rsid w:val="00300B8D"/>
    <w:rsid w:val="00300C37"/>
    <w:rsid w:val="00300C88"/>
    <w:rsid w:val="00301136"/>
    <w:rsid w:val="00301277"/>
    <w:rsid w:val="00301358"/>
    <w:rsid w:val="003013A5"/>
    <w:rsid w:val="0030160F"/>
    <w:rsid w:val="003016C9"/>
    <w:rsid w:val="00301803"/>
    <w:rsid w:val="003019AC"/>
    <w:rsid w:val="00301A1C"/>
    <w:rsid w:val="00301A51"/>
    <w:rsid w:val="00301A90"/>
    <w:rsid w:val="00301BD7"/>
    <w:rsid w:val="00301CFA"/>
    <w:rsid w:val="00301E15"/>
    <w:rsid w:val="00301E42"/>
    <w:rsid w:val="00301E88"/>
    <w:rsid w:val="00301EDA"/>
    <w:rsid w:val="00302069"/>
    <w:rsid w:val="00302172"/>
    <w:rsid w:val="003021C8"/>
    <w:rsid w:val="003025D3"/>
    <w:rsid w:val="00302687"/>
    <w:rsid w:val="003026AC"/>
    <w:rsid w:val="003028A8"/>
    <w:rsid w:val="00302D1B"/>
    <w:rsid w:val="00302DC0"/>
    <w:rsid w:val="0030302C"/>
    <w:rsid w:val="003030F4"/>
    <w:rsid w:val="0030338B"/>
    <w:rsid w:val="003036CA"/>
    <w:rsid w:val="00303710"/>
    <w:rsid w:val="00303729"/>
    <w:rsid w:val="00303A77"/>
    <w:rsid w:val="00303AE6"/>
    <w:rsid w:val="00303BD1"/>
    <w:rsid w:val="00303BE5"/>
    <w:rsid w:val="00303DF7"/>
    <w:rsid w:val="00303E97"/>
    <w:rsid w:val="00303FDE"/>
    <w:rsid w:val="0030400C"/>
    <w:rsid w:val="003040A6"/>
    <w:rsid w:val="003041D7"/>
    <w:rsid w:val="003042BB"/>
    <w:rsid w:val="00304436"/>
    <w:rsid w:val="00304455"/>
    <w:rsid w:val="0030453A"/>
    <w:rsid w:val="003046C0"/>
    <w:rsid w:val="00304816"/>
    <w:rsid w:val="0030498B"/>
    <w:rsid w:val="00304E04"/>
    <w:rsid w:val="00304E37"/>
    <w:rsid w:val="00304E43"/>
    <w:rsid w:val="00304EE5"/>
    <w:rsid w:val="00304F48"/>
    <w:rsid w:val="00304F51"/>
    <w:rsid w:val="00305026"/>
    <w:rsid w:val="00305171"/>
    <w:rsid w:val="00305227"/>
    <w:rsid w:val="00305325"/>
    <w:rsid w:val="003056BA"/>
    <w:rsid w:val="00305769"/>
    <w:rsid w:val="00305892"/>
    <w:rsid w:val="00305A89"/>
    <w:rsid w:val="00305BE3"/>
    <w:rsid w:val="00305F7A"/>
    <w:rsid w:val="00305F7F"/>
    <w:rsid w:val="00305FC7"/>
    <w:rsid w:val="00306260"/>
    <w:rsid w:val="0030633D"/>
    <w:rsid w:val="003063E5"/>
    <w:rsid w:val="00306418"/>
    <w:rsid w:val="0030655C"/>
    <w:rsid w:val="003069D1"/>
    <w:rsid w:val="00306A34"/>
    <w:rsid w:val="00306B49"/>
    <w:rsid w:val="00306E51"/>
    <w:rsid w:val="00307122"/>
    <w:rsid w:val="0030737F"/>
    <w:rsid w:val="0030759A"/>
    <w:rsid w:val="003076F1"/>
    <w:rsid w:val="00307903"/>
    <w:rsid w:val="00307989"/>
    <w:rsid w:val="0030799A"/>
    <w:rsid w:val="00307EF5"/>
    <w:rsid w:val="00310034"/>
    <w:rsid w:val="0031029D"/>
    <w:rsid w:val="0031077B"/>
    <w:rsid w:val="003107DC"/>
    <w:rsid w:val="00310804"/>
    <w:rsid w:val="00310991"/>
    <w:rsid w:val="003109AA"/>
    <w:rsid w:val="00310A1D"/>
    <w:rsid w:val="00310C9C"/>
    <w:rsid w:val="00310E41"/>
    <w:rsid w:val="00310E69"/>
    <w:rsid w:val="00310E8A"/>
    <w:rsid w:val="00310EBE"/>
    <w:rsid w:val="00311055"/>
    <w:rsid w:val="003110FC"/>
    <w:rsid w:val="0031131F"/>
    <w:rsid w:val="003114AC"/>
    <w:rsid w:val="0031151C"/>
    <w:rsid w:val="00311563"/>
    <w:rsid w:val="003115E5"/>
    <w:rsid w:val="00311669"/>
    <w:rsid w:val="0031188E"/>
    <w:rsid w:val="00311C7E"/>
    <w:rsid w:val="00311D6F"/>
    <w:rsid w:val="00311D9F"/>
    <w:rsid w:val="00311DB0"/>
    <w:rsid w:val="0031218C"/>
    <w:rsid w:val="00312204"/>
    <w:rsid w:val="0031242D"/>
    <w:rsid w:val="00312512"/>
    <w:rsid w:val="00312978"/>
    <w:rsid w:val="00312A03"/>
    <w:rsid w:val="00312AF6"/>
    <w:rsid w:val="00312C0F"/>
    <w:rsid w:val="003131C9"/>
    <w:rsid w:val="003132ED"/>
    <w:rsid w:val="0031331F"/>
    <w:rsid w:val="00313410"/>
    <w:rsid w:val="00313525"/>
    <w:rsid w:val="003137CB"/>
    <w:rsid w:val="0031392E"/>
    <w:rsid w:val="00313994"/>
    <w:rsid w:val="00313B41"/>
    <w:rsid w:val="00313D94"/>
    <w:rsid w:val="00313EFA"/>
    <w:rsid w:val="00313F8A"/>
    <w:rsid w:val="00314095"/>
    <w:rsid w:val="00314144"/>
    <w:rsid w:val="003142F6"/>
    <w:rsid w:val="003143AE"/>
    <w:rsid w:val="003143D6"/>
    <w:rsid w:val="003144EF"/>
    <w:rsid w:val="00314561"/>
    <w:rsid w:val="00314643"/>
    <w:rsid w:val="0031471A"/>
    <w:rsid w:val="0031498C"/>
    <w:rsid w:val="00314A2B"/>
    <w:rsid w:val="00314B5C"/>
    <w:rsid w:val="00314B7D"/>
    <w:rsid w:val="00314C41"/>
    <w:rsid w:val="00314C96"/>
    <w:rsid w:val="00314D45"/>
    <w:rsid w:val="00314F36"/>
    <w:rsid w:val="00314FDC"/>
    <w:rsid w:val="0031515F"/>
    <w:rsid w:val="003151C6"/>
    <w:rsid w:val="00315247"/>
    <w:rsid w:val="0031524C"/>
    <w:rsid w:val="00315334"/>
    <w:rsid w:val="003153DD"/>
    <w:rsid w:val="00315466"/>
    <w:rsid w:val="003154E5"/>
    <w:rsid w:val="003155B2"/>
    <w:rsid w:val="0031565F"/>
    <w:rsid w:val="00315743"/>
    <w:rsid w:val="0031578B"/>
    <w:rsid w:val="0031590F"/>
    <w:rsid w:val="003159C1"/>
    <w:rsid w:val="00315B41"/>
    <w:rsid w:val="00315C62"/>
    <w:rsid w:val="00315C65"/>
    <w:rsid w:val="00315DDF"/>
    <w:rsid w:val="00315DFD"/>
    <w:rsid w:val="00315E8C"/>
    <w:rsid w:val="0031603B"/>
    <w:rsid w:val="00316049"/>
    <w:rsid w:val="00316138"/>
    <w:rsid w:val="00316393"/>
    <w:rsid w:val="00316404"/>
    <w:rsid w:val="0031644F"/>
    <w:rsid w:val="003166FA"/>
    <w:rsid w:val="003168A9"/>
    <w:rsid w:val="00316984"/>
    <w:rsid w:val="00316A31"/>
    <w:rsid w:val="00316CDF"/>
    <w:rsid w:val="00316DB2"/>
    <w:rsid w:val="00316F79"/>
    <w:rsid w:val="00316F9F"/>
    <w:rsid w:val="00317000"/>
    <w:rsid w:val="00317104"/>
    <w:rsid w:val="00317277"/>
    <w:rsid w:val="0031735C"/>
    <w:rsid w:val="003175FB"/>
    <w:rsid w:val="0031768F"/>
    <w:rsid w:val="003178FC"/>
    <w:rsid w:val="00317998"/>
    <w:rsid w:val="00317CCE"/>
    <w:rsid w:val="00317F14"/>
    <w:rsid w:val="00317F66"/>
    <w:rsid w:val="00317FD8"/>
    <w:rsid w:val="0032014C"/>
    <w:rsid w:val="003204AA"/>
    <w:rsid w:val="003207B1"/>
    <w:rsid w:val="003207D8"/>
    <w:rsid w:val="0032092F"/>
    <w:rsid w:val="00320939"/>
    <w:rsid w:val="003209CA"/>
    <w:rsid w:val="003209F9"/>
    <w:rsid w:val="00320ACA"/>
    <w:rsid w:val="00320BF0"/>
    <w:rsid w:val="00320D5E"/>
    <w:rsid w:val="00320E67"/>
    <w:rsid w:val="00320F40"/>
    <w:rsid w:val="00320FCE"/>
    <w:rsid w:val="00321081"/>
    <w:rsid w:val="0032187C"/>
    <w:rsid w:val="003218D8"/>
    <w:rsid w:val="00321946"/>
    <w:rsid w:val="00321BCF"/>
    <w:rsid w:val="00321E1F"/>
    <w:rsid w:val="00322019"/>
    <w:rsid w:val="0032214C"/>
    <w:rsid w:val="00322167"/>
    <w:rsid w:val="00322250"/>
    <w:rsid w:val="0032238F"/>
    <w:rsid w:val="00322391"/>
    <w:rsid w:val="00322765"/>
    <w:rsid w:val="003227F2"/>
    <w:rsid w:val="00322873"/>
    <w:rsid w:val="00322959"/>
    <w:rsid w:val="00322A68"/>
    <w:rsid w:val="00322AB4"/>
    <w:rsid w:val="00322E91"/>
    <w:rsid w:val="00322EF5"/>
    <w:rsid w:val="00322F08"/>
    <w:rsid w:val="00323010"/>
    <w:rsid w:val="0032306E"/>
    <w:rsid w:val="0032318B"/>
    <w:rsid w:val="00323240"/>
    <w:rsid w:val="0032324A"/>
    <w:rsid w:val="00323390"/>
    <w:rsid w:val="00323443"/>
    <w:rsid w:val="00323489"/>
    <w:rsid w:val="00323645"/>
    <w:rsid w:val="0032367B"/>
    <w:rsid w:val="00323748"/>
    <w:rsid w:val="00323C89"/>
    <w:rsid w:val="00323CA8"/>
    <w:rsid w:val="00323CF9"/>
    <w:rsid w:val="00323F56"/>
    <w:rsid w:val="00323FDE"/>
    <w:rsid w:val="0032400B"/>
    <w:rsid w:val="00324132"/>
    <w:rsid w:val="0032417C"/>
    <w:rsid w:val="00324397"/>
    <w:rsid w:val="00324411"/>
    <w:rsid w:val="00324460"/>
    <w:rsid w:val="003245AD"/>
    <w:rsid w:val="00324675"/>
    <w:rsid w:val="00324695"/>
    <w:rsid w:val="0032470F"/>
    <w:rsid w:val="0032483C"/>
    <w:rsid w:val="003249F2"/>
    <w:rsid w:val="00324B9A"/>
    <w:rsid w:val="00324BB5"/>
    <w:rsid w:val="00324C53"/>
    <w:rsid w:val="00325069"/>
    <w:rsid w:val="003250D4"/>
    <w:rsid w:val="003250DF"/>
    <w:rsid w:val="003254A7"/>
    <w:rsid w:val="003255AC"/>
    <w:rsid w:val="0032564B"/>
    <w:rsid w:val="003256FA"/>
    <w:rsid w:val="003259B1"/>
    <w:rsid w:val="00325D19"/>
    <w:rsid w:val="00325ED8"/>
    <w:rsid w:val="00325FD2"/>
    <w:rsid w:val="003262F6"/>
    <w:rsid w:val="0032633F"/>
    <w:rsid w:val="003263AE"/>
    <w:rsid w:val="003266C0"/>
    <w:rsid w:val="0032670F"/>
    <w:rsid w:val="00326917"/>
    <w:rsid w:val="00326979"/>
    <w:rsid w:val="0032697B"/>
    <w:rsid w:val="003269F9"/>
    <w:rsid w:val="00326C98"/>
    <w:rsid w:val="00327184"/>
    <w:rsid w:val="003271B3"/>
    <w:rsid w:val="0032723E"/>
    <w:rsid w:val="003272AB"/>
    <w:rsid w:val="00327300"/>
    <w:rsid w:val="00327320"/>
    <w:rsid w:val="0032737E"/>
    <w:rsid w:val="00327573"/>
    <w:rsid w:val="0032757D"/>
    <w:rsid w:val="0032758A"/>
    <w:rsid w:val="0032786B"/>
    <w:rsid w:val="00327A9F"/>
    <w:rsid w:val="00327ACE"/>
    <w:rsid w:val="00327D0E"/>
    <w:rsid w:val="00327D9A"/>
    <w:rsid w:val="00330106"/>
    <w:rsid w:val="0033014F"/>
    <w:rsid w:val="0033028B"/>
    <w:rsid w:val="0033032D"/>
    <w:rsid w:val="00330579"/>
    <w:rsid w:val="00330699"/>
    <w:rsid w:val="003307D1"/>
    <w:rsid w:val="00330921"/>
    <w:rsid w:val="00330B4F"/>
    <w:rsid w:val="00330BDB"/>
    <w:rsid w:val="00330F55"/>
    <w:rsid w:val="0033101A"/>
    <w:rsid w:val="0033109E"/>
    <w:rsid w:val="00331128"/>
    <w:rsid w:val="003311F9"/>
    <w:rsid w:val="0033121A"/>
    <w:rsid w:val="00331466"/>
    <w:rsid w:val="00331B63"/>
    <w:rsid w:val="00331D61"/>
    <w:rsid w:val="00331F3E"/>
    <w:rsid w:val="0033202E"/>
    <w:rsid w:val="00332051"/>
    <w:rsid w:val="003321DF"/>
    <w:rsid w:val="00332631"/>
    <w:rsid w:val="00332660"/>
    <w:rsid w:val="003327C5"/>
    <w:rsid w:val="00332911"/>
    <w:rsid w:val="00332A24"/>
    <w:rsid w:val="00332A7E"/>
    <w:rsid w:val="00332AAD"/>
    <w:rsid w:val="00332B3A"/>
    <w:rsid w:val="00332B67"/>
    <w:rsid w:val="00332C00"/>
    <w:rsid w:val="00332C54"/>
    <w:rsid w:val="00332D0B"/>
    <w:rsid w:val="00332DD9"/>
    <w:rsid w:val="00332DE0"/>
    <w:rsid w:val="00332E0D"/>
    <w:rsid w:val="0033313B"/>
    <w:rsid w:val="00333261"/>
    <w:rsid w:val="0033335D"/>
    <w:rsid w:val="00333447"/>
    <w:rsid w:val="00333575"/>
    <w:rsid w:val="00333589"/>
    <w:rsid w:val="003337DD"/>
    <w:rsid w:val="0033386E"/>
    <w:rsid w:val="003338DF"/>
    <w:rsid w:val="00333AFB"/>
    <w:rsid w:val="00333D65"/>
    <w:rsid w:val="00333DDD"/>
    <w:rsid w:val="00333E1E"/>
    <w:rsid w:val="00333E68"/>
    <w:rsid w:val="00333F10"/>
    <w:rsid w:val="003340B9"/>
    <w:rsid w:val="00334164"/>
    <w:rsid w:val="0033448C"/>
    <w:rsid w:val="0033470C"/>
    <w:rsid w:val="003348EA"/>
    <w:rsid w:val="00334944"/>
    <w:rsid w:val="003349E6"/>
    <w:rsid w:val="00334C8B"/>
    <w:rsid w:val="00334F3A"/>
    <w:rsid w:val="00335050"/>
    <w:rsid w:val="00335123"/>
    <w:rsid w:val="003352C1"/>
    <w:rsid w:val="003352FF"/>
    <w:rsid w:val="00335330"/>
    <w:rsid w:val="003355F8"/>
    <w:rsid w:val="00335A8A"/>
    <w:rsid w:val="00335B2B"/>
    <w:rsid w:val="00335C91"/>
    <w:rsid w:val="00335CD8"/>
    <w:rsid w:val="00335D9C"/>
    <w:rsid w:val="0033600A"/>
    <w:rsid w:val="00336075"/>
    <w:rsid w:val="00336250"/>
    <w:rsid w:val="0033639F"/>
    <w:rsid w:val="00336627"/>
    <w:rsid w:val="003367F0"/>
    <w:rsid w:val="00336A02"/>
    <w:rsid w:val="00336D5E"/>
    <w:rsid w:val="00336E20"/>
    <w:rsid w:val="0033707F"/>
    <w:rsid w:val="00337128"/>
    <w:rsid w:val="00337235"/>
    <w:rsid w:val="00337262"/>
    <w:rsid w:val="00337288"/>
    <w:rsid w:val="003372A5"/>
    <w:rsid w:val="003372D3"/>
    <w:rsid w:val="00337384"/>
    <w:rsid w:val="00337400"/>
    <w:rsid w:val="003378EA"/>
    <w:rsid w:val="00337DA1"/>
    <w:rsid w:val="00337F7C"/>
    <w:rsid w:val="0034019C"/>
    <w:rsid w:val="003401B9"/>
    <w:rsid w:val="00340462"/>
    <w:rsid w:val="003404F1"/>
    <w:rsid w:val="0034079C"/>
    <w:rsid w:val="003408BE"/>
    <w:rsid w:val="00340942"/>
    <w:rsid w:val="003409A8"/>
    <w:rsid w:val="00340AC5"/>
    <w:rsid w:val="00340B67"/>
    <w:rsid w:val="00340C1B"/>
    <w:rsid w:val="00340C43"/>
    <w:rsid w:val="00340C8D"/>
    <w:rsid w:val="00340D61"/>
    <w:rsid w:val="0034100C"/>
    <w:rsid w:val="003412F2"/>
    <w:rsid w:val="0034134C"/>
    <w:rsid w:val="0034134F"/>
    <w:rsid w:val="003413DF"/>
    <w:rsid w:val="003413E9"/>
    <w:rsid w:val="00341514"/>
    <w:rsid w:val="003415A3"/>
    <w:rsid w:val="003415A6"/>
    <w:rsid w:val="003418EC"/>
    <w:rsid w:val="003419C1"/>
    <w:rsid w:val="003419EF"/>
    <w:rsid w:val="00341B57"/>
    <w:rsid w:val="00341D43"/>
    <w:rsid w:val="00341D90"/>
    <w:rsid w:val="003420D9"/>
    <w:rsid w:val="003422F7"/>
    <w:rsid w:val="00342525"/>
    <w:rsid w:val="00342540"/>
    <w:rsid w:val="0034296C"/>
    <w:rsid w:val="00342A52"/>
    <w:rsid w:val="00342B20"/>
    <w:rsid w:val="00342B5A"/>
    <w:rsid w:val="00342BEC"/>
    <w:rsid w:val="0034301A"/>
    <w:rsid w:val="00343031"/>
    <w:rsid w:val="00343273"/>
    <w:rsid w:val="003432B4"/>
    <w:rsid w:val="0034332A"/>
    <w:rsid w:val="003434D4"/>
    <w:rsid w:val="003434EA"/>
    <w:rsid w:val="003435A5"/>
    <w:rsid w:val="0034375E"/>
    <w:rsid w:val="0034377C"/>
    <w:rsid w:val="00343787"/>
    <w:rsid w:val="00343BCC"/>
    <w:rsid w:val="00343DC4"/>
    <w:rsid w:val="00343EDE"/>
    <w:rsid w:val="00343F38"/>
    <w:rsid w:val="00343F3D"/>
    <w:rsid w:val="00344036"/>
    <w:rsid w:val="0034410E"/>
    <w:rsid w:val="003441C7"/>
    <w:rsid w:val="003442D0"/>
    <w:rsid w:val="0034440A"/>
    <w:rsid w:val="00344420"/>
    <w:rsid w:val="003445B3"/>
    <w:rsid w:val="00344613"/>
    <w:rsid w:val="00344662"/>
    <w:rsid w:val="00344757"/>
    <w:rsid w:val="00344B95"/>
    <w:rsid w:val="00344C87"/>
    <w:rsid w:val="00344DA9"/>
    <w:rsid w:val="00344E37"/>
    <w:rsid w:val="00344E8D"/>
    <w:rsid w:val="00344EC8"/>
    <w:rsid w:val="00344FC0"/>
    <w:rsid w:val="003450E1"/>
    <w:rsid w:val="00345235"/>
    <w:rsid w:val="00345337"/>
    <w:rsid w:val="003453C0"/>
    <w:rsid w:val="0034548E"/>
    <w:rsid w:val="003455AA"/>
    <w:rsid w:val="00345626"/>
    <w:rsid w:val="0034583A"/>
    <w:rsid w:val="003458D3"/>
    <w:rsid w:val="003458D9"/>
    <w:rsid w:val="00345997"/>
    <w:rsid w:val="003459E5"/>
    <w:rsid w:val="003459FC"/>
    <w:rsid w:val="00345CE3"/>
    <w:rsid w:val="00345E46"/>
    <w:rsid w:val="00345EA9"/>
    <w:rsid w:val="003462C5"/>
    <w:rsid w:val="003462CF"/>
    <w:rsid w:val="00346380"/>
    <w:rsid w:val="0034643C"/>
    <w:rsid w:val="0034646D"/>
    <w:rsid w:val="00346521"/>
    <w:rsid w:val="0034655E"/>
    <w:rsid w:val="00346663"/>
    <w:rsid w:val="0034681A"/>
    <w:rsid w:val="00346879"/>
    <w:rsid w:val="00346953"/>
    <w:rsid w:val="003469AA"/>
    <w:rsid w:val="00346A52"/>
    <w:rsid w:val="00346EC1"/>
    <w:rsid w:val="00346EF9"/>
    <w:rsid w:val="00347074"/>
    <w:rsid w:val="003470FC"/>
    <w:rsid w:val="003471AD"/>
    <w:rsid w:val="0034725F"/>
    <w:rsid w:val="00347278"/>
    <w:rsid w:val="003472F6"/>
    <w:rsid w:val="0034750F"/>
    <w:rsid w:val="003476EA"/>
    <w:rsid w:val="00347786"/>
    <w:rsid w:val="00347867"/>
    <w:rsid w:val="00347915"/>
    <w:rsid w:val="0034798C"/>
    <w:rsid w:val="00347A5D"/>
    <w:rsid w:val="00347BBE"/>
    <w:rsid w:val="00347F4C"/>
    <w:rsid w:val="003500DE"/>
    <w:rsid w:val="0035022D"/>
    <w:rsid w:val="00350247"/>
    <w:rsid w:val="0035024E"/>
    <w:rsid w:val="003505FA"/>
    <w:rsid w:val="003507AF"/>
    <w:rsid w:val="003509A0"/>
    <w:rsid w:val="003509AB"/>
    <w:rsid w:val="00350A54"/>
    <w:rsid w:val="00350B18"/>
    <w:rsid w:val="00350BA4"/>
    <w:rsid w:val="00350C43"/>
    <w:rsid w:val="00351046"/>
    <w:rsid w:val="00351269"/>
    <w:rsid w:val="0035127B"/>
    <w:rsid w:val="00351332"/>
    <w:rsid w:val="003514A6"/>
    <w:rsid w:val="00351682"/>
    <w:rsid w:val="0035170A"/>
    <w:rsid w:val="003518F6"/>
    <w:rsid w:val="003519C9"/>
    <w:rsid w:val="00351AA8"/>
    <w:rsid w:val="00351B0A"/>
    <w:rsid w:val="00351C30"/>
    <w:rsid w:val="00351CB6"/>
    <w:rsid w:val="00351CDE"/>
    <w:rsid w:val="0035202E"/>
    <w:rsid w:val="00352049"/>
    <w:rsid w:val="00352064"/>
    <w:rsid w:val="00352080"/>
    <w:rsid w:val="0035230A"/>
    <w:rsid w:val="0035252A"/>
    <w:rsid w:val="0035256B"/>
    <w:rsid w:val="00352634"/>
    <w:rsid w:val="003526CB"/>
    <w:rsid w:val="00352949"/>
    <w:rsid w:val="00352A43"/>
    <w:rsid w:val="00352A6A"/>
    <w:rsid w:val="00352A92"/>
    <w:rsid w:val="00352B85"/>
    <w:rsid w:val="00352BD0"/>
    <w:rsid w:val="00352D53"/>
    <w:rsid w:val="00352E5F"/>
    <w:rsid w:val="003531FD"/>
    <w:rsid w:val="00353355"/>
    <w:rsid w:val="0035348B"/>
    <w:rsid w:val="003534C4"/>
    <w:rsid w:val="0035357C"/>
    <w:rsid w:val="00353609"/>
    <w:rsid w:val="003536D0"/>
    <w:rsid w:val="00353794"/>
    <w:rsid w:val="00353883"/>
    <w:rsid w:val="00353916"/>
    <w:rsid w:val="00353B87"/>
    <w:rsid w:val="00353BA1"/>
    <w:rsid w:val="00353CA1"/>
    <w:rsid w:val="00353CB0"/>
    <w:rsid w:val="00353CC8"/>
    <w:rsid w:val="00353D39"/>
    <w:rsid w:val="00353F31"/>
    <w:rsid w:val="00354147"/>
    <w:rsid w:val="00354212"/>
    <w:rsid w:val="003543AB"/>
    <w:rsid w:val="003546D4"/>
    <w:rsid w:val="003547D2"/>
    <w:rsid w:val="003548B6"/>
    <w:rsid w:val="003549FE"/>
    <w:rsid w:val="00354A8A"/>
    <w:rsid w:val="00354BB9"/>
    <w:rsid w:val="00354D62"/>
    <w:rsid w:val="00354E77"/>
    <w:rsid w:val="00354F33"/>
    <w:rsid w:val="0035522B"/>
    <w:rsid w:val="003554FE"/>
    <w:rsid w:val="0035556D"/>
    <w:rsid w:val="003555E1"/>
    <w:rsid w:val="00355702"/>
    <w:rsid w:val="00355707"/>
    <w:rsid w:val="00355797"/>
    <w:rsid w:val="003557E5"/>
    <w:rsid w:val="00355970"/>
    <w:rsid w:val="003559B1"/>
    <w:rsid w:val="003559CF"/>
    <w:rsid w:val="003559DE"/>
    <w:rsid w:val="00355B54"/>
    <w:rsid w:val="00355CDF"/>
    <w:rsid w:val="00355D2A"/>
    <w:rsid w:val="00355E74"/>
    <w:rsid w:val="00355EEB"/>
    <w:rsid w:val="00355FE7"/>
    <w:rsid w:val="003562F8"/>
    <w:rsid w:val="00356322"/>
    <w:rsid w:val="003565B9"/>
    <w:rsid w:val="003566A6"/>
    <w:rsid w:val="003567C7"/>
    <w:rsid w:val="003567D2"/>
    <w:rsid w:val="00356AEC"/>
    <w:rsid w:val="00356B7B"/>
    <w:rsid w:val="00356D36"/>
    <w:rsid w:val="00356D8A"/>
    <w:rsid w:val="00356E1B"/>
    <w:rsid w:val="00356F34"/>
    <w:rsid w:val="00356FF4"/>
    <w:rsid w:val="00357622"/>
    <w:rsid w:val="003578E2"/>
    <w:rsid w:val="00357B23"/>
    <w:rsid w:val="0036002B"/>
    <w:rsid w:val="003601F1"/>
    <w:rsid w:val="0036024F"/>
    <w:rsid w:val="00360490"/>
    <w:rsid w:val="003605E0"/>
    <w:rsid w:val="003606A9"/>
    <w:rsid w:val="003606DB"/>
    <w:rsid w:val="00360862"/>
    <w:rsid w:val="00360C58"/>
    <w:rsid w:val="00360D1D"/>
    <w:rsid w:val="00360DAC"/>
    <w:rsid w:val="00360E36"/>
    <w:rsid w:val="00360FAF"/>
    <w:rsid w:val="00361032"/>
    <w:rsid w:val="003611EC"/>
    <w:rsid w:val="003612DC"/>
    <w:rsid w:val="00361312"/>
    <w:rsid w:val="00361406"/>
    <w:rsid w:val="0036168D"/>
    <w:rsid w:val="003616D4"/>
    <w:rsid w:val="00361AEB"/>
    <w:rsid w:val="00361B16"/>
    <w:rsid w:val="00361B19"/>
    <w:rsid w:val="00361BAC"/>
    <w:rsid w:val="00361D6E"/>
    <w:rsid w:val="00362050"/>
    <w:rsid w:val="00362122"/>
    <w:rsid w:val="0036217F"/>
    <w:rsid w:val="003622CA"/>
    <w:rsid w:val="003625AF"/>
    <w:rsid w:val="003627E4"/>
    <w:rsid w:val="003629FB"/>
    <w:rsid w:val="00362D4F"/>
    <w:rsid w:val="00362D75"/>
    <w:rsid w:val="00362DD9"/>
    <w:rsid w:val="00362E8E"/>
    <w:rsid w:val="00363236"/>
    <w:rsid w:val="00363501"/>
    <w:rsid w:val="0036351D"/>
    <w:rsid w:val="0036360A"/>
    <w:rsid w:val="0036390A"/>
    <w:rsid w:val="0036396E"/>
    <w:rsid w:val="00363C11"/>
    <w:rsid w:val="00363C21"/>
    <w:rsid w:val="00363D13"/>
    <w:rsid w:val="00363FEB"/>
    <w:rsid w:val="00364229"/>
    <w:rsid w:val="0036425B"/>
    <w:rsid w:val="00364774"/>
    <w:rsid w:val="00364782"/>
    <w:rsid w:val="0036497E"/>
    <w:rsid w:val="00364B8B"/>
    <w:rsid w:val="00364BCF"/>
    <w:rsid w:val="00364D12"/>
    <w:rsid w:val="0036501F"/>
    <w:rsid w:val="0036503A"/>
    <w:rsid w:val="0036522D"/>
    <w:rsid w:val="003653B0"/>
    <w:rsid w:val="003653F0"/>
    <w:rsid w:val="003654EF"/>
    <w:rsid w:val="00365740"/>
    <w:rsid w:val="00365926"/>
    <w:rsid w:val="00365A10"/>
    <w:rsid w:val="00365A41"/>
    <w:rsid w:val="00365B5A"/>
    <w:rsid w:val="00365BF6"/>
    <w:rsid w:val="00365C52"/>
    <w:rsid w:val="00365D57"/>
    <w:rsid w:val="00365DD2"/>
    <w:rsid w:val="00365F4C"/>
    <w:rsid w:val="00365F69"/>
    <w:rsid w:val="00365FEE"/>
    <w:rsid w:val="0036606C"/>
    <w:rsid w:val="003665E4"/>
    <w:rsid w:val="00366675"/>
    <w:rsid w:val="003667B0"/>
    <w:rsid w:val="003668E9"/>
    <w:rsid w:val="003668ED"/>
    <w:rsid w:val="00366AD0"/>
    <w:rsid w:val="00366D08"/>
    <w:rsid w:val="00366DE7"/>
    <w:rsid w:val="00366E84"/>
    <w:rsid w:val="0036702A"/>
    <w:rsid w:val="003671C1"/>
    <w:rsid w:val="0036723B"/>
    <w:rsid w:val="00367277"/>
    <w:rsid w:val="003672CA"/>
    <w:rsid w:val="003672FC"/>
    <w:rsid w:val="00367515"/>
    <w:rsid w:val="00367605"/>
    <w:rsid w:val="0036765E"/>
    <w:rsid w:val="003676EF"/>
    <w:rsid w:val="00367752"/>
    <w:rsid w:val="003677F2"/>
    <w:rsid w:val="00367BAF"/>
    <w:rsid w:val="00367C82"/>
    <w:rsid w:val="00367CDE"/>
    <w:rsid w:val="00367D6F"/>
    <w:rsid w:val="00367E5B"/>
    <w:rsid w:val="00370051"/>
    <w:rsid w:val="00370215"/>
    <w:rsid w:val="00370316"/>
    <w:rsid w:val="003703AE"/>
    <w:rsid w:val="0037043B"/>
    <w:rsid w:val="003704A4"/>
    <w:rsid w:val="003704AC"/>
    <w:rsid w:val="0037058B"/>
    <w:rsid w:val="0037059A"/>
    <w:rsid w:val="003705AB"/>
    <w:rsid w:val="00370686"/>
    <w:rsid w:val="003706EA"/>
    <w:rsid w:val="0037085C"/>
    <w:rsid w:val="00370887"/>
    <w:rsid w:val="00370917"/>
    <w:rsid w:val="00370C08"/>
    <w:rsid w:val="00370CAF"/>
    <w:rsid w:val="00370F8D"/>
    <w:rsid w:val="00371010"/>
    <w:rsid w:val="0037105C"/>
    <w:rsid w:val="00371245"/>
    <w:rsid w:val="00371320"/>
    <w:rsid w:val="0037150F"/>
    <w:rsid w:val="00371593"/>
    <w:rsid w:val="00371656"/>
    <w:rsid w:val="0037167D"/>
    <w:rsid w:val="00371754"/>
    <w:rsid w:val="00371899"/>
    <w:rsid w:val="0037190F"/>
    <w:rsid w:val="00371A78"/>
    <w:rsid w:val="00371C41"/>
    <w:rsid w:val="00371F93"/>
    <w:rsid w:val="00371FA4"/>
    <w:rsid w:val="00372371"/>
    <w:rsid w:val="003723EE"/>
    <w:rsid w:val="003727B0"/>
    <w:rsid w:val="003729FB"/>
    <w:rsid w:val="00372ADA"/>
    <w:rsid w:val="00372C37"/>
    <w:rsid w:val="00372C7E"/>
    <w:rsid w:val="00372CB2"/>
    <w:rsid w:val="00372D1B"/>
    <w:rsid w:val="00372D64"/>
    <w:rsid w:val="00372DC3"/>
    <w:rsid w:val="00372EFE"/>
    <w:rsid w:val="00372FC8"/>
    <w:rsid w:val="003731DA"/>
    <w:rsid w:val="00373206"/>
    <w:rsid w:val="003733D3"/>
    <w:rsid w:val="00373426"/>
    <w:rsid w:val="0037381E"/>
    <w:rsid w:val="00373872"/>
    <w:rsid w:val="0037392E"/>
    <w:rsid w:val="00373AC3"/>
    <w:rsid w:val="00373B03"/>
    <w:rsid w:val="00373CD2"/>
    <w:rsid w:val="00373D46"/>
    <w:rsid w:val="00373E37"/>
    <w:rsid w:val="00373EAA"/>
    <w:rsid w:val="0037401A"/>
    <w:rsid w:val="00374184"/>
    <w:rsid w:val="0037418B"/>
    <w:rsid w:val="003742E7"/>
    <w:rsid w:val="00374531"/>
    <w:rsid w:val="003746F4"/>
    <w:rsid w:val="00374935"/>
    <w:rsid w:val="00374A18"/>
    <w:rsid w:val="00374A36"/>
    <w:rsid w:val="00374A44"/>
    <w:rsid w:val="00374AA0"/>
    <w:rsid w:val="00374BF1"/>
    <w:rsid w:val="00374DE1"/>
    <w:rsid w:val="00374EDA"/>
    <w:rsid w:val="003752E5"/>
    <w:rsid w:val="00375382"/>
    <w:rsid w:val="00375516"/>
    <w:rsid w:val="00375544"/>
    <w:rsid w:val="003759D8"/>
    <w:rsid w:val="00375AE3"/>
    <w:rsid w:val="00375E61"/>
    <w:rsid w:val="003761E9"/>
    <w:rsid w:val="00376313"/>
    <w:rsid w:val="00376485"/>
    <w:rsid w:val="003765C9"/>
    <w:rsid w:val="003766D6"/>
    <w:rsid w:val="003767AB"/>
    <w:rsid w:val="003767AF"/>
    <w:rsid w:val="0037682A"/>
    <w:rsid w:val="003768CE"/>
    <w:rsid w:val="00376A48"/>
    <w:rsid w:val="00376C47"/>
    <w:rsid w:val="00376D4E"/>
    <w:rsid w:val="003774F1"/>
    <w:rsid w:val="003775B4"/>
    <w:rsid w:val="003775D9"/>
    <w:rsid w:val="00377668"/>
    <w:rsid w:val="003778F2"/>
    <w:rsid w:val="00377942"/>
    <w:rsid w:val="00377A1F"/>
    <w:rsid w:val="00377A70"/>
    <w:rsid w:val="00377ACE"/>
    <w:rsid w:val="00377E71"/>
    <w:rsid w:val="00377F14"/>
    <w:rsid w:val="00377F22"/>
    <w:rsid w:val="00380119"/>
    <w:rsid w:val="003802D9"/>
    <w:rsid w:val="0038036E"/>
    <w:rsid w:val="003803D6"/>
    <w:rsid w:val="003807FC"/>
    <w:rsid w:val="003808E5"/>
    <w:rsid w:val="00380A1A"/>
    <w:rsid w:val="00380F7E"/>
    <w:rsid w:val="00381085"/>
    <w:rsid w:val="003812CA"/>
    <w:rsid w:val="00381371"/>
    <w:rsid w:val="0038170A"/>
    <w:rsid w:val="003817A7"/>
    <w:rsid w:val="00381827"/>
    <w:rsid w:val="0038188C"/>
    <w:rsid w:val="00381B05"/>
    <w:rsid w:val="00381B06"/>
    <w:rsid w:val="00381B1C"/>
    <w:rsid w:val="00381BF1"/>
    <w:rsid w:val="00381C03"/>
    <w:rsid w:val="00381D52"/>
    <w:rsid w:val="00381E2D"/>
    <w:rsid w:val="00381FBF"/>
    <w:rsid w:val="00382002"/>
    <w:rsid w:val="00382558"/>
    <w:rsid w:val="00382579"/>
    <w:rsid w:val="003825B9"/>
    <w:rsid w:val="003827B6"/>
    <w:rsid w:val="00382C46"/>
    <w:rsid w:val="00382CA2"/>
    <w:rsid w:val="00382F3F"/>
    <w:rsid w:val="00382FF9"/>
    <w:rsid w:val="003831E0"/>
    <w:rsid w:val="00383453"/>
    <w:rsid w:val="003834C8"/>
    <w:rsid w:val="00383512"/>
    <w:rsid w:val="00383557"/>
    <w:rsid w:val="00383819"/>
    <w:rsid w:val="0038385E"/>
    <w:rsid w:val="0038391D"/>
    <w:rsid w:val="00383923"/>
    <w:rsid w:val="00383931"/>
    <w:rsid w:val="0038396A"/>
    <w:rsid w:val="003839E2"/>
    <w:rsid w:val="003839E9"/>
    <w:rsid w:val="00383C44"/>
    <w:rsid w:val="00383C6D"/>
    <w:rsid w:val="00383E4F"/>
    <w:rsid w:val="00383EFB"/>
    <w:rsid w:val="003840A9"/>
    <w:rsid w:val="003840BD"/>
    <w:rsid w:val="0038422A"/>
    <w:rsid w:val="00384294"/>
    <w:rsid w:val="003842DF"/>
    <w:rsid w:val="00384314"/>
    <w:rsid w:val="0038446B"/>
    <w:rsid w:val="00384480"/>
    <w:rsid w:val="003844E1"/>
    <w:rsid w:val="0038453A"/>
    <w:rsid w:val="003845AF"/>
    <w:rsid w:val="003846E1"/>
    <w:rsid w:val="0038475D"/>
    <w:rsid w:val="0038476A"/>
    <w:rsid w:val="00384825"/>
    <w:rsid w:val="003848AA"/>
    <w:rsid w:val="003849D3"/>
    <w:rsid w:val="003849DE"/>
    <w:rsid w:val="003849F4"/>
    <w:rsid w:val="00384A46"/>
    <w:rsid w:val="00384B6A"/>
    <w:rsid w:val="00384C38"/>
    <w:rsid w:val="00384D1E"/>
    <w:rsid w:val="00384D2F"/>
    <w:rsid w:val="003850D1"/>
    <w:rsid w:val="0038510A"/>
    <w:rsid w:val="003852F0"/>
    <w:rsid w:val="003853FC"/>
    <w:rsid w:val="003857BA"/>
    <w:rsid w:val="00385C53"/>
    <w:rsid w:val="00385E34"/>
    <w:rsid w:val="00385F5C"/>
    <w:rsid w:val="00385FBB"/>
    <w:rsid w:val="00386007"/>
    <w:rsid w:val="003860A4"/>
    <w:rsid w:val="00386118"/>
    <w:rsid w:val="00386148"/>
    <w:rsid w:val="00386315"/>
    <w:rsid w:val="003863D7"/>
    <w:rsid w:val="00386644"/>
    <w:rsid w:val="00386729"/>
    <w:rsid w:val="00386737"/>
    <w:rsid w:val="0038674B"/>
    <w:rsid w:val="003867C6"/>
    <w:rsid w:val="003867E8"/>
    <w:rsid w:val="003869D1"/>
    <w:rsid w:val="00386A8A"/>
    <w:rsid w:val="00386AFE"/>
    <w:rsid w:val="00386BCA"/>
    <w:rsid w:val="00386C4F"/>
    <w:rsid w:val="00386CAE"/>
    <w:rsid w:val="00386D0D"/>
    <w:rsid w:val="003871BD"/>
    <w:rsid w:val="003871C8"/>
    <w:rsid w:val="0038720A"/>
    <w:rsid w:val="00387211"/>
    <w:rsid w:val="00387454"/>
    <w:rsid w:val="00387633"/>
    <w:rsid w:val="0038774F"/>
    <w:rsid w:val="00387C26"/>
    <w:rsid w:val="00387D11"/>
    <w:rsid w:val="00387D13"/>
    <w:rsid w:val="00387D9D"/>
    <w:rsid w:val="00387DDF"/>
    <w:rsid w:val="00387F43"/>
    <w:rsid w:val="00390111"/>
    <w:rsid w:val="00390162"/>
    <w:rsid w:val="00390220"/>
    <w:rsid w:val="00390474"/>
    <w:rsid w:val="003904BC"/>
    <w:rsid w:val="00390554"/>
    <w:rsid w:val="0039065F"/>
    <w:rsid w:val="00390856"/>
    <w:rsid w:val="00390A98"/>
    <w:rsid w:val="00390AD7"/>
    <w:rsid w:val="00390CEC"/>
    <w:rsid w:val="00390DF3"/>
    <w:rsid w:val="00390F67"/>
    <w:rsid w:val="003910B2"/>
    <w:rsid w:val="003911BE"/>
    <w:rsid w:val="00391373"/>
    <w:rsid w:val="003914D8"/>
    <w:rsid w:val="003915CA"/>
    <w:rsid w:val="003916AA"/>
    <w:rsid w:val="00391848"/>
    <w:rsid w:val="00391850"/>
    <w:rsid w:val="0039185C"/>
    <w:rsid w:val="003918CC"/>
    <w:rsid w:val="00391933"/>
    <w:rsid w:val="003919B1"/>
    <w:rsid w:val="00391AF1"/>
    <w:rsid w:val="00391E86"/>
    <w:rsid w:val="00391FA3"/>
    <w:rsid w:val="00391FF8"/>
    <w:rsid w:val="003921B3"/>
    <w:rsid w:val="003921C8"/>
    <w:rsid w:val="003921EE"/>
    <w:rsid w:val="00392323"/>
    <w:rsid w:val="0039239F"/>
    <w:rsid w:val="00392620"/>
    <w:rsid w:val="00392699"/>
    <w:rsid w:val="003926D2"/>
    <w:rsid w:val="003926F0"/>
    <w:rsid w:val="0039285C"/>
    <w:rsid w:val="00392B3E"/>
    <w:rsid w:val="00392B75"/>
    <w:rsid w:val="00392C27"/>
    <w:rsid w:val="00392C3B"/>
    <w:rsid w:val="00392CD4"/>
    <w:rsid w:val="00392DC8"/>
    <w:rsid w:val="00392EA3"/>
    <w:rsid w:val="003933DC"/>
    <w:rsid w:val="003935E7"/>
    <w:rsid w:val="00393664"/>
    <w:rsid w:val="003936D6"/>
    <w:rsid w:val="00393845"/>
    <w:rsid w:val="003942EE"/>
    <w:rsid w:val="0039444A"/>
    <w:rsid w:val="003944FC"/>
    <w:rsid w:val="0039456E"/>
    <w:rsid w:val="0039462E"/>
    <w:rsid w:val="003946CF"/>
    <w:rsid w:val="0039479B"/>
    <w:rsid w:val="0039492B"/>
    <w:rsid w:val="003949AE"/>
    <w:rsid w:val="00394A97"/>
    <w:rsid w:val="00394CB7"/>
    <w:rsid w:val="00394EAC"/>
    <w:rsid w:val="003952C8"/>
    <w:rsid w:val="003956A0"/>
    <w:rsid w:val="003956A6"/>
    <w:rsid w:val="003956CB"/>
    <w:rsid w:val="003956F3"/>
    <w:rsid w:val="0039573A"/>
    <w:rsid w:val="00395A0F"/>
    <w:rsid w:val="00395D0C"/>
    <w:rsid w:val="00395EB3"/>
    <w:rsid w:val="00396015"/>
    <w:rsid w:val="00396145"/>
    <w:rsid w:val="00396273"/>
    <w:rsid w:val="00396494"/>
    <w:rsid w:val="003964E9"/>
    <w:rsid w:val="003967A7"/>
    <w:rsid w:val="003967B4"/>
    <w:rsid w:val="003967BF"/>
    <w:rsid w:val="003967DD"/>
    <w:rsid w:val="003968CB"/>
    <w:rsid w:val="00396931"/>
    <w:rsid w:val="00396998"/>
    <w:rsid w:val="00396B94"/>
    <w:rsid w:val="00396C49"/>
    <w:rsid w:val="00396E48"/>
    <w:rsid w:val="00396E8E"/>
    <w:rsid w:val="00397190"/>
    <w:rsid w:val="003971C3"/>
    <w:rsid w:val="00397361"/>
    <w:rsid w:val="003973AF"/>
    <w:rsid w:val="003974AD"/>
    <w:rsid w:val="00397702"/>
    <w:rsid w:val="0039789D"/>
    <w:rsid w:val="00397922"/>
    <w:rsid w:val="00397B98"/>
    <w:rsid w:val="00397E05"/>
    <w:rsid w:val="00397F5E"/>
    <w:rsid w:val="003A004A"/>
    <w:rsid w:val="003A03A9"/>
    <w:rsid w:val="003A04E8"/>
    <w:rsid w:val="003A0565"/>
    <w:rsid w:val="003A09AB"/>
    <w:rsid w:val="003A0B75"/>
    <w:rsid w:val="003A0CC5"/>
    <w:rsid w:val="003A0D93"/>
    <w:rsid w:val="003A0FDF"/>
    <w:rsid w:val="003A10B7"/>
    <w:rsid w:val="003A10CF"/>
    <w:rsid w:val="003A10D1"/>
    <w:rsid w:val="003A11E7"/>
    <w:rsid w:val="003A1305"/>
    <w:rsid w:val="003A190E"/>
    <w:rsid w:val="003A1945"/>
    <w:rsid w:val="003A1AFE"/>
    <w:rsid w:val="003A1C42"/>
    <w:rsid w:val="003A1C64"/>
    <w:rsid w:val="003A1D5D"/>
    <w:rsid w:val="003A1E37"/>
    <w:rsid w:val="003A1E7B"/>
    <w:rsid w:val="003A208D"/>
    <w:rsid w:val="003A20BF"/>
    <w:rsid w:val="003A2170"/>
    <w:rsid w:val="003A2270"/>
    <w:rsid w:val="003A2412"/>
    <w:rsid w:val="003A2691"/>
    <w:rsid w:val="003A26DD"/>
    <w:rsid w:val="003A275C"/>
    <w:rsid w:val="003A28D4"/>
    <w:rsid w:val="003A29E9"/>
    <w:rsid w:val="003A2F05"/>
    <w:rsid w:val="003A2F5A"/>
    <w:rsid w:val="003A32C0"/>
    <w:rsid w:val="003A3388"/>
    <w:rsid w:val="003A33F6"/>
    <w:rsid w:val="003A349D"/>
    <w:rsid w:val="003A3500"/>
    <w:rsid w:val="003A36D9"/>
    <w:rsid w:val="003A3736"/>
    <w:rsid w:val="003A37C5"/>
    <w:rsid w:val="003A3875"/>
    <w:rsid w:val="003A3877"/>
    <w:rsid w:val="003A3B2A"/>
    <w:rsid w:val="003A3B40"/>
    <w:rsid w:val="003A3C24"/>
    <w:rsid w:val="003A3C9D"/>
    <w:rsid w:val="003A3CD8"/>
    <w:rsid w:val="003A3D55"/>
    <w:rsid w:val="003A3DA1"/>
    <w:rsid w:val="003A3DAA"/>
    <w:rsid w:val="003A3EF0"/>
    <w:rsid w:val="003A3FD3"/>
    <w:rsid w:val="003A4087"/>
    <w:rsid w:val="003A428F"/>
    <w:rsid w:val="003A42DF"/>
    <w:rsid w:val="003A436C"/>
    <w:rsid w:val="003A44FC"/>
    <w:rsid w:val="003A4528"/>
    <w:rsid w:val="003A45BA"/>
    <w:rsid w:val="003A460C"/>
    <w:rsid w:val="003A47DC"/>
    <w:rsid w:val="003A4841"/>
    <w:rsid w:val="003A4886"/>
    <w:rsid w:val="003A4987"/>
    <w:rsid w:val="003A4B09"/>
    <w:rsid w:val="003A4B24"/>
    <w:rsid w:val="003A4B4E"/>
    <w:rsid w:val="003A4C25"/>
    <w:rsid w:val="003A4D42"/>
    <w:rsid w:val="003A4D6F"/>
    <w:rsid w:val="003A4E48"/>
    <w:rsid w:val="003A508B"/>
    <w:rsid w:val="003A50A5"/>
    <w:rsid w:val="003A50E0"/>
    <w:rsid w:val="003A51B9"/>
    <w:rsid w:val="003A51CD"/>
    <w:rsid w:val="003A524B"/>
    <w:rsid w:val="003A52E0"/>
    <w:rsid w:val="003A562F"/>
    <w:rsid w:val="003A5A3D"/>
    <w:rsid w:val="003A5ACA"/>
    <w:rsid w:val="003A5B5E"/>
    <w:rsid w:val="003A5C1D"/>
    <w:rsid w:val="003A6252"/>
    <w:rsid w:val="003A6589"/>
    <w:rsid w:val="003A65A2"/>
    <w:rsid w:val="003A666E"/>
    <w:rsid w:val="003A6689"/>
    <w:rsid w:val="003A6691"/>
    <w:rsid w:val="003A67DF"/>
    <w:rsid w:val="003A6A10"/>
    <w:rsid w:val="003A6A16"/>
    <w:rsid w:val="003A6ADF"/>
    <w:rsid w:val="003A6B3B"/>
    <w:rsid w:val="003A6B90"/>
    <w:rsid w:val="003A6C35"/>
    <w:rsid w:val="003A6C5B"/>
    <w:rsid w:val="003A6DAA"/>
    <w:rsid w:val="003A6DB6"/>
    <w:rsid w:val="003A6E37"/>
    <w:rsid w:val="003A6EFB"/>
    <w:rsid w:val="003A6F77"/>
    <w:rsid w:val="003A71C7"/>
    <w:rsid w:val="003A724C"/>
    <w:rsid w:val="003A7343"/>
    <w:rsid w:val="003A76A7"/>
    <w:rsid w:val="003A76A8"/>
    <w:rsid w:val="003A777D"/>
    <w:rsid w:val="003A79BC"/>
    <w:rsid w:val="003A7A4E"/>
    <w:rsid w:val="003A7A9C"/>
    <w:rsid w:val="003A7AC7"/>
    <w:rsid w:val="003A7B46"/>
    <w:rsid w:val="003B0155"/>
    <w:rsid w:val="003B0201"/>
    <w:rsid w:val="003B02DA"/>
    <w:rsid w:val="003B032F"/>
    <w:rsid w:val="003B04C0"/>
    <w:rsid w:val="003B0598"/>
    <w:rsid w:val="003B0BE8"/>
    <w:rsid w:val="003B0C75"/>
    <w:rsid w:val="003B0DCD"/>
    <w:rsid w:val="003B0E90"/>
    <w:rsid w:val="003B0ED6"/>
    <w:rsid w:val="003B10B1"/>
    <w:rsid w:val="003B135E"/>
    <w:rsid w:val="003B1572"/>
    <w:rsid w:val="003B15EE"/>
    <w:rsid w:val="003B1629"/>
    <w:rsid w:val="003B1679"/>
    <w:rsid w:val="003B1783"/>
    <w:rsid w:val="003B18C7"/>
    <w:rsid w:val="003B19BA"/>
    <w:rsid w:val="003B19D2"/>
    <w:rsid w:val="003B1A08"/>
    <w:rsid w:val="003B1A8C"/>
    <w:rsid w:val="003B1AF6"/>
    <w:rsid w:val="003B1D00"/>
    <w:rsid w:val="003B1D05"/>
    <w:rsid w:val="003B1D47"/>
    <w:rsid w:val="003B1D78"/>
    <w:rsid w:val="003B1F3F"/>
    <w:rsid w:val="003B1F52"/>
    <w:rsid w:val="003B207C"/>
    <w:rsid w:val="003B20C7"/>
    <w:rsid w:val="003B21A2"/>
    <w:rsid w:val="003B25E4"/>
    <w:rsid w:val="003B2959"/>
    <w:rsid w:val="003B2AC9"/>
    <w:rsid w:val="003B2BD1"/>
    <w:rsid w:val="003B2C3C"/>
    <w:rsid w:val="003B2C9B"/>
    <w:rsid w:val="003B2CE8"/>
    <w:rsid w:val="003B2D36"/>
    <w:rsid w:val="003B2EC7"/>
    <w:rsid w:val="003B2F00"/>
    <w:rsid w:val="003B311A"/>
    <w:rsid w:val="003B31DF"/>
    <w:rsid w:val="003B3207"/>
    <w:rsid w:val="003B360E"/>
    <w:rsid w:val="003B37FC"/>
    <w:rsid w:val="003B3867"/>
    <w:rsid w:val="003B3986"/>
    <w:rsid w:val="003B3E46"/>
    <w:rsid w:val="003B3E60"/>
    <w:rsid w:val="003B3E7D"/>
    <w:rsid w:val="003B3F0C"/>
    <w:rsid w:val="003B41D4"/>
    <w:rsid w:val="003B43DB"/>
    <w:rsid w:val="003B443B"/>
    <w:rsid w:val="003B456F"/>
    <w:rsid w:val="003B45AF"/>
    <w:rsid w:val="003B4703"/>
    <w:rsid w:val="003B4816"/>
    <w:rsid w:val="003B481E"/>
    <w:rsid w:val="003B4AC0"/>
    <w:rsid w:val="003B4C76"/>
    <w:rsid w:val="003B4CCD"/>
    <w:rsid w:val="003B5186"/>
    <w:rsid w:val="003B51C2"/>
    <w:rsid w:val="003B51E1"/>
    <w:rsid w:val="003B524F"/>
    <w:rsid w:val="003B535C"/>
    <w:rsid w:val="003B53D0"/>
    <w:rsid w:val="003B5432"/>
    <w:rsid w:val="003B57DD"/>
    <w:rsid w:val="003B5A22"/>
    <w:rsid w:val="003B5AE4"/>
    <w:rsid w:val="003B5D1B"/>
    <w:rsid w:val="003B5E37"/>
    <w:rsid w:val="003B5E49"/>
    <w:rsid w:val="003B5FBB"/>
    <w:rsid w:val="003B617F"/>
    <w:rsid w:val="003B6918"/>
    <w:rsid w:val="003B69CC"/>
    <w:rsid w:val="003B6B88"/>
    <w:rsid w:val="003B70BB"/>
    <w:rsid w:val="003B71CD"/>
    <w:rsid w:val="003B7335"/>
    <w:rsid w:val="003B7677"/>
    <w:rsid w:val="003B7849"/>
    <w:rsid w:val="003B7851"/>
    <w:rsid w:val="003C016C"/>
    <w:rsid w:val="003C017C"/>
    <w:rsid w:val="003C01F4"/>
    <w:rsid w:val="003C0373"/>
    <w:rsid w:val="003C03B5"/>
    <w:rsid w:val="003C04CE"/>
    <w:rsid w:val="003C058E"/>
    <w:rsid w:val="003C05CF"/>
    <w:rsid w:val="003C07B3"/>
    <w:rsid w:val="003C092F"/>
    <w:rsid w:val="003C0B52"/>
    <w:rsid w:val="003C0BA5"/>
    <w:rsid w:val="003C0CFF"/>
    <w:rsid w:val="003C0D75"/>
    <w:rsid w:val="003C0D82"/>
    <w:rsid w:val="003C0DEE"/>
    <w:rsid w:val="003C0E64"/>
    <w:rsid w:val="003C0F27"/>
    <w:rsid w:val="003C0FEB"/>
    <w:rsid w:val="003C11CA"/>
    <w:rsid w:val="003C13D7"/>
    <w:rsid w:val="003C1404"/>
    <w:rsid w:val="003C151B"/>
    <w:rsid w:val="003C163B"/>
    <w:rsid w:val="003C1645"/>
    <w:rsid w:val="003C1714"/>
    <w:rsid w:val="003C17B9"/>
    <w:rsid w:val="003C197A"/>
    <w:rsid w:val="003C198B"/>
    <w:rsid w:val="003C1A57"/>
    <w:rsid w:val="003C1C92"/>
    <w:rsid w:val="003C1DBD"/>
    <w:rsid w:val="003C1FC8"/>
    <w:rsid w:val="003C21BE"/>
    <w:rsid w:val="003C2444"/>
    <w:rsid w:val="003C2528"/>
    <w:rsid w:val="003C2599"/>
    <w:rsid w:val="003C26FE"/>
    <w:rsid w:val="003C2938"/>
    <w:rsid w:val="003C29CD"/>
    <w:rsid w:val="003C2FC8"/>
    <w:rsid w:val="003C3507"/>
    <w:rsid w:val="003C36CB"/>
    <w:rsid w:val="003C38F5"/>
    <w:rsid w:val="003C3948"/>
    <w:rsid w:val="003C3A06"/>
    <w:rsid w:val="003C3B31"/>
    <w:rsid w:val="003C3E7C"/>
    <w:rsid w:val="003C3E97"/>
    <w:rsid w:val="003C3F83"/>
    <w:rsid w:val="003C40F1"/>
    <w:rsid w:val="003C411E"/>
    <w:rsid w:val="003C412E"/>
    <w:rsid w:val="003C4268"/>
    <w:rsid w:val="003C426D"/>
    <w:rsid w:val="003C4448"/>
    <w:rsid w:val="003C44B1"/>
    <w:rsid w:val="003C471D"/>
    <w:rsid w:val="003C47CB"/>
    <w:rsid w:val="003C485C"/>
    <w:rsid w:val="003C4871"/>
    <w:rsid w:val="003C4927"/>
    <w:rsid w:val="003C4A2A"/>
    <w:rsid w:val="003C4C21"/>
    <w:rsid w:val="003C4DB6"/>
    <w:rsid w:val="003C4DCD"/>
    <w:rsid w:val="003C4DDE"/>
    <w:rsid w:val="003C4EE0"/>
    <w:rsid w:val="003C50E5"/>
    <w:rsid w:val="003C5184"/>
    <w:rsid w:val="003C5286"/>
    <w:rsid w:val="003C560A"/>
    <w:rsid w:val="003C5645"/>
    <w:rsid w:val="003C56FD"/>
    <w:rsid w:val="003C5858"/>
    <w:rsid w:val="003C5B18"/>
    <w:rsid w:val="003C5E36"/>
    <w:rsid w:val="003C5EE4"/>
    <w:rsid w:val="003C6149"/>
    <w:rsid w:val="003C659C"/>
    <w:rsid w:val="003C665C"/>
    <w:rsid w:val="003C672E"/>
    <w:rsid w:val="003C6CE8"/>
    <w:rsid w:val="003C6D67"/>
    <w:rsid w:val="003C6D99"/>
    <w:rsid w:val="003C703E"/>
    <w:rsid w:val="003C71E7"/>
    <w:rsid w:val="003C7360"/>
    <w:rsid w:val="003C7400"/>
    <w:rsid w:val="003C7406"/>
    <w:rsid w:val="003C74C5"/>
    <w:rsid w:val="003C74E1"/>
    <w:rsid w:val="003C7757"/>
    <w:rsid w:val="003C77F4"/>
    <w:rsid w:val="003C781D"/>
    <w:rsid w:val="003C79D1"/>
    <w:rsid w:val="003C7ACC"/>
    <w:rsid w:val="003C7B63"/>
    <w:rsid w:val="003C7D68"/>
    <w:rsid w:val="003C7EF3"/>
    <w:rsid w:val="003D0134"/>
    <w:rsid w:val="003D032E"/>
    <w:rsid w:val="003D0463"/>
    <w:rsid w:val="003D05F7"/>
    <w:rsid w:val="003D0655"/>
    <w:rsid w:val="003D069C"/>
    <w:rsid w:val="003D069F"/>
    <w:rsid w:val="003D0725"/>
    <w:rsid w:val="003D0759"/>
    <w:rsid w:val="003D0A49"/>
    <w:rsid w:val="003D0B7D"/>
    <w:rsid w:val="003D0B81"/>
    <w:rsid w:val="003D0BFF"/>
    <w:rsid w:val="003D0C39"/>
    <w:rsid w:val="003D0E54"/>
    <w:rsid w:val="003D0F91"/>
    <w:rsid w:val="003D0FD4"/>
    <w:rsid w:val="003D0FDC"/>
    <w:rsid w:val="003D101D"/>
    <w:rsid w:val="003D11BC"/>
    <w:rsid w:val="003D1300"/>
    <w:rsid w:val="003D13C9"/>
    <w:rsid w:val="003D1475"/>
    <w:rsid w:val="003D16DA"/>
    <w:rsid w:val="003D1759"/>
    <w:rsid w:val="003D18C4"/>
    <w:rsid w:val="003D1A83"/>
    <w:rsid w:val="003D1B0C"/>
    <w:rsid w:val="003D1D23"/>
    <w:rsid w:val="003D1DDB"/>
    <w:rsid w:val="003D1DF9"/>
    <w:rsid w:val="003D1F3C"/>
    <w:rsid w:val="003D1F48"/>
    <w:rsid w:val="003D1FB3"/>
    <w:rsid w:val="003D1FD5"/>
    <w:rsid w:val="003D2186"/>
    <w:rsid w:val="003D231C"/>
    <w:rsid w:val="003D266B"/>
    <w:rsid w:val="003D26DD"/>
    <w:rsid w:val="003D272A"/>
    <w:rsid w:val="003D29A4"/>
    <w:rsid w:val="003D2A49"/>
    <w:rsid w:val="003D2B34"/>
    <w:rsid w:val="003D2B63"/>
    <w:rsid w:val="003D2C08"/>
    <w:rsid w:val="003D2E70"/>
    <w:rsid w:val="003D3137"/>
    <w:rsid w:val="003D3157"/>
    <w:rsid w:val="003D320B"/>
    <w:rsid w:val="003D3277"/>
    <w:rsid w:val="003D32D6"/>
    <w:rsid w:val="003D3462"/>
    <w:rsid w:val="003D372B"/>
    <w:rsid w:val="003D39EB"/>
    <w:rsid w:val="003D3AFB"/>
    <w:rsid w:val="003D3E1D"/>
    <w:rsid w:val="003D3F48"/>
    <w:rsid w:val="003D4070"/>
    <w:rsid w:val="003D40CA"/>
    <w:rsid w:val="003D41A2"/>
    <w:rsid w:val="003D41A3"/>
    <w:rsid w:val="003D422B"/>
    <w:rsid w:val="003D42EC"/>
    <w:rsid w:val="003D44DE"/>
    <w:rsid w:val="003D454E"/>
    <w:rsid w:val="003D45EC"/>
    <w:rsid w:val="003D462C"/>
    <w:rsid w:val="003D4647"/>
    <w:rsid w:val="003D464F"/>
    <w:rsid w:val="003D46BC"/>
    <w:rsid w:val="003D489B"/>
    <w:rsid w:val="003D4B1D"/>
    <w:rsid w:val="003D4B81"/>
    <w:rsid w:val="003D4C29"/>
    <w:rsid w:val="003D4CB6"/>
    <w:rsid w:val="003D4CC1"/>
    <w:rsid w:val="003D4FC3"/>
    <w:rsid w:val="003D51E2"/>
    <w:rsid w:val="003D52FB"/>
    <w:rsid w:val="003D53B0"/>
    <w:rsid w:val="003D53F2"/>
    <w:rsid w:val="003D5404"/>
    <w:rsid w:val="003D59FB"/>
    <w:rsid w:val="003D5CA4"/>
    <w:rsid w:val="003D5D53"/>
    <w:rsid w:val="003D63CE"/>
    <w:rsid w:val="003D640B"/>
    <w:rsid w:val="003D64AD"/>
    <w:rsid w:val="003D64AE"/>
    <w:rsid w:val="003D656A"/>
    <w:rsid w:val="003D6846"/>
    <w:rsid w:val="003D6ADE"/>
    <w:rsid w:val="003D6C7A"/>
    <w:rsid w:val="003D6D87"/>
    <w:rsid w:val="003D7012"/>
    <w:rsid w:val="003D7069"/>
    <w:rsid w:val="003D70B9"/>
    <w:rsid w:val="003D74F9"/>
    <w:rsid w:val="003D75B6"/>
    <w:rsid w:val="003D760F"/>
    <w:rsid w:val="003D762A"/>
    <w:rsid w:val="003D77BE"/>
    <w:rsid w:val="003D781E"/>
    <w:rsid w:val="003D7B47"/>
    <w:rsid w:val="003D7DBB"/>
    <w:rsid w:val="003D7E4F"/>
    <w:rsid w:val="003D7E55"/>
    <w:rsid w:val="003D7EB3"/>
    <w:rsid w:val="003D7F03"/>
    <w:rsid w:val="003E00DB"/>
    <w:rsid w:val="003E02A1"/>
    <w:rsid w:val="003E04D9"/>
    <w:rsid w:val="003E05BB"/>
    <w:rsid w:val="003E0678"/>
    <w:rsid w:val="003E068B"/>
    <w:rsid w:val="003E0A05"/>
    <w:rsid w:val="003E0C32"/>
    <w:rsid w:val="003E0E28"/>
    <w:rsid w:val="003E1078"/>
    <w:rsid w:val="003E1145"/>
    <w:rsid w:val="003E1239"/>
    <w:rsid w:val="003E1253"/>
    <w:rsid w:val="003E16AC"/>
    <w:rsid w:val="003E175A"/>
    <w:rsid w:val="003E17E8"/>
    <w:rsid w:val="003E19A5"/>
    <w:rsid w:val="003E1B40"/>
    <w:rsid w:val="003E1DC5"/>
    <w:rsid w:val="003E2112"/>
    <w:rsid w:val="003E2242"/>
    <w:rsid w:val="003E2250"/>
    <w:rsid w:val="003E2313"/>
    <w:rsid w:val="003E24CE"/>
    <w:rsid w:val="003E2698"/>
    <w:rsid w:val="003E283B"/>
    <w:rsid w:val="003E2BE9"/>
    <w:rsid w:val="003E2C14"/>
    <w:rsid w:val="003E2D44"/>
    <w:rsid w:val="003E2DC6"/>
    <w:rsid w:val="003E2F0C"/>
    <w:rsid w:val="003E3128"/>
    <w:rsid w:val="003E314C"/>
    <w:rsid w:val="003E33B4"/>
    <w:rsid w:val="003E3488"/>
    <w:rsid w:val="003E3493"/>
    <w:rsid w:val="003E3526"/>
    <w:rsid w:val="003E3A43"/>
    <w:rsid w:val="003E3BF4"/>
    <w:rsid w:val="003E3C9B"/>
    <w:rsid w:val="003E3E32"/>
    <w:rsid w:val="003E3ED6"/>
    <w:rsid w:val="003E3EEC"/>
    <w:rsid w:val="003E40ED"/>
    <w:rsid w:val="003E4187"/>
    <w:rsid w:val="003E4370"/>
    <w:rsid w:val="003E43F0"/>
    <w:rsid w:val="003E43FF"/>
    <w:rsid w:val="003E464C"/>
    <w:rsid w:val="003E465A"/>
    <w:rsid w:val="003E46E5"/>
    <w:rsid w:val="003E470F"/>
    <w:rsid w:val="003E4880"/>
    <w:rsid w:val="003E494C"/>
    <w:rsid w:val="003E4ADE"/>
    <w:rsid w:val="003E4B50"/>
    <w:rsid w:val="003E4BAC"/>
    <w:rsid w:val="003E4D86"/>
    <w:rsid w:val="003E4DEB"/>
    <w:rsid w:val="003E4F0A"/>
    <w:rsid w:val="003E50B2"/>
    <w:rsid w:val="003E50C0"/>
    <w:rsid w:val="003E5127"/>
    <w:rsid w:val="003E5442"/>
    <w:rsid w:val="003E55B5"/>
    <w:rsid w:val="003E5608"/>
    <w:rsid w:val="003E56AD"/>
    <w:rsid w:val="003E571D"/>
    <w:rsid w:val="003E57B9"/>
    <w:rsid w:val="003E5978"/>
    <w:rsid w:val="003E5B33"/>
    <w:rsid w:val="003E5E99"/>
    <w:rsid w:val="003E5F24"/>
    <w:rsid w:val="003E600A"/>
    <w:rsid w:val="003E6219"/>
    <w:rsid w:val="003E6259"/>
    <w:rsid w:val="003E6348"/>
    <w:rsid w:val="003E6505"/>
    <w:rsid w:val="003E65CD"/>
    <w:rsid w:val="003E6656"/>
    <w:rsid w:val="003E6983"/>
    <w:rsid w:val="003E69C5"/>
    <w:rsid w:val="003E6A37"/>
    <w:rsid w:val="003E6B4D"/>
    <w:rsid w:val="003E6B53"/>
    <w:rsid w:val="003E6C85"/>
    <w:rsid w:val="003E7049"/>
    <w:rsid w:val="003E705F"/>
    <w:rsid w:val="003E7178"/>
    <w:rsid w:val="003E71FA"/>
    <w:rsid w:val="003E7212"/>
    <w:rsid w:val="003E721E"/>
    <w:rsid w:val="003E723B"/>
    <w:rsid w:val="003E7329"/>
    <w:rsid w:val="003E73EB"/>
    <w:rsid w:val="003E748B"/>
    <w:rsid w:val="003E74AE"/>
    <w:rsid w:val="003E7654"/>
    <w:rsid w:val="003E76B3"/>
    <w:rsid w:val="003E7837"/>
    <w:rsid w:val="003E7AB4"/>
    <w:rsid w:val="003E7AEC"/>
    <w:rsid w:val="003E7CDE"/>
    <w:rsid w:val="003F024B"/>
    <w:rsid w:val="003F04E0"/>
    <w:rsid w:val="003F0637"/>
    <w:rsid w:val="003F0AC3"/>
    <w:rsid w:val="003F0E1A"/>
    <w:rsid w:val="003F0E6A"/>
    <w:rsid w:val="003F0EBD"/>
    <w:rsid w:val="003F1107"/>
    <w:rsid w:val="003F126E"/>
    <w:rsid w:val="003F12C4"/>
    <w:rsid w:val="003F1396"/>
    <w:rsid w:val="003F13C0"/>
    <w:rsid w:val="003F14FF"/>
    <w:rsid w:val="003F1579"/>
    <w:rsid w:val="003F1740"/>
    <w:rsid w:val="003F17D8"/>
    <w:rsid w:val="003F1829"/>
    <w:rsid w:val="003F183C"/>
    <w:rsid w:val="003F193B"/>
    <w:rsid w:val="003F1978"/>
    <w:rsid w:val="003F1B05"/>
    <w:rsid w:val="003F1B3B"/>
    <w:rsid w:val="003F1CA0"/>
    <w:rsid w:val="003F2057"/>
    <w:rsid w:val="003F205B"/>
    <w:rsid w:val="003F219E"/>
    <w:rsid w:val="003F21DA"/>
    <w:rsid w:val="003F2221"/>
    <w:rsid w:val="003F22AF"/>
    <w:rsid w:val="003F2392"/>
    <w:rsid w:val="003F23A7"/>
    <w:rsid w:val="003F2503"/>
    <w:rsid w:val="003F25DF"/>
    <w:rsid w:val="003F2643"/>
    <w:rsid w:val="003F2657"/>
    <w:rsid w:val="003F26D9"/>
    <w:rsid w:val="003F2716"/>
    <w:rsid w:val="003F290A"/>
    <w:rsid w:val="003F291D"/>
    <w:rsid w:val="003F29CE"/>
    <w:rsid w:val="003F2B94"/>
    <w:rsid w:val="003F2CB7"/>
    <w:rsid w:val="003F2CED"/>
    <w:rsid w:val="003F2EE1"/>
    <w:rsid w:val="003F2F3C"/>
    <w:rsid w:val="003F371E"/>
    <w:rsid w:val="003F3B68"/>
    <w:rsid w:val="003F3C57"/>
    <w:rsid w:val="003F3D5F"/>
    <w:rsid w:val="003F3D81"/>
    <w:rsid w:val="003F3DB4"/>
    <w:rsid w:val="003F3E06"/>
    <w:rsid w:val="003F3EC5"/>
    <w:rsid w:val="003F3F8E"/>
    <w:rsid w:val="003F4010"/>
    <w:rsid w:val="003F425A"/>
    <w:rsid w:val="003F42DE"/>
    <w:rsid w:val="003F42FC"/>
    <w:rsid w:val="003F43E0"/>
    <w:rsid w:val="003F46F7"/>
    <w:rsid w:val="003F494B"/>
    <w:rsid w:val="003F4B2F"/>
    <w:rsid w:val="003F4BEA"/>
    <w:rsid w:val="003F4C5C"/>
    <w:rsid w:val="003F4D3B"/>
    <w:rsid w:val="003F5003"/>
    <w:rsid w:val="003F5092"/>
    <w:rsid w:val="003F51BB"/>
    <w:rsid w:val="003F5290"/>
    <w:rsid w:val="003F5378"/>
    <w:rsid w:val="003F5390"/>
    <w:rsid w:val="003F5536"/>
    <w:rsid w:val="003F582B"/>
    <w:rsid w:val="003F584F"/>
    <w:rsid w:val="003F586D"/>
    <w:rsid w:val="003F58EC"/>
    <w:rsid w:val="003F59D0"/>
    <w:rsid w:val="003F59D4"/>
    <w:rsid w:val="003F5C20"/>
    <w:rsid w:val="003F5CB9"/>
    <w:rsid w:val="003F5F86"/>
    <w:rsid w:val="003F5FF3"/>
    <w:rsid w:val="003F620D"/>
    <w:rsid w:val="003F623D"/>
    <w:rsid w:val="003F6403"/>
    <w:rsid w:val="003F6438"/>
    <w:rsid w:val="003F6586"/>
    <w:rsid w:val="003F6688"/>
    <w:rsid w:val="003F6756"/>
    <w:rsid w:val="003F677B"/>
    <w:rsid w:val="003F6786"/>
    <w:rsid w:val="003F67D3"/>
    <w:rsid w:val="003F6865"/>
    <w:rsid w:val="003F69EB"/>
    <w:rsid w:val="003F6B07"/>
    <w:rsid w:val="003F6B40"/>
    <w:rsid w:val="003F6BCE"/>
    <w:rsid w:val="003F6E00"/>
    <w:rsid w:val="003F6FF6"/>
    <w:rsid w:val="003F7021"/>
    <w:rsid w:val="003F7057"/>
    <w:rsid w:val="003F7084"/>
    <w:rsid w:val="003F7574"/>
    <w:rsid w:val="003F7602"/>
    <w:rsid w:val="003F7677"/>
    <w:rsid w:val="003F76D9"/>
    <w:rsid w:val="003F7C3D"/>
    <w:rsid w:val="003F7C56"/>
    <w:rsid w:val="004002E3"/>
    <w:rsid w:val="00400316"/>
    <w:rsid w:val="004003D0"/>
    <w:rsid w:val="004003DF"/>
    <w:rsid w:val="00400473"/>
    <w:rsid w:val="00400650"/>
    <w:rsid w:val="00400683"/>
    <w:rsid w:val="004006DC"/>
    <w:rsid w:val="00400CDC"/>
    <w:rsid w:val="00400D0E"/>
    <w:rsid w:val="00400D6E"/>
    <w:rsid w:val="00400F16"/>
    <w:rsid w:val="00400F8E"/>
    <w:rsid w:val="00400FD5"/>
    <w:rsid w:val="00400FDD"/>
    <w:rsid w:val="004011C7"/>
    <w:rsid w:val="004017A1"/>
    <w:rsid w:val="004017E1"/>
    <w:rsid w:val="00401A19"/>
    <w:rsid w:val="00401BC1"/>
    <w:rsid w:val="00401E01"/>
    <w:rsid w:val="00401E0C"/>
    <w:rsid w:val="00402272"/>
    <w:rsid w:val="00402483"/>
    <w:rsid w:val="004025F6"/>
    <w:rsid w:val="0040287B"/>
    <w:rsid w:val="004028AF"/>
    <w:rsid w:val="00402A7A"/>
    <w:rsid w:val="00402AA3"/>
    <w:rsid w:val="00402B95"/>
    <w:rsid w:val="00402F46"/>
    <w:rsid w:val="00402FB9"/>
    <w:rsid w:val="00403077"/>
    <w:rsid w:val="004030DE"/>
    <w:rsid w:val="004031BF"/>
    <w:rsid w:val="00403250"/>
    <w:rsid w:val="0040337D"/>
    <w:rsid w:val="004035F1"/>
    <w:rsid w:val="00403657"/>
    <w:rsid w:val="00403863"/>
    <w:rsid w:val="00403CFE"/>
    <w:rsid w:val="00403EA7"/>
    <w:rsid w:val="004045CB"/>
    <w:rsid w:val="0040464B"/>
    <w:rsid w:val="0040473B"/>
    <w:rsid w:val="0040486E"/>
    <w:rsid w:val="0040499E"/>
    <w:rsid w:val="00404ACC"/>
    <w:rsid w:val="00404B25"/>
    <w:rsid w:val="00404B62"/>
    <w:rsid w:val="00404C2B"/>
    <w:rsid w:val="00404F90"/>
    <w:rsid w:val="0040504C"/>
    <w:rsid w:val="0040507A"/>
    <w:rsid w:val="0040513D"/>
    <w:rsid w:val="00405150"/>
    <w:rsid w:val="0040515F"/>
    <w:rsid w:val="00405211"/>
    <w:rsid w:val="0040524B"/>
    <w:rsid w:val="0040530A"/>
    <w:rsid w:val="00405836"/>
    <w:rsid w:val="0040592A"/>
    <w:rsid w:val="00405CEE"/>
    <w:rsid w:val="00405D71"/>
    <w:rsid w:val="00405E9C"/>
    <w:rsid w:val="00405F12"/>
    <w:rsid w:val="00405F90"/>
    <w:rsid w:val="004060F0"/>
    <w:rsid w:val="004061A4"/>
    <w:rsid w:val="00406540"/>
    <w:rsid w:val="004065BD"/>
    <w:rsid w:val="00406896"/>
    <w:rsid w:val="00406916"/>
    <w:rsid w:val="00406D57"/>
    <w:rsid w:val="00406D59"/>
    <w:rsid w:val="00406DB6"/>
    <w:rsid w:val="00406EDD"/>
    <w:rsid w:val="00406EEC"/>
    <w:rsid w:val="004071C1"/>
    <w:rsid w:val="00407449"/>
    <w:rsid w:val="0040749B"/>
    <w:rsid w:val="00407571"/>
    <w:rsid w:val="00407574"/>
    <w:rsid w:val="00407615"/>
    <w:rsid w:val="00407799"/>
    <w:rsid w:val="00407878"/>
    <w:rsid w:val="0040792D"/>
    <w:rsid w:val="00407AA5"/>
    <w:rsid w:val="00407B10"/>
    <w:rsid w:val="00407B5C"/>
    <w:rsid w:val="00407C3B"/>
    <w:rsid w:val="00407C7C"/>
    <w:rsid w:val="00407FD3"/>
    <w:rsid w:val="004100EF"/>
    <w:rsid w:val="00410136"/>
    <w:rsid w:val="0041026B"/>
    <w:rsid w:val="004104E5"/>
    <w:rsid w:val="00410530"/>
    <w:rsid w:val="00410A11"/>
    <w:rsid w:val="00410ABE"/>
    <w:rsid w:val="00410C56"/>
    <w:rsid w:val="00410CE1"/>
    <w:rsid w:val="00410D0F"/>
    <w:rsid w:val="00410FD6"/>
    <w:rsid w:val="00411077"/>
    <w:rsid w:val="004110A0"/>
    <w:rsid w:val="00411350"/>
    <w:rsid w:val="004113FF"/>
    <w:rsid w:val="0041142A"/>
    <w:rsid w:val="0041152B"/>
    <w:rsid w:val="0041162F"/>
    <w:rsid w:val="00411640"/>
    <w:rsid w:val="00411665"/>
    <w:rsid w:val="00411846"/>
    <w:rsid w:val="004119EB"/>
    <w:rsid w:val="00411AEE"/>
    <w:rsid w:val="00411D3F"/>
    <w:rsid w:val="00411E92"/>
    <w:rsid w:val="00412019"/>
    <w:rsid w:val="004120F6"/>
    <w:rsid w:val="0041210B"/>
    <w:rsid w:val="00412245"/>
    <w:rsid w:val="0041247D"/>
    <w:rsid w:val="0041262F"/>
    <w:rsid w:val="004126DB"/>
    <w:rsid w:val="0041284E"/>
    <w:rsid w:val="00412F31"/>
    <w:rsid w:val="004130CF"/>
    <w:rsid w:val="00413173"/>
    <w:rsid w:val="004131FF"/>
    <w:rsid w:val="0041347B"/>
    <w:rsid w:val="004137A1"/>
    <w:rsid w:val="00413885"/>
    <w:rsid w:val="004138DA"/>
    <w:rsid w:val="00413CA3"/>
    <w:rsid w:val="00413D6A"/>
    <w:rsid w:val="00413E7A"/>
    <w:rsid w:val="00413F4D"/>
    <w:rsid w:val="004140D9"/>
    <w:rsid w:val="0041442D"/>
    <w:rsid w:val="00414452"/>
    <w:rsid w:val="0041454A"/>
    <w:rsid w:val="0041455D"/>
    <w:rsid w:val="004146EF"/>
    <w:rsid w:val="00414A37"/>
    <w:rsid w:val="00414A79"/>
    <w:rsid w:val="00414BDA"/>
    <w:rsid w:val="00414C0C"/>
    <w:rsid w:val="00414F3B"/>
    <w:rsid w:val="00415330"/>
    <w:rsid w:val="00415459"/>
    <w:rsid w:val="00415619"/>
    <w:rsid w:val="00415629"/>
    <w:rsid w:val="00415837"/>
    <w:rsid w:val="00415B1B"/>
    <w:rsid w:val="00415DAC"/>
    <w:rsid w:val="0041600E"/>
    <w:rsid w:val="0041660D"/>
    <w:rsid w:val="0041687A"/>
    <w:rsid w:val="00416895"/>
    <w:rsid w:val="00416943"/>
    <w:rsid w:val="0041694D"/>
    <w:rsid w:val="00416A08"/>
    <w:rsid w:val="00416A6F"/>
    <w:rsid w:val="00416CA0"/>
    <w:rsid w:val="00416D17"/>
    <w:rsid w:val="00416D3C"/>
    <w:rsid w:val="00416E51"/>
    <w:rsid w:val="00416FFA"/>
    <w:rsid w:val="0041718E"/>
    <w:rsid w:val="00417367"/>
    <w:rsid w:val="00417385"/>
    <w:rsid w:val="004174F2"/>
    <w:rsid w:val="0041752E"/>
    <w:rsid w:val="0041753E"/>
    <w:rsid w:val="004178AC"/>
    <w:rsid w:val="00417AFE"/>
    <w:rsid w:val="00417C66"/>
    <w:rsid w:val="00417C70"/>
    <w:rsid w:val="00417D57"/>
    <w:rsid w:val="00417DD2"/>
    <w:rsid w:val="00417FB0"/>
    <w:rsid w:val="00420270"/>
    <w:rsid w:val="004203C8"/>
    <w:rsid w:val="004204DB"/>
    <w:rsid w:val="00420545"/>
    <w:rsid w:val="0042054E"/>
    <w:rsid w:val="004205DF"/>
    <w:rsid w:val="004207AD"/>
    <w:rsid w:val="004208CD"/>
    <w:rsid w:val="00420B05"/>
    <w:rsid w:val="00420C2F"/>
    <w:rsid w:val="00420C3D"/>
    <w:rsid w:val="00420EE3"/>
    <w:rsid w:val="00420FAC"/>
    <w:rsid w:val="00420FB2"/>
    <w:rsid w:val="0042129B"/>
    <w:rsid w:val="004212F6"/>
    <w:rsid w:val="004214FD"/>
    <w:rsid w:val="00421740"/>
    <w:rsid w:val="00421C06"/>
    <w:rsid w:val="00421C8C"/>
    <w:rsid w:val="00421DCF"/>
    <w:rsid w:val="00421E0A"/>
    <w:rsid w:val="00421E1A"/>
    <w:rsid w:val="00421E73"/>
    <w:rsid w:val="00421E91"/>
    <w:rsid w:val="00421F7A"/>
    <w:rsid w:val="0042203C"/>
    <w:rsid w:val="004220A1"/>
    <w:rsid w:val="004221A8"/>
    <w:rsid w:val="00422394"/>
    <w:rsid w:val="004225BD"/>
    <w:rsid w:val="004225E3"/>
    <w:rsid w:val="004228E8"/>
    <w:rsid w:val="00422963"/>
    <w:rsid w:val="00422AF9"/>
    <w:rsid w:val="00422BE6"/>
    <w:rsid w:val="00422E24"/>
    <w:rsid w:val="00422E2B"/>
    <w:rsid w:val="00422FE2"/>
    <w:rsid w:val="00423120"/>
    <w:rsid w:val="00423322"/>
    <w:rsid w:val="004233D6"/>
    <w:rsid w:val="00423696"/>
    <w:rsid w:val="004236D8"/>
    <w:rsid w:val="004237A9"/>
    <w:rsid w:val="00423A8A"/>
    <w:rsid w:val="00423AA1"/>
    <w:rsid w:val="00423AA4"/>
    <w:rsid w:val="00423AA7"/>
    <w:rsid w:val="00423D03"/>
    <w:rsid w:val="00423F00"/>
    <w:rsid w:val="0042402A"/>
    <w:rsid w:val="0042406C"/>
    <w:rsid w:val="004241FA"/>
    <w:rsid w:val="004243BF"/>
    <w:rsid w:val="0042467C"/>
    <w:rsid w:val="0042497F"/>
    <w:rsid w:val="00424982"/>
    <w:rsid w:val="00424A5A"/>
    <w:rsid w:val="00424AD3"/>
    <w:rsid w:val="00424C15"/>
    <w:rsid w:val="00424CA8"/>
    <w:rsid w:val="00424CCC"/>
    <w:rsid w:val="00424CE5"/>
    <w:rsid w:val="0042503B"/>
    <w:rsid w:val="004253A5"/>
    <w:rsid w:val="00425431"/>
    <w:rsid w:val="00425443"/>
    <w:rsid w:val="0042554D"/>
    <w:rsid w:val="004255A6"/>
    <w:rsid w:val="004256FB"/>
    <w:rsid w:val="00425BB8"/>
    <w:rsid w:val="00425F7D"/>
    <w:rsid w:val="0042624A"/>
    <w:rsid w:val="00426295"/>
    <w:rsid w:val="004263E8"/>
    <w:rsid w:val="0042642C"/>
    <w:rsid w:val="00426638"/>
    <w:rsid w:val="0042676F"/>
    <w:rsid w:val="0042683E"/>
    <w:rsid w:val="0042693C"/>
    <w:rsid w:val="004269DD"/>
    <w:rsid w:val="00426A82"/>
    <w:rsid w:val="00426B15"/>
    <w:rsid w:val="00426BB4"/>
    <w:rsid w:val="00426CB3"/>
    <w:rsid w:val="00426E29"/>
    <w:rsid w:val="00427012"/>
    <w:rsid w:val="004270BA"/>
    <w:rsid w:val="0042716D"/>
    <w:rsid w:val="00427286"/>
    <w:rsid w:val="004273AB"/>
    <w:rsid w:val="00427403"/>
    <w:rsid w:val="00427466"/>
    <w:rsid w:val="00427548"/>
    <w:rsid w:val="0042781E"/>
    <w:rsid w:val="004279C3"/>
    <w:rsid w:val="004279EF"/>
    <w:rsid w:val="00427A4C"/>
    <w:rsid w:val="00427C29"/>
    <w:rsid w:val="00427C5C"/>
    <w:rsid w:val="00427FF3"/>
    <w:rsid w:val="0043005C"/>
    <w:rsid w:val="0043065A"/>
    <w:rsid w:val="00430A8B"/>
    <w:rsid w:val="0043125B"/>
    <w:rsid w:val="004314F7"/>
    <w:rsid w:val="00431740"/>
    <w:rsid w:val="004318BE"/>
    <w:rsid w:val="004318E9"/>
    <w:rsid w:val="00431B7C"/>
    <w:rsid w:val="00431C5B"/>
    <w:rsid w:val="00431D08"/>
    <w:rsid w:val="00431E44"/>
    <w:rsid w:val="00431EB5"/>
    <w:rsid w:val="00431F31"/>
    <w:rsid w:val="0043200C"/>
    <w:rsid w:val="004321B3"/>
    <w:rsid w:val="004322B1"/>
    <w:rsid w:val="00432844"/>
    <w:rsid w:val="004329A2"/>
    <w:rsid w:val="00432A1D"/>
    <w:rsid w:val="00432D23"/>
    <w:rsid w:val="00432DCC"/>
    <w:rsid w:val="00432E58"/>
    <w:rsid w:val="00432F06"/>
    <w:rsid w:val="004332C9"/>
    <w:rsid w:val="00433435"/>
    <w:rsid w:val="0043347C"/>
    <w:rsid w:val="004335E3"/>
    <w:rsid w:val="004337C6"/>
    <w:rsid w:val="00433A05"/>
    <w:rsid w:val="00433A70"/>
    <w:rsid w:val="00433AC2"/>
    <w:rsid w:val="00433B05"/>
    <w:rsid w:val="00433B50"/>
    <w:rsid w:val="00433C1E"/>
    <w:rsid w:val="00433CF4"/>
    <w:rsid w:val="00433D86"/>
    <w:rsid w:val="00433E35"/>
    <w:rsid w:val="00433E81"/>
    <w:rsid w:val="00434059"/>
    <w:rsid w:val="00434122"/>
    <w:rsid w:val="00434160"/>
    <w:rsid w:val="004341B5"/>
    <w:rsid w:val="004341DC"/>
    <w:rsid w:val="004342BB"/>
    <w:rsid w:val="0043430A"/>
    <w:rsid w:val="00434370"/>
    <w:rsid w:val="00434415"/>
    <w:rsid w:val="00434589"/>
    <w:rsid w:val="00434807"/>
    <w:rsid w:val="004348FC"/>
    <w:rsid w:val="00434B24"/>
    <w:rsid w:val="00434C91"/>
    <w:rsid w:val="0043504C"/>
    <w:rsid w:val="004351BE"/>
    <w:rsid w:val="00435279"/>
    <w:rsid w:val="004352D1"/>
    <w:rsid w:val="004352FE"/>
    <w:rsid w:val="00435342"/>
    <w:rsid w:val="00435555"/>
    <w:rsid w:val="00435566"/>
    <w:rsid w:val="0043570F"/>
    <w:rsid w:val="00435778"/>
    <w:rsid w:val="00435823"/>
    <w:rsid w:val="00435B25"/>
    <w:rsid w:val="00435D23"/>
    <w:rsid w:val="00435E4A"/>
    <w:rsid w:val="00435EEF"/>
    <w:rsid w:val="00435F40"/>
    <w:rsid w:val="00435F8E"/>
    <w:rsid w:val="00436100"/>
    <w:rsid w:val="004361B0"/>
    <w:rsid w:val="0043633C"/>
    <w:rsid w:val="004363CE"/>
    <w:rsid w:val="00436914"/>
    <w:rsid w:val="00436ABA"/>
    <w:rsid w:val="00436ACA"/>
    <w:rsid w:val="00436B4A"/>
    <w:rsid w:val="00436FA6"/>
    <w:rsid w:val="00437152"/>
    <w:rsid w:val="00437270"/>
    <w:rsid w:val="004374BE"/>
    <w:rsid w:val="004374E2"/>
    <w:rsid w:val="004375B6"/>
    <w:rsid w:val="00437798"/>
    <w:rsid w:val="004378B0"/>
    <w:rsid w:val="00437C18"/>
    <w:rsid w:val="00437C99"/>
    <w:rsid w:val="00437D62"/>
    <w:rsid w:val="00437D78"/>
    <w:rsid w:val="00437F15"/>
    <w:rsid w:val="0044004C"/>
    <w:rsid w:val="004400C0"/>
    <w:rsid w:val="0044013F"/>
    <w:rsid w:val="00440164"/>
    <w:rsid w:val="004402B8"/>
    <w:rsid w:val="004405CD"/>
    <w:rsid w:val="00440631"/>
    <w:rsid w:val="00440696"/>
    <w:rsid w:val="004406AC"/>
    <w:rsid w:val="00440A02"/>
    <w:rsid w:val="00440A1D"/>
    <w:rsid w:val="00440C9E"/>
    <w:rsid w:val="00440CA4"/>
    <w:rsid w:val="00440CD5"/>
    <w:rsid w:val="00440DE1"/>
    <w:rsid w:val="00440FC7"/>
    <w:rsid w:val="00441313"/>
    <w:rsid w:val="004413BB"/>
    <w:rsid w:val="00441489"/>
    <w:rsid w:val="0044151B"/>
    <w:rsid w:val="00441670"/>
    <w:rsid w:val="00441790"/>
    <w:rsid w:val="00441A1F"/>
    <w:rsid w:val="00441C1E"/>
    <w:rsid w:val="00441F86"/>
    <w:rsid w:val="00441FC4"/>
    <w:rsid w:val="00442045"/>
    <w:rsid w:val="0044216A"/>
    <w:rsid w:val="0044227D"/>
    <w:rsid w:val="00442466"/>
    <w:rsid w:val="00442661"/>
    <w:rsid w:val="0044268E"/>
    <w:rsid w:val="00442708"/>
    <w:rsid w:val="0044287B"/>
    <w:rsid w:val="00442C08"/>
    <w:rsid w:val="00442DA3"/>
    <w:rsid w:val="00442F41"/>
    <w:rsid w:val="00442F50"/>
    <w:rsid w:val="00443639"/>
    <w:rsid w:val="004437B4"/>
    <w:rsid w:val="00443842"/>
    <w:rsid w:val="00443AC5"/>
    <w:rsid w:val="00443AF7"/>
    <w:rsid w:val="00443B73"/>
    <w:rsid w:val="00443B95"/>
    <w:rsid w:val="00443BE8"/>
    <w:rsid w:val="00443BF0"/>
    <w:rsid w:val="00443CE2"/>
    <w:rsid w:val="00443E6B"/>
    <w:rsid w:val="00443E8D"/>
    <w:rsid w:val="00443EC0"/>
    <w:rsid w:val="00443ECA"/>
    <w:rsid w:val="00444018"/>
    <w:rsid w:val="00444053"/>
    <w:rsid w:val="004443FA"/>
    <w:rsid w:val="004444DB"/>
    <w:rsid w:val="004447D3"/>
    <w:rsid w:val="0044493F"/>
    <w:rsid w:val="00444A44"/>
    <w:rsid w:val="00444C13"/>
    <w:rsid w:val="00444C44"/>
    <w:rsid w:val="00444D84"/>
    <w:rsid w:val="00444EC7"/>
    <w:rsid w:val="0044501E"/>
    <w:rsid w:val="004450FF"/>
    <w:rsid w:val="0044512B"/>
    <w:rsid w:val="004451FF"/>
    <w:rsid w:val="004452C1"/>
    <w:rsid w:val="00445346"/>
    <w:rsid w:val="004453A0"/>
    <w:rsid w:val="00445401"/>
    <w:rsid w:val="00445636"/>
    <w:rsid w:val="004456B8"/>
    <w:rsid w:val="004457B4"/>
    <w:rsid w:val="00445878"/>
    <w:rsid w:val="004460F9"/>
    <w:rsid w:val="00446229"/>
    <w:rsid w:val="004462A9"/>
    <w:rsid w:val="004462D8"/>
    <w:rsid w:val="004463E8"/>
    <w:rsid w:val="00446403"/>
    <w:rsid w:val="004469CC"/>
    <w:rsid w:val="00446A2E"/>
    <w:rsid w:val="00446AC9"/>
    <w:rsid w:val="00446B63"/>
    <w:rsid w:val="00446C4B"/>
    <w:rsid w:val="00446C9E"/>
    <w:rsid w:val="00446CAB"/>
    <w:rsid w:val="00446E92"/>
    <w:rsid w:val="0044704D"/>
    <w:rsid w:val="004470BD"/>
    <w:rsid w:val="004472F5"/>
    <w:rsid w:val="00447417"/>
    <w:rsid w:val="00447439"/>
    <w:rsid w:val="0044755F"/>
    <w:rsid w:val="004476AB"/>
    <w:rsid w:val="00447939"/>
    <w:rsid w:val="0044795D"/>
    <w:rsid w:val="00447B81"/>
    <w:rsid w:val="00447D23"/>
    <w:rsid w:val="00447DE0"/>
    <w:rsid w:val="00447F5B"/>
    <w:rsid w:val="0045040B"/>
    <w:rsid w:val="00450508"/>
    <w:rsid w:val="0045051E"/>
    <w:rsid w:val="004506CB"/>
    <w:rsid w:val="00450700"/>
    <w:rsid w:val="00450756"/>
    <w:rsid w:val="004507E8"/>
    <w:rsid w:val="00450884"/>
    <w:rsid w:val="004508CF"/>
    <w:rsid w:val="00450B0C"/>
    <w:rsid w:val="00450C42"/>
    <w:rsid w:val="00450C5F"/>
    <w:rsid w:val="00450CE3"/>
    <w:rsid w:val="00450DB8"/>
    <w:rsid w:val="00450F76"/>
    <w:rsid w:val="004510C1"/>
    <w:rsid w:val="004511AC"/>
    <w:rsid w:val="004511EE"/>
    <w:rsid w:val="00451287"/>
    <w:rsid w:val="00451290"/>
    <w:rsid w:val="00451483"/>
    <w:rsid w:val="004515CF"/>
    <w:rsid w:val="00451866"/>
    <w:rsid w:val="00451A60"/>
    <w:rsid w:val="00451B56"/>
    <w:rsid w:val="00451BA1"/>
    <w:rsid w:val="00451D6A"/>
    <w:rsid w:val="00451DCB"/>
    <w:rsid w:val="00451F7B"/>
    <w:rsid w:val="0045203F"/>
    <w:rsid w:val="00452161"/>
    <w:rsid w:val="00452295"/>
    <w:rsid w:val="00452470"/>
    <w:rsid w:val="00452585"/>
    <w:rsid w:val="00452675"/>
    <w:rsid w:val="0045269E"/>
    <w:rsid w:val="004526BB"/>
    <w:rsid w:val="004526E7"/>
    <w:rsid w:val="004526EB"/>
    <w:rsid w:val="00452803"/>
    <w:rsid w:val="004529DB"/>
    <w:rsid w:val="00452A54"/>
    <w:rsid w:val="00452A85"/>
    <w:rsid w:val="00452C22"/>
    <w:rsid w:val="00452D45"/>
    <w:rsid w:val="00452E0E"/>
    <w:rsid w:val="00452F27"/>
    <w:rsid w:val="00452FC7"/>
    <w:rsid w:val="004530A1"/>
    <w:rsid w:val="00453121"/>
    <w:rsid w:val="004532F7"/>
    <w:rsid w:val="00453325"/>
    <w:rsid w:val="004533F4"/>
    <w:rsid w:val="004538F2"/>
    <w:rsid w:val="00453AB3"/>
    <w:rsid w:val="00453B7E"/>
    <w:rsid w:val="00453BA0"/>
    <w:rsid w:val="00453BBD"/>
    <w:rsid w:val="0045402F"/>
    <w:rsid w:val="0045417E"/>
    <w:rsid w:val="004542BC"/>
    <w:rsid w:val="004542EF"/>
    <w:rsid w:val="00454563"/>
    <w:rsid w:val="004545CB"/>
    <w:rsid w:val="00454919"/>
    <w:rsid w:val="00454B6A"/>
    <w:rsid w:val="00454DC1"/>
    <w:rsid w:val="00454FFA"/>
    <w:rsid w:val="00455166"/>
    <w:rsid w:val="00455463"/>
    <w:rsid w:val="004555BE"/>
    <w:rsid w:val="004555C9"/>
    <w:rsid w:val="00455631"/>
    <w:rsid w:val="004557C3"/>
    <w:rsid w:val="00455850"/>
    <w:rsid w:val="0045596A"/>
    <w:rsid w:val="00455BAC"/>
    <w:rsid w:val="00455C58"/>
    <w:rsid w:val="00455C84"/>
    <w:rsid w:val="00455E80"/>
    <w:rsid w:val="00455EDC"/>
    <w:rsid w:val="00455FC0"/>
    <w:rsid w:val="00456521"/>
    <w:rsid w:val="004565F4"/>
    <w:rsid w:val="004567CD"/>
    <w:rsid w:val="0045699F"/>
    <w:rsid w:val="004569BC"/>
    <w:rsid w:val="004569F7"/>
    <w:rsid w:val="00456DDC"/>
    <w:rsid w:val="00456EE1"/>
    <w:rsid w:val="00456FA8"/>
    <w:rsid w:val="00456FFB"/>
    <w:rsid w:val="00457015"/>
    <w:rsid w:val="004571FF"/>
    <w:rsid w:val="0045727E"/>
    <w:rsid w:val="004572D0"/>
    <w:rsid w:val="00457588"/>
    <w:rsid w:val="004576C2"/>
    <w:rsid w:val="004576DB"/>
    <w:rsid w:val="00457A01"/>
    <w:rsid w:val="00457B5A"/>
    <w:rsid w:val="00457BC5"/>
    <w:rsid w:val="00457DE2"/>
    <w:rsid w:val="00457EC6"/>
    <w:rsid w:val="00457EEB"/>
    <w:rsid w:val="00457F35"/>
    <w:rsid w:val="00460111"/>
    <w:rsid w:val="0046019A"/>
    <w:rsid w:val="004603C8"/>
    <w:rsid w:val="004603FD"/>
    <w:rsid w:val="00460540"/>
    <w:rsid w:val="0046073E"/>
    <w:rsid w:val="00460760"/>
    <w:rsid w:val="004607C7"/>
    <w:rsid w:val="0046094D"/>
    <w:rsid w:val="00460AAD"/>
    <w:rsid w:val="00460C9F"/>
    <w:rsid w:val="00460D3A"/>
    <w:rsid w:val="00460D7A"/>
    <w:rsid w:val="00461089"/>
    <w:rsid w:val="004613DC"/>
    <w:rsid w:val="00461414"/>
    <w:rsid w:val="00461565"/>
    <w:rsid w:val="004615D1"/>
    <w:rsid w:val="00461633"/>
    <w:rsid w:val="004618D0"/>
    <w:rsid w:val="00461904"/>
    <w:rsid w:val="00461972"/>
    <w:rsid w:val="00461A59"/>
    <w:rsid w:val="00461A6B"/>
    <w:rsid w:val="00461AE2"/>
    <w:rsid w:val="00461AF9"/>
    <w:rsid w:val="00461C13"/>
    <w:rsid w:val="00461E36"/>
    <w:rsid w:val="00461E3A"/>
    <w:rsid w:val="00461F6F"/>
    <w:rsid w:val="00462065"/>
    <w:rsid w:val="004621AD"/>
    <w:rsid w:val="004624E3"/>
    <w:rsid w:val="004626C2"/>
    <w:rsid w:val="004626D8"/>
    <w:rsid w:val="00462AEC"/>
    <w:rsid w:val="00462DDE"/>
    <w:rsid w:val="00462FBA"/>
    <w:rsid w:val="00463015"/>
    <w:rsid w:val="0046312D"/>
    <w:rsid w:val="0046326B"/>
    <w:rsid w:val="004636C8"/>
    <w:rsid w:val="004636D0"/>
    <w:rsid w:val="004639E6"/>
    <w:rsid w:val="00463A26"/>
    <w:rsid w:val="00463F8F"/>
    <w:rsid w:val="00463F98"/>
    <w:rsid w:val="00464043"/>
    <w:rsid w:val="0046417E"/>
    <w:rsid w:val="00464210"/>
    <w:rsid w:val="004643DE"/>
    <w:rsid w:val="004644C4"/>
    <w:rsid w:val="0046458B"/>
    <w:rsid w:val="004647BB"/>
    <w:rsid w:val="004648A3"/>
    <w:rsid w:val="004648E6"/>
    <w:rsid w:val="004649A8"/>
    <w:rsid w:val="00464B1B"/>
    <w:rsid w:val="00464B22"/>
    <w:rsid w:val="00464C86"/>
    <w:rsid w:val="00464CDB"/>
    <w:rsid w:val="00464CE9"/>
    <w:rsid w:val="0046500C"/>
    <w:rsid w:val="00465080"/>
    <w:rsid w:val="00465105"/>
    <w:rsid w:val="004651C6"/>
    <w:rsid w:val="00465305"/>
    <w:rsid w:val="0046539C"/>
    <w:rsid w:val="004654D0"/>
    <w:rsid w:val="00465586"/>
    <w:rsid w:val="00465825"/>
    <w:rsid w:val="004658CD"/>
    <w:rsid w:val="00465A19"/>
    <w:rsid w:val="00465AA5"/>
    <w:rsid w:val="00465CFE"/>
    <w:rsid w:val="00465DBA"/>
    <w:rsid w:val="00465E8B"/>
    <w:rsid w:val="00465FB4"/>
    <w:rsid w:val="00466085"/>
    <w:rsid w:val="004661BC"/>
    <w:rsid w:val="004661E0"/>
    <w:rsid w:val="004666F5"/>
    <w:rsid w:val="004667DF"/>
    <w:rsid w:val="00466826"/>
    <w:rsid w:val="004668E2"/>
    <w:rsid w:val="0046698C"/>
    <w:rsid w:val="00466B04"/>
    <w:rsid w:val="00466BC8"/>
    <w:rsid w:val="00466C14"/>
    <w:rsid w:val="00466C9B"/>
    <w:rsid w:val="0046701E"/>
    <w:rsid w:val="00467089"/>
    <w:rsid w:val="00467108"/>
    <w:rsid w:val="004671D7"/>
    <w:rsid w:val="004672B2"/>
    <w:rsid w:val="004673CA"/>
    <w:rsid w:val="0046763E"/>
    <w:rsid w:val="00467672"/>
    <w:rsid w:val="0046767A"/>
    <w:rsid w:val="004676B2"/>
    <w:rsid w:val="004676C0"/>
    <w:rsid w:val="00467708"/>
    <w:rsid w:val="00467748"/>
    <w:rsid w:val="00467811"/>
    <w:rsid w:val="00467984"/>
    <w:rsid w:val="00467A29"/>
    <w:rsid w:val="00467D61"/>
    <w:rsid w:val="00467D6A"/>
    <w:rsid w:val="0047007C"/>
    <w:rsid w:val="004700B7"/>
    <w:rsid w:val="0047027A"/>
    <w:rsid w:val="004704D7"/>
    <w:rsid w:val="0047064E"/>
    <w:rsid w:val="004709D5"/>
    <w:rsid w:val="00470A1D"/>
    <w:rsid w:val="00470A8D"/>
    <w:rsid w:val="00470B74"/>
    <w:rsid w:val="00470CB0"/>
    <w:rsid w:val="00470CEC"/>
    <w:rsid w:val="00470E49"/>
    <w:rsid w:val="00470EAB"/>
    <w:rsid w:val="0047120D"/>
    <w:rsid w:val="00471388"/>
    <w:rsid w:val="00471936"/>
    <w:rsid w:val="00471AD3"/>
    <w:rsid w:val="00471AEA"/>
    <w:rsid w:val="00471B4D"/>
    <w:rsid w:val="00471BA7"/>
    <w:rsid w:val="00471C3C"/>
    <w:rsid w:val="00471C79"/>
    <w:rsid w:val="00471CF4"/>
    <w:rsid w:val="00471CF7"/>
    <w:rsid w:val="00471D12"/>
    <w:rsid w:val="00471F48"/>
    <w:rsid w:val="00471F9E"/>
    <w:rsid w:val="00472046"/>
    <w:rsid w:val="00472285"/>
    <w:rsid w:val="004722F6"/>
    <w:rsid w:val="004723F0"/>
    <w:rsid w:val="0047258D"/>
    <w:rsid w:val="0047263A"/>
    <w:rsid w:val="0047266F"/>
    <w:rsid w:val="00472829"/>
    <w:rsid w:val="004728D2"/>
    <w:rsid w:val="00472984"/>
    <w:rsid w:val="004729DD"/>
    <w:rsid w:val="00472A23"/>
    <w:rsid w:val="00472A3C"/>
    <w:rsid w:val="00472BB9"/>
    <w:rsid w:val="00472C88"/>
    <w:rsid w:val="00472D74"/>
    <w:rsid w:val="00472E37"/>
    <w:rsid w:val="00472EA3"/>
    <w:rsid w:val="00472FF8"/>
    <w:rsid w:val="004731E9"/>
    <w:rsid w:val="004731FA"/>
    <w:rsid w:val="004732E1"/>
    <w:rsid w:val="004733A1"/>
    <w:rsid w:val="0047342F"/>
    <w:rsid w:val="0047347D"/>
    <w:rsid w:val="004736FC"/>
    <w:rsid w:val="0047393C"/>
    <w:rsid w:val="00473970"/>
    <w:rsid w:val="00473CA6"/>
    <w:rsid w:val="00473E90"/>
    <w:rsid w:val="00474002"/>
    <w:rsid w:val="0047408D"/>
    <w:rsid w:val="0047421B"/>
    <w:rsid w:val="0047445D"/>
    <w:rsid w:val="004745C5"/>
    <w:rsid w:val="004746B0"/>
    <w:rsid w:val="00474703"/>
    <w:rsid w:val="00474781"/>
    <w:rsid w:val="004748C3"/>
    <w:rsid w:val="00474AEB"/>
    <w:rsid w:val="00474C16"/>
    <w:rsid w:val="00474C35"/>
    <w:rsid w:val="00474CD1"/>
    <w:rsid w:val="00474DD1"/>
    <w:rsid w:val="00474E00"/>
    <w:rsid w:val="0047503E"/>
    <w:rsid w:val="00475046"/>
    <w:rsid w:val="00475341"/>
    <w:rsid w:val="0047536E"/>
    <w:rsid w:val="004753E6"/>
    <w:rsid w:val="00475898"/>
    <w:rsid w:val="00475972"/>
    <w:rsid w:val="00475A65"/>
    <w:rsid w:val="00475A88"/>
    <w:rsid w:val="00475B68"/>
    <w:rsid w:val="00475CA6"/>
    <w:rsid w:val="00475CC6"/>
    <w:rsid w:val="004760C5"/>
    <w:rsid w:val="00476107"/>
    <w:rsid w:val="004762E8"/>
    <w:rsid w:val="00476931"/>
    <w:rsid w:val="0047696E"/>
    <w:rsid w:val="0047703B"/>
    <w:rsid w:val="0047716A"/>
    <w:rsid w:val="0047740C"/>
    <w:rsid w:val="0047749A"/>
    <w:rsid w:val="00477500"/>
    <w:rsid w:val="00477634"/>
    <w:rsid w:val="00477678"/>
    <w:rsid w:val="0047778D"/>
    <w:rsid w:val="00477B90"/>
    <w:rsid w:val="00477D36"/>
    <w:rsid w:val="00477FFD"/>
    <w:rsid w:val="004782C8"/>
    <w:rsid w:val="004801AE"/>
    <w:rsid w:val="00480243"/>
    <w:rsid w:val="0048060B"/>
    <w:rsid w:val="00480776"/>
    <w:rsid w:val="004807F6"/>
    <w:rsid w:val="004808C1"/>
    <w:rsid w:val="00480981"/>
    <w:rsid w:val="00480CCA"/>
    <w:rsid w:val="00480D5E"/>
    <w:rsid w:val="0048112C"/>
    <w:rsid w:val="004814F0"/>
    <w:rsid w:val="004816D9"/>
    <w:rsid w:val="004818CA"/>
    <w:rsid w:val="0048190E"/>
    <w:rsid w:val="00481F61"/>
    <w:rsid w:val="004820DF"/>
    <w:rsid w:val="0048216C"/>
    <w:rsid w:val="004821F8"/>
    <w:rsid w:val="00482278"/>
    <w:rsid w:val="00482350"/>
    <w:rsid w:val="0048244F"/>
    <w:rsid w:val="004824D6"/>
    <w:rsid w:val="00482725"/>
    <w:rsid w:val="004827C4"/>
    <w:rsid w:val="004829FA"/>
    <w:rsid w:val="00482B25"/>
    <w:rsid w:val="00482CB4"/>
    <w:rsid w:val="00482D3E"/>
    <w:rsid w:val="00482E5C"/>
    <w:rsid w:val="00482ED9"/>
    <w:rsid w:val="00482F87"/>
    <w:rsid w:val="00482FA3"/>
    <w:rsid w:val="00482FDB"/>
    <w:rsid w:val="00483140"/>
    <w:rsid w:val="004831C6"/>
    <w:rsid w:val="00483577"/>
    <w:rsid w:val="00483682"/>
    <w:rsid w:val="00483AC7"/>
    <w:rsid w:val="00483B0C"/>
    <w:rsid w:val="00483B37"/>
    <w:rsid w:val="00483B47"/>
    <w:rsid w:val="00483CA3"/>
    <w:rsid w:val="00484000"/>
    <w:rsid w:val="00484013"/>
    <w:rsid w:val="0048405D"/>
    <w:rsid w:val="00484227"/>
    <w:rsid w:val="00484423"/>
    <w:rsid w:val="00484432"/>
    <w:rsid w:val="0048450D"/>
    <w:rsid w:val="004845DB"/>
    <w:rsid w:val="004846BD"/>
    <w:rsid w:val="004847D6"/>
    <w:rsid w:val="004848B1"/>
    <w:rsid w:val="004849E7"/>
    <w:rsid w:val="00484A3A"/>
    <w:rsid w:val="00484A7B"/>
    <w:rsid w:val="00484CA7"/>
    <w:rsid w:val="00484D87"/>
    <w:rsid w:val="00484E73"/>
    <w:rsid w:val="00484ED1"/>
    <w:rsid w:val="00484EE5"/>
    <w:rsid w:val="00485171"/>
    <w:rsid w:val="004851BA"/>
    <w:rsid w:val="004851CC"/>
    <w:rsid w:val="004852C8"/>
    <w:rsid w:val="004852D5"/>
    <w:rsid w:val="00485320"/>
    <w:rsid w:val="0048551E"/>
    <w:rsid w:val="00485A4B"/>
    <w:rsid w:val="00485D1E"/>
    <w:rsid w:val="00485E64"/>
    <w:rsid w:val="00485E70"/>
    <w:rsid w:val="00485E9F"/>
    <w:rsid w:val="00485FBE"/>
    <w:rsid w:val="004861EB"/>
    <w:rsid w:val="00486458"/>
    <w:rsid w:val="0048649C"/>
    <w:rsid w:val="0048668D"/>
    <w:rsid w:val="00486BB9"/>
    <w:rsid w:val="00486C5E"/>
    <w:rsid w:val="00486C72"/>
    <w:rsid w:val="00486D48"/>
    <w:rsid w:val="00486D8B"/>
    <w:rsid w:val="00486E23"/>
    <w:rsid w:val="00486FF7"/>
    <w:rsid w:val="004870FC"/>
    <w:rsid w:val="004876E8"/>
    <w:rsid w:val="00487873"/>
    <w:rsid w:val="00487D2E"/>
    <w:rsid w:val="0049004B"/>
    <w:rsid w:val="0049021B"/>
    <w:rsid w:val="00490242"/>
    <w:rsid w:val="00490305"/>
    <w:rsid w:val="0049073B"/>
    <w:rsid w:val="00490779"/>
    <w:rsid w:val="00490833"/>
    <w:rsid w:val="00490B3D"/>
    <w:rsid w:val="00490D96"/>
    <w:rsid w:val="00490E15"/>
    <w:rsid w:val="00491200"/>
    <w:rsid w:val="00491223"/>
    <w:rsid w:val="00491224"/>
    <w:rsid w:val="004912EF"/>
    <w:rsid w:val="0049137E"/>
    <w:rsid w:val="00491409"/>
    <w:rsid w:val="004914B1"/>
    <w:rsid w:val="00491605"/>
    <w:rsid w:val="00491612"/>
    <w:rsid w:val="00491856"/>
    <w:rsid w:val="00491E06"/>
    <w:rsid w:val="00491E49"/>
    <w:rsid w:val="004921D3"/>
    <w:rsid w:val="00492275"/>
    <w:rsid w:val="004922CC"/>
    <w:rsid w:val="00492333"/>
    <w:rsid w:val="004923B0"/>
    <w:rsid w:val="0049253E"/>
    <w:rsid w:val="00492572"/>
    <w:rsid w:val="0049271B"/>
    <w:rsid w:val="0049283E"/>
    <w:rsid w:val="00492864"/>
    <w:rsid w:val="004929AA"/>
    <w:rsid w:val="00492AB3"/>
    <w:rsid w:val="00492C81"/>
    <w:rsid w:val="00493069"/>
    <w:rsid w:val="00493273"/>
    <w:rsid w:val="0049343E"/>
    <w:rsid w:val="0049350C"/>
    <w:rsid w:val="00493582"/>
    <w:rsid w:val="0049375A"/>
    <w:rsid w:val="004937AC"/>
    <w:rsid w:val="00493940"/>
    <w:rsid w:val="004939C3"/>
    <w:rsid w:val="00493B21"/>
    <w:rsid w:val="00493C1E"/>
    <w:rsid w:val="00493C36"/>
    <w:rsid w:val="00493C47"/>
    <w:rsid w:val="00493DC0"/>
    <w:rsid w:val="00493EBF"/>
    <w:rsid w:val="00494094"/>
    <w:rsid w:val="00494220"/>
    <w:rsid w:val="004942B6"/>
    <w:rsid w:val="0049440E"/>
    <w:rsid w:val="004944B8"/>
    <w:rsid w:val="0049450E"/>
    <w:rsid w:val="00494875"/>
    <w:rsid w:val="004948B8"/>
    <w:rsid w:val="004948F3"/>
    <w:rsid w:val="00494AE7"/>
    <w:rsid w:val="00494D5A"/>
    <w:rsid w:val="00494E5E"/>
    <w:rsid w:val="004951E0"/>
    <w:rsid w:val="004952A0"/>
    <w:rsid w:val="004953B5"/>
    <w:rsid w:val="004953E1"/>
    <w:rsid w:val="00495581"/>
    <w:rsid w:val="00495672"/>
    <w:rsid w:val="004956B6"/>
    <w:rsid w:val="0049572B"/>
    <w:rsid w:val="00495823"/>
    <w:rsid w:val="00495847"/>
    <w:rsid w:val="004958CF"/>
    <w:rsid w:val="004958D7"/>
    <w:rsid w:val="00495A36"/>
    <w:rsid w:val="00495B28"/>
    <w:rsid w:val="00495CCE"/>
    <w:rsid w:val="00496474"/>
    <w:rsid w:val="004965F7"/>
    <w:rsid w:val="00496998"/>
    <w:rsid w:val="00496A76"/>
    <w:rsid w:val="00496A9F"/>
    <w:rsid w:val="00496BC0"/>
    <w:rsid w:val="00496DFF"/>
    <w:rsid w:val="00496F39"/>
    <w:rsid w:val="0049714F"/>
    <w:rsid w:val="004972A9"/>
    <w:rsid w:val="0049732B"/>
    <w:rsid w:val="004973CE"/>
    <w:rsid w:val="00497420"/>
    <w:rsid w:val="0049787F"/>
    <w:rsid w:val="00497BE6"/>
    <w:rsid w:val="00497BF5"/>
    <w:rsid w:val="00497C17"/>
    <w:rsid w:val="00497C5A"/>
    <w:rsid w:val="00497C70"/>
    <w:rsid w:val="00497CA3"/>
    <w:rsid w:val="00497EE6"/>
    <w:rsid w:val="00497FCF"/>
    <w:rsid w:val="004A010B"/>
    <w:rsid w:val="004A0120"/>
    <w:rsid w:val="004A013E"/>
    <w:rsid w:val="004A0187"/>
    <w:rsid w:val="004A02A6"/>
    <w:rsid w:val="004A02B6"/>
    <w:rsid w:val="004A0387"/>
    <w:rsid w:val="004A03A9"/>
    <w:rsid w:val="004A0515"/>
    <w:rsid w:val="004A053D"/>
    <w:rsid w:val="004A0A1A"/>
    <w:rsid w:val="004A1068"/>
    <w:rsid w:val="004A11ED"/>
    <w:rsid w:val="004A1207"/>
    <w:rsid w:val="004A14A1"/>
    <w:rsid w:val="004A162D"/>
    <w:rsid w:val="004A1791"/>
    <w:rsid w:val="004A1831"/>
    <w:rsid w:val="004A1980"/>
    <w:rsid w:val="004A1A90"/>
    <w:rsid w:val="004A1B34"/>
    <w:rsid w:val="004A1E2C"/>
    <w:rsid w:val="004A2077"/>
    <w:rsid w:val="004A2103"/>
    <w:rsid w:val="004A24F7"/>
    <w:rsid w:val="004A273B"/>
    <w:rsid w:val="004A2804"/>
    <w:rsid w:val="004A2959"/>
    <w:rsid w:val="004A2A03"/>
    <w:rsid w:val="004A2A84"/>
    <w:rsid w:val="004A2BA6"/>
    <w:rsid w:val="004A2BCB"/>
    <w:rsid w:val="004A2D6A"/>
    <w:rsid w:val="004A2F9A"/>
    <w:rsid w:val="004A317E"/>
    <w:rsid w:val="004A331B"/>
    <w:rsid w:val="004A3491"/>
    <w:rsid w:val="004A3492"/>
    <w:rsid w:val="004A3599"/>
    <w:rsid w:val="004A3715"/>
    <w:rsid w:val="004A3907"/>
    <w:rsid w:val="004A3C3E"/>
    <w:rsid w:val="004A3CC7"/>
    <w:rsid w:val="004A3D91"/>
    <w:rsid w:val="004A3DD8"/>
    <w:rsid w:val="004A3EE8"/>
    <w:rsid w:val="004A3F97"/>
    <w:rsid w:val="004A4105"/>
    <w:rsid w:val="004A423E"/>
    <w:rsid w:val="004A439E"/>
    <w:rsid w:val="004A448E"/>
    <w:rsid w:val="004A4500"/>
    <w:rsid w:val="004A456D"/>
    <w:rsid w:val="004A47D6"/>
    <w:rsid w:val="004A4A5F"/>
    <w:rsid w:val="004A4BB3"/>
    <w:rsid w:val="004A4CD0"/>
    <w:rsid w:val="004A4D2A"/>
    <w:rsid w:val="004A4D66"/>
    <w:rsid w:val="004A4FCB"/>
    <w:rsid w:val="004A5375"/>
    <w:rsid w:val="004A54D1"/>
    <w:rsid w:val="004A54F7"/>
    <w:rsid w:val="004A5559"/>
    <w:rsid w:val="004A5600"/>
    <w:rsid w:val="004A579B"/>
    <w:rsid w:val="004A5935"/>
    <w:rsid w:val="004A5A92"/>
    <w:rsid w:val="004A5AAC"/>
    <w:rsid w:val="004A5BAE"/>
    <w:rsid w:val="004A5C63"/>
    <w:rsid w:val="004A5D43"/>
    <w:rsid w:val="004A5D44"/>
    <w:rsid w:val="004A5DF6"/>
    <w:rsid w:val="004A5E11"/>
    <w:rsid w:val="004A5FD8"/>
    <w:rsid w:val="004A6071"/>
    <w:rsid w:val="004A61EB"/>
    <w:rsid w:val="004A61EE"/>
    <w:rsid w:val="004A6352"/>
    <w:rsid w:val="004A635F"/>
    <w:rsid w:val="004A638C"/>
    <w:rsid w:val="004A642E"/>
    <w:rsid w:val="004A66AF"/>
    <w:rsid w:val="004A68FE"/>
    <w:rsid w:val="004A6A18"/>
    <w:rsid w:val="004A6AAF"/>
    <w:rsid w:val="004A6C67"/>
    <w:rsid w:val="004A6DEF"/>
    <w:rsid w:val="004A6E07"/>
    <w:rsid w:val="004A6E63"/>
    <w:rsid w:val="004A6ED9"/>
    <w:rsid w:val="004A6F5C"/>
    <w:rsid w:val="004A7060"/>
    <w:rsid w:val="004A7257"/>
    <w:rsid w:val="004A729B"/>
    <w:rsid w:val="004A73A9"/>
    <w:rsid w:val="004A75D4"/>
    <w:rsid w:val="004A779E"/>
    <w:rsid w:val="004A7895"/>
    <w:rsid w:val="004A78B0"/>
    <w:rsid w:val="004A78F2"/>
    <w:rsid w:val="004A7C76"/>
    <w:rsid w:val="004A7CB9"/>
    <w:rsid w:val="004A7D0F"/>
    <w:rsid w:val="004A7D8A"/>
    <w:rsid w:val="004A7E1E"/>
    <w:rsid w:val="004A7FF6"/>
    <w:rsid w:val="004B00AF"/>
    <w:rsid w:val="004B0137"/>
    <w:rsid w:val="004B0292"/>
    <w:rsid w:val="004B04EE"/>
    <w:rsid w:val="004B0785"/>
    <w:rsid w:val="004B07BB"/>
    <w:rsid w:val="004B0BBB"/>
    <w:rsid w:val="004B0BD2"/>
    <w:rsid w:val="004B0D47"/>
    <w:rsid w:val="004B0DE1"/>
    <w:rsid w:val="004B0E69"/>
    <w:rsid w:val="004B1196"/>
    <w:rsid w:val="004B1321"/>
    <w:rsid w:val="004B13A5"/>
    <w:rsid w:val="004B1418"/>
    <w:rsid w:val="004B1555"/>
    <w:rsid w:val="004B1719"/>
    <w:rsid w:val="004B1B5C"/>
    <w:rsid w:val="004B1CF8"/>
    <w:rsid w:val="004B1D0A"/>
    <w:rsid w:val="004B1D24"/>
    <w:rsid w:val="004B1D9F"/>
    <w:rsid w:val="004B1DB1"/>
    <w:rsid w:val="004B20FE"/>
    <w:rsid w:val="004B21BE"/>
    <w:rsid w:val="004B22A0"/>
    <w:rsid w:val="004B2430"/>
    <w:rsid w:val="004B25AD"/>
    <w:rsid w:val="004B25C6"/>
    <w:rsid w:val="004B277E"/>
    <w:rsid w:val="004B29B8"/>
    <w:rsid w:val="004B2A74"/>
    <w:rsid w:val="004B2B6F"/>
    <w:rsid w:val="004B2D2F"/>
    <w:rsid w:val="004B2D68"/>
    <w:rsid w:val="004B2D7E"/>
    <w:rsid w:val="004B2E1C"/>
    <w:rsid w:val="004B316E"/>
    <w:rsid w:val="004B3395"/>
    <w:rsid w:val="004B344D"/>
    <w:rsid w:val="004B355C"/>
    <w:rsid w:val="004B374E"/>
    <w:rsid w:val="004B38FD"/>
    <w:rsid w:val="004B391F"/>
    <w:rsid w:val="004B3B9A"/>
    <w:rsid w:val="004B3BCB"/>
    <w:rsid w:val="004B3D62"/>
    <w:rsid w:val="004B432B"/>
    <w:rsid w:val="004B4495"/>
    <w:rsid w:val="004B463D"/>
    <w:rsid w:val="004B4750"/>
    <w:rsid w:val="004B49B2"/>
    <w:rsid w:val="004B4BD5"/>
    <w:rsid w:val="004B4F1C"/>
    <w:rsid w:val="004B5236"/>
    <w:rsid w:val="004B54CF"/>
    <w:rsid w:val="004B55EF"/>
    <w:rsid w:val="004B5993"/>
    <w:rsid w:val="004B59D8"/>
    <w:rsid w:val="004B5BEC"/>
    <w:rsid w:val="004B5C35"/>
    <w:rsid w:val="004B5D44"/>
    <w:rsid w:val="004B5DD1"/>
    <w:rsid w:val="004B5E43"/>
    <w:rsid w:val="004B6079"/>
    <w:rsid w:val="004B61EE"/>
    <w:rsid w:val="004B636D"/>
    <w:rsid w:val="004B63EF"/>
    <w:rsid w:val="004B644F"/>
    <w:rsid w:val="004B6530"/>
    <w:rsid w:val="004B65EF"/>
    <w:rsid w:val="004B69F0"/>
    <w:rsid w:val="004B6B6B"/>
    <w:rsid w:val="004B6C71"/>
    <w:rsid w:val="004B6CA3"/>
    <w:rsid w:val="004B7126"/>
    <w:rsid w:val="004B718D"/>
    <w:rsid w:val="004B7357"/>
    <w:rsid w:val="004B7409"/>
    <w:rsid w:val="004B74A7"/>
    <w:rsid w:val="004B76F7"/>
    <w:rsid w:val="004B782D"/>
    <w:rsid w:val="004B789E"/>
    <w:rsid w:val="004B7B7A"/>
    <w:rsid w:val="004B7CBF"/>
    <w:rsid w:val="004B7EEA"/>
    <w:rsid w:val="004C03BD"/>
    <w:rsid w:val="004C04AA"/>
    <w:rsid w:val="004C0743"/>
    <w:rsid w:val="004C07FE"/>
    <w:rsid w:val="004C082C"/>
    <w:rsid w:val="004C0B0B"/>
    <w:rsid w:val="004C0C10"/>
    <w:rsid w:val="004C0DF0"/>
    <w:rsid w:val="004C0FF3"/>
    <w:rsid w:val="004C112A"/>
    <w:rsid w:val="004C11C5"/>
    <w:rsid w:val="004C11EE"/>
    <w:rsid w:val="004C146D"/>
    <w:rsid w:val="004C1528"/>
    <w:rsid w:val="004C1588"/>
    <w:rsid w:val="004C15B6"/>
    <w:rsid w:val="004C1657"/>
    <w:rsid w:val="004C19CE"/>
    <w:rsid w:val="004C19D2"/>
    <w:rsid w:val="004C1B1C"/>
    <w:rsid w:val="004C1BB9"/>
    <w:rsid w:val="004C1E1E"/>
    <w:rsid w:val="004C1EE8"/>
    <w:rsid w:val="004C201C"/>
    <w:rsid w:val="004C20DA"/>
    <w:rsid w:val="004C210F"/>
    <w:rsid w:val="004C21B8"/>
    <w:rsid w:val="004C221A"/>
    <w:rsid w:val="004C23EA"/>
    <w:rsid w:val="004C2440"/>
    <w:rsid w:val="004C261D"/>
    <w:rsid w:val="004C28A9"/>
    <w:rsid w:val="004C2941"/>
    <w:rsid w:val="004C2C34"/>
    <w:rsid w:val="004C2C9A"/>
    <w:rsid w:val="004C2E1E"/>
    <w:rsid w:val="004C2E50"/>
    <w:rsid w:val="004C2E7F"/>
    <w:rsid w:val="004C2F44"/>
    <w:rsid w:val="004C3048"/>
    <w:rsid w:val="004C3382"/>
    <w:rsid w:val="004C3496"/>
    <w:rsid w:val="004C3536"/>
    <w:rsid w:val="004C35C8"/>
    <w:rsid w:val="004C3693"/>
    <w:rsid w:val="004C3784"/>
    <w:rsid w:val="004C37F0"/>
    <w:rsid w:val="004C3872"/>
    <w:rsid w:val="004C394C"/>
    <w:rsid w:val="004C3951"/>
    <w:rsid w:val="004C399E"/>
    <w:rsid w:val="004C39B1"/>
    <w:rsid w:val="004C39D7"/>
    <w:rsid w:val="004C3A94"/>
    <w:rsid w:val="004C3B21"/>
    <w:rsid w:val="004C3B9E"/>
    <w:rsid w:val="004C3C45"/>
    <w:rsid w:val="004C3DFB"/>
    <w:rsid w:val="004C40D1"/>
    <w:rsid w:val="004C434C"/>
    <w:rsid w:val="004C45F0"/>
    <w:rsid w:val="004C47D8"/>
    <w:rsid w:val="004C4A62"/>
    <w:rsid w:val="004C4B56"/>
    <w:rsid w:val="004C4C2B"/>
    <w:rsid w:val="004C4C76"/>
    <w:rsid w:val="004C4E82"/>
    <w:rsid w:val="004C50A6"/>
    <w:rsid w:val="004C538E"/>
    <w:rsid w:val="004C53AF"/>
    <w:rsid w:val="004C55EA"/>
    <w:rsid w:val="004C570A"/>
    <w:rsid w:val="004C5BB8"/>
    <w:rsid w:val="004C5C47"/>
    <w:rsid w:val="004C5CA8"/>
    <w:rsid w:val="004C5D4B"/>
    <w:rsid w:val="004C5E07"/>
    <w:rsid w:val="004C5E84"/>
    <w:rsid w:val="004C5EE9"/>
    <w:rsid w:val="004C60BC"/>
    <w:rsid w:val="004C60CE"/>
    <w:rsid w:val="004C633F"/>
    <w:rsid w:val="004C6451"/>
    <w:rsid w:val="004C6B8F"/>
    <w:rsid w:val="004C6C13"/>
    <w:rsid w:val="004C6D68"/>
    <w:rsid w:val="004C6F47"/>
    <w:rsid w:val="004C6F8D"/>
    <w:rsid w:val="004C72B3"/>
    <w:rsid w:val="004C73E8"/>
    <w:rsid w:val="004C74DB"/>
    <w:rsid w:val="004C7A37"/>
    <w:rsid w:val="004C7E9C"/>
    <w:rsid w:val="004D0018"/>
    <w:rsid w:val="004D019C"/>
    <w:rsid w:val="004D02F2"/>
    <w:rsid w:val="004D05E5"/>
    <w:rsid w:val="004D06F8"/>
    <w:rsid w:val="004D0756"/>
    <w:rsid w:val="004D0A74"/>
    <w:rsid w:val="004D0B3F"/>
    <w:rsid w:val="004D0D5A"/>
    <w:rsid w:val="004D10CA"/>
    <w:rsid w:val="004D1103"/>
    <w:rsid w:val="004D13F3"/>
    <w:rsid w:val="004D1463"/>
    <w:rsid w:val="004D1689"/>
    <w:rsid w:val="004D186A"/>
    <w:rsid w:val="004D1943"/>
    <w:rsid w:val="004D1A2C"/>
    <w:rsid w:val="004D1A5C"/>
    <w:rsid w:val="004D1C35"/>
    <w:rsid w:val="004D204A"/>
    <w:rsid w:val="004D2402"/>
    <w:rsid w:val="004D2786"/>
    <w:rsid w:val="004D28C5"/>
    <w:rsid w:val="004D29F6"/>
    <w:rsid w:val="004D2A62"/>
    <w:rsid w:val="004D2AA2"/>
    <w:rsid w:val="004D2B65"/>
    <w:rsid w:val="004D2C4F"/>
    <w:rsid w:val="004D2CB5"/>
    <w:rsid w:val="004D2D15"/>
    <w:rsid w:val="004D2E97"/>
    <w:rsid w:val="004D2F03"/>
    <w:rsid w:val="004D3046"/>
    <w:rsid w:val="004D3190"/>
    <w:rsid w:val="004D33BB"/>
    <w:rsid w:val="004D33FE"/>
    <w:rsid w:val="004D343C"/>
    <w:rsid w:val="004D34FA"/>
    <w:rsid w:val="004D3594"/>
    <w:rsid w:val="004D36DB"/>
    <w:rsid w:val="004D36FD"/>
    <w:rsid w:val="004D393F"/>
    <w:rsid w:val="004D3D8B"/>
    <w:rsid w:val="004D3F13"/>
    <w:rsid w:val="004D3F1D"/>
    <w:rsid w:val="004D3F40"/>
    <w:rsid w:val="004D3FE0"/>
    <w:rsid w:val="004D402C"/>
    <w:rsid w:val="004D4054"/>
    <w:rsid w:val="004D4072"/>
    <w:rsid w:val="004D40D5"/>
    <w:rsid w:val="004D40E9"/>
    <w:rsid w:val="004D42D3"/>
    <w:rsid w:val="004D45A4"/>
    <w:rsid w:val="004D45DF"/>
    <w:rsid w:val="004D4921"/>
    <w:rsid w:val="004D4984"/>
    <w:rsid w:val="004D4A22"/>
    <w:rsid w:val="004D4A9E"/>
    <w:rsid w:val="004D4C2B"/>
    <w:rsid w:val="004D4CA3"/>
    <w:rsid w:val="004D4D81"/>
    <w:rsid w:val="004D5026"/>
    <w:rsid w:val="004D5132"/>
    <w:rsid w:val="004D5263"/>
    <w:rsid w:val="004D534E"/>
    <w:rsid w:val="004D5364"/>
    <w:rsid w:val="004D56CC"/>
    <w:rsid w:val="004D5772"/>
    <w:rsid w:val="004D5819"/>
    <w:rsid w:val="004D5860"/>
    <w:rsid w:val="004D58FC"/>
    <w:rsid w:val="004D5D41"/>
    <w:rsid w:val="004D5D87"/>
    <w:rsid w:val="004D5DC7"/>
    <w:rsid w:val="004D60F0"/>
    <w:rsid w:val="004D6316"/>
    <w:rsid w:val="004D63E1"/>
    <w:rsid w:val="004D6497"/>
    <w:rsid w:val="004D64B8"/>
    <w:rsid w:val="004D6758"/>
    <w:rsid w:val="004D675C"/>
    <w:rsid w:val="004D691F"/>
    <w:rsid w:val="004D6EB8"/>
    <w:rsid w:val="004D6F05"/>
    <w:rsid w:val="004D6F43"/>
    <w:rsid w:val="004D7249"/>
    <w:rsid w:val="004D7275"/>
    <w:rsid w:val="004D734C"/>
    <w:rsid w:val="004D74E0"/>
    <w:rsid w:val="004D7724"/>
    <w:rsid w:val="004D793F"/>
    <w:rsid w:val="004D7C0F"/>
    <w:rsid w:val="004D7CFD"/>
    <w:rsid w:val="004D7E10"/>
    <w:rsid w:val="004D7E3D"/>
    <w:rsid w:val="004D7E5C"/>
    <w:rsid w:val="004E01FE"/>
    <w:rsid w:val="004E031A"/>
    <w:rsid w:val="004E0369"/>
    <w:rsid w:val="004E0393"/>
    <w:rsid w:val="004E03B3"/>
    <w:rsid w:val="004E0456"/>
    <w:rsid w:val="004E04B1"/>
    <w:rsid w:val="004E05D4"/>
    <w:rsid w:val="004E076E"/>
    <w:rsid w:val="004E07E8"/>
    <w:rsid w:val="004E0AC2"/>
    <w:rsid w:val="004E0AEF"/>
    <w:rsid w:val="004E0B81"/>
    <w:rsid w:val="004E0B8E"/>
    <w:rsid w:val="004E105D"/>
    <w:rsid w:val="004E10D5"/>
    <w:rsid w:val="004E156D"/>
    <w:rsid w:val="004E160B"/>
    <w:rsid w:val="004E1783"/>
    <w:rsid w:val="004E187D"/>
    <w:rsid w:val="004E190B"/>
    <w:rsid w:val="004E194E"/>
    <w:rsid w:val="004E1953"/>
    <w:rsid w:val="004E1CF7"/>
    <w:rsid w:val="004E2192"/>
    <w:rsid w:val="004E2263"/>
    <w:rsid w:val="004E23AB"/>
    <w:rsid w:val="004E25B8"/>
    <w:rsid w:val="004E2733"/>
    <w:rsid w:val="004E274F"/>
    <w:rsid w:val="004E2781"/>
    <w:rsid w:val="004E2793"/>
    <w:rsid w:val="004E2AB3"/>
    <w:rsid w:val="004E2BAD"/>
    <w:rsid w:val="004E2F13"/>
    <w:rsid w:val="004E2FA5"/>
    <w:rsid w:val="004E2FA6"/>
    <w:rsid w:val="004E301E"/>
    <w:rsid w:val="004E3140"/>
    <w:rsid w:val="004E3474"/>
    <w:rsid w:val="004E34C5"/>
    <w:rsid w:val="004E35A5"/>
    <w:rsid w:val="004E37EB"/>
    <w:rsid w:val="004E3848"/>
    <w:rsid w:val="004E3A50"/>
    <w:rsid w:val="004E3AE3"/>
    <w:rsid w:val="004E3B90"/>
    <w:rsid w:val="004E3BE1"/>
    <w:rsid w:val="004E3BFE"/>
    <w:rsid w:val="004E3E1C"/>
    <w:rsid w:val="004E4070"/>
    <w:rsid w:val="004E415C"/>
    <w:rsid w:val="004E4464"/>
    <w:rsid w:val="004E47C0"/>
    <w:rsid w:val="004E47E6"/>
    <w:rsid w:val="004E4C76"/>
    <w:rsid w:val="004E4D83"/>
    <w:rsid w:val="004E4E4F"/>
    <w:rsid w:val="004E4F1C"/>
    <w:rsid w:val="004E50EE"/>
    <w:rsid w:val="004E5218"/>
    <w:rsid w:val="004E54F9"/>
    <w:rsid w:val="004E5598"/>
    <w:rsid w:val="004E56F6"/>
    <w:rsid w:val="004E5801"/>
    <w:rsid w:val="004E5A30"/>
    <w:rsid w:val="004E5DB2"/>
    <w:rsid w:val="004E5E56"/>
    <w:rsid w:val="004E5ECE"/>
    <w:rsid w:val="004E5FCD"/>
    <w:rsid w:val="004E60AD"/>
    <w:rsid w:val="004E63DC"/>
    <w:rsid w:val="004E64C7"/>
    <w:rsid w:val="004E65D3"/>
    <w:rsid w:val="004E6676"/>
    <w:rsid w:val="004E6764"/>
    <w:rsid w:val="004E67F4"/>
    <w:rsid w:val="004E686E"/>
    <w:rsid w:val="004E68C6"/>
    <w:rsid w:val="004E68EA"/>
    <w:rsid w:val="004E6912"/>
    <w:rsid w:val="004E6A6F"/>
    <w:rsid w:val="004E6B94"/>
    <w:rsid w:val="004E6C69"/>
    <w:rsid w:val="004E6CC2"/>
    <w:rsid w:val="004E6D3F"/>
    <w:rsid w:val="004E7017"/>
    <w:rsid w:val="004E7298"/>
    <w:rsid w:val="004E751E"/>
    <w:rsid w:val="004E75A7"/>
    <w:rsid w:val="004E766D"/>
    <w:rsid w:val="004E7768"/>
    <w:rsid w:val="004E7B13"/>
    <w:rsid w:val="004E7B71"/>
    <w:rsid w:val="004E7C85"/>
    <w:rsid w:val="004E7CD1"/>
    <w:rsid w:val="004E7D10"/>
    <w:rsid w:val="004E7DC9"/>
    <w:rsid w:val="004E7EB0"/>
    <w:rsid w:val="004E7F6D"/>
    <w:rsid w:val="004E7F79"/>
    <w:rsid w:val="004F014F"/>
    <w:rsid w:val="004F0252"/>
    <w:rsid w:val="004F069A"/>
    <w:rsid w:val="004F0C63"/>
    <w:rsid w:val="004F0C6F"/>
    <w:rsid w:val="004F0D4A"/>
    <w:rsid w:val="004F0E14"/>
    <w:rsid w:val="004F0E62"/>
    <w:rsid w:val="004F1001"/>
    <w:rsid w:val="004F11EF"/>
    <w:rsid w:val="004F13F4"/>
    <w:rsid w:val="004F1480"/>
    <w:rsid w:val="004F15F1"/>
    <w:rsid w:val="004F1650"/>
    <w:rsid w:val="004F16FE"/>
    <w:rsid w:val="004F1963"/>
    <w:rsid w:val="004F1980"/>
    <w:rsid w:val="004F1C8B"/>
    <w:rsid w:val="004F1EBC"/>
    <w:rsid w:val="004F2083"/>
    <w:rsid w:val="004F209A"/>
    <w:rsid w:val="004F20BD"/>
    <w:rsid w:val="004F21E2"/>
    <w:rsid w:val="004F2314"/>
    <w:rsid w:val="004F2336"/>
    <w:rsid w:val="004F2344"/>
    <w:rsid w:val="004F24C9"/>
    <w:rsid w:val="004F2746"/>
    <w:rsid w:val="004F2796"/>
    <w:rsid w:val="004F28C9"/>
    <w:rsid w:val="004F2AF2"/>
    <w:rsid w:val="004F2C06"/>
    <w:rsid w:val="004F2E9D"/>
    <w:rsid w:val="004F2EB7"/>
    <w:rsid w:val="004F2ED4"/>
    <w:rsid w:val="004F3092"/>
    <w:rsid w:val="004F3131"/>
    <w:rsid w:val="004F331E"/>
    <w:rsid w:val="004F3404"/>
    <w:rsid w:val="004F34A2"/>
    <w:rsid w:val="004F3734"/>
    <w:rsid w:val="004F3803"/>
    <w:rsid w:val="004F39E0"/>
    <w:rsid w:val="004F3AEE"/>
    <w:rsid w:val="004F3BAA"/>
    <w:rsid w:val="004F3C7E"/>
    <w:rsid w:val="004F3CF6"/>
    <w:rsid w:val="004F3D03"/>
    <w:rsid w:val="004F3D5D"/>
    <w:rsid w:val="004F3D98"/>
    <w:rsid w:val="004F3EDF"/>
    <w:rsid w:val="004F3F99"/>
    <w:rsid w:val="004F3FC4"/>
    <w:rsid w:val="004F40D1"/>
    <w:rsid w:val="004F4129"/>
    <w:rsid w:val="004F4264"/>
    <w:rsid w:val="004F42B4"/>
    <w:rsid w:val="004F42D5"/>
    <w:rsid w:val="004F4439"/>
    <w:rsid w:val="004F4664"/>
    <w:rsid w:val="004F4ACF"/>
    <w:rsid w:val="004F4B63"/>
    <w:rsid w:val="004F4BC8"/>
    <w:rsid w:val="004F4F18"/>
    <w:rsid w:val="004F4F3A"/>
    <w:rsid w:val="004F4F43"/>
    <w:rsid w:val="004F51DE"/>
    <w:rsid w:val="004F52AD"/>
    <w:rsid w:val="004F539A"/>
    <w:rsid w:val="004F5498"/>
    <w:rsid w:val="004F54AA"/>
    <w:rsid w:val="004F54D4"/>
    <w:rsid w:val="004F5517"/>
    <w:rsid w:val="004F5619"/>
    <w:rsid w:val="004F5643"/>
    <w:rsid w:val="004F566D"/>
    <w:rsid w:val="004F5743"/>
    <w:rsid w:val="004F5776"/>
    <w:rsid w:val="004F5789"/>
    <w:rsid w:val="004F57E5"/>
    <w:rsid w:val="004F5836"/>
    <w:rsid w:val="004F598A"/>
    <w:rsid w:val="004F59FD"/>
    <w:rsid w:val="004F5A14"/>
    <w:rsid w:val="004F5BA5"/>
    <w:rsid w:val="004F5C6C"/>
    <w:rsid w:val="004F5C74"/>
    <w:rsid w:val="004F5CEC"/>
    <w:rsid w:val="004F5D4F"/>
    <w:rsid w:val="004F5EE2"/>
    <w:rsid w:val="004F5F3D"/>
    <w:rsid w:val="004F601B"/>
    <w:rsid w:val="004F618A"/>
    <w:rsid w:val="004F619F"/>
    <w:rsid w:val="004F62B0"/>
    <w:rsid w:val="004F649D"/>
    <w:rsid w:val="004F651C"/>
    <w:rsid w:val="004F65EE"/>
    <w:rsid w:val="004F669A"/>
    <w:rsid w:val="004F66B9"/>
    <w:rsid w:val="004F66BE"/>
    <w:rsid w:val="004F684E"/>
    <w:rsid w:val="004F6887"/>
    <w:rsid w:val="004F6A9C"/>
    <w:rsid w:val="004F6AAE"/>
    <w:rsid w:val="004F6BD2"/>
    <w:rsid w:val="004F6D7D"/>
    <w:rsid w:val="004F6ED2"/>
    <w:rsid w:val="004F6FEE"/>
    <w:rsid w:val="004F70F9"/>
    <w:rsid w:val="004F717F"/>
    <w:rsid w:val="004F7245"/>
    <w:rsid w:val="004F764F"/>
    <w:rsid w:val="004F7AD1"/>
    <w:rsid w:val="004F7C99"/>
    <w:rsid w:val="004F7DF7"/>
    <w:rsid w:val="004F7FDF"/>
    <w:rsid w:val="00500037"/>
    <w:rsid w:val="0050037C"/>
    <w:rsid w:val="0050059D"/>
    <w:rsid w:val="005006F5"/>
    <w:rsid w:val="00500825"/>
    <w:rsid w:val="00500836"/>
    <w:rsid w:val="00500887"/>
    <w:rsid w:val="00500ACF"/>
    <w:rsid w:val="00500B99"/>
    <w:rsid w:val="00500C89"/>
    <w:rsid w:val="00500CAE"/>
    <w:rsid w:val="00500D24"/>
    <w:rsid w:val="00500D3F"/>
    <w:rsid w:val="00500D78"/>
    <w:rsid w:val="00501106"/>
    <w:rsid w:val="00501165"/>
    <w:rsid w:val="00501221"/>
    <w:rsid w:val="00501269"/>
    <w:rsid w:val="00501319"/>
    <w:rsid w:val="005014CD"/>
    <w:rsid w:val="005016D9"/>
    <w:rsid w:val="0050199F"/>
    <w:rsid w:val="00501A73"/>
    <w:rsid w:val="00501C20"/>
    <w:rsid w:val="00501CC3"/>
    <w:rsid w:val="00501F3B"/>
    <w:rsid w:val="00502016"/>
    <w:rsid w:val="00502410"/>
    <w:rsid w:val="005024EB"/>
    <w:rsid w:val="005027B1"/>
    <w:rsid w:val="00502826"/>
    <w:rsid w:val="00502836"/>
    <w:rsid w:val="005028CE"/>
    <w:rsid w:val="00502A43"/>
    <w:rsid w:val="00502AA9"/>
    <w:rsid w:val="00502E38"/>
    <w:rsid w:val="00502E8D"/>
    <w:rsid w:val="00502F1F"/>
    <w:rsid w:val="00502F20"/>
    <w:rsid w:val="0050310A"/>
    <w:rsid w:val="0050334C"/>
    <w:rsid w:val="0050365A"/>
    <w:rsid w:val="0050384B"/>
    <w:rsid w:val="005038E6"/>
    <w:rsid w:val="005039F9"/>
    <w:rsid w:val="00503A6A"/>
    <w:rsid w:val="00503ABF"/>
    <w:rsid w:val="00503CBB"/>
    <w:rsid w:val="00503FFC"/>
    <w:rsid w:val="0050404C"/>
    <w:rsid w:val="00504071"/>
    <w:rsid w:val="0050420B"/>
    <w:rsid w:val="0050437E"/>
    <w:rsid w:val="00504605"/>
    <w:rsid w:val="005046BB"/>
    <w:rsid w:val="005046D1"/>
    <w:rsid w:val="0050475A"/>
    <w:rsid w:val="00504799"/>
    <w:rsid w:val="00504939"/>
    <w:rsid w:val="0050499C"/>
    <w:rsid w:val="0050499F"/>
    <w:rsid w:val="00504A3D"/>
    <w:rsid w:val="00504B49"/>
    <w:rsid w:val="00504C30"/>
    <w:rsid w:val="00504D88"/>
    <w:rsid w:val="00504E95"/>
    <w:rsid w:val="00505236"/>
    <w:rsid w:val="00505270"/>
    <w:rsid w:val="005052E8"/>
    <w:rsid w:val="0050546B"/>
    <w:rsid w:val="005054AA"/>
    <w:rsid w:val="00505542"/>
    <w:rsid w:val="0050564B"/>
    <w:rsid w:val="00505750"/>
    <w:rsid w:val="0050597C"/>
    <w:rsid w:val="0050599F"/>
    <w:rsid w:val="00505C86"/>
    <w:rsid w:val="00505C9D"/>
    <w:rsid w:val="00505CD6"/>
    <w:rsid w:val="00505D2A"/>
    <w:rsid w:val="00505D73"/>
    <w:rsid w:val="00505DBF"/>
    <w:rsid w:val="00505DD5"/>
    <w:rsid w:val="00505E5F"/>
    <w:rsid w:val="00505F27"/>
    <w:rsid w:val="00505FA4"/>
    <w:rsid w:val="00506066"/>
    <w:rsid w:val="005061D3"/>
    <w:rsid w:val="00506251"/>
    <w:rsid w:val="00506272"/>
    <w:rsid w:val="00506682"/>
    <w:rsid w:val="005066FE"/>
    <w:rsid w:val="0050677F"/>
    <w:rsid w:val="00506854"/>
    <w:rsid w:val="005068D8"/>
    <w:rsid w:val="00506AB1"/>
    <w:rsid w:val="00506B7C"/>
    <w:rsid w:val="00506C2C"/>
    <w:rsid w:val="00506C42"/>
    <w:rsid w:val="00506CAC"/>
    <w:rsid w:val="00506D9E"/>
    <w:rsid w:val="00506DE3"/>
    <w:rsid w:val="00506DF6"/>
    <w:rsid w:val="00506E8F"/>
    <w:rsid w:val="00506F55"/>
    <w:rsid w:val="00507174"/>
    <w:rsid w:val="0050723F"/>
    <w:rsid w:val="005074EE"/>
    <w:rsid w:val="005075C7"/>
    <w:rsid w:val="005075E1"/>
    <w:rsid w:val="00507710"/>
    <w:rsid w:val="00507879"/>
    <w:rsid w:val="00507A4C"/>
    <w:rsid w:val="00507ABB"/>
    <w:rsid w:val="00507ADF"/>
    <w:rsid w:val="00507D3B"/>
    <w:rsid w:val="00510026"/>
    <w:rsid w:val="00510197"/>
    <w:rsid w:val="00510449"/>
    <w:rsid w:val="0051047A"/>
    <w:rsid w:val="005104CC"/>
    <w:rsid w:val="0051070E"/>
    <w:rsid w:val="0051095E"/>
    <w:rsid w:val="00510BC4"/>
    <w:rsid w:val="00510BFC"/>
    <w:rsid w:val="00510C1B"/>
    <w:rsid w:val="00510D50"/>
    <w:rsid w:val="00510ED2"/>
    <w:rsid w:val="00510F70"/>
    <w:rsid w:val="0051112C"/>
    <w:rsid w:val="005111DC"/>
    <w:rsid w:val="00511216"/>
    <w:rsid w:val="0051128E"/>
    <w:rsid w:val="0051148F"/>
    <w:rsid w:val="00511652"/>
    <w:rsid w:val="0051165D"/>
    <w:rsid w:val="00511692"/>
    <w:rsid w:val="00511863"/>
    <w:rsid w:val="005118B0"/>
    <w:rsid w:val="00511AC4"/>
    <w:rsid w:val="00511C05"/>
    <w:rsid w:val="00511E3A"/>
    <w:rsid w:val="00511EB6"/>
    <w:rsid w:val="00511FB6"/>
    <w:rsid w:val="00511FC9"/>
    <w:rsid w:val="00512105"/>
    <w:rsid w:val="0051219B"/>
    <w:rsid w:val="0051233B"/>
    <w:rsid w:val="0051236A"/>
    <w:rsid w:val="00512490"/>
    <w:rsid w:val="005124EF"/>
    <w:rsid w:val="005124F9"/>
    <w:rsid w:val="00512570"/>
    <w:rsid w:val="00512ECF"/>
    <w:rsid w:val="00512ED8"/>
    <w:rsid w:val="00512F9A"/>
    <w:rsid w:val="00512FA7"/>
    <w:rsid w:val="005132D8"/>
    <w:rsid w:val="0051351E"/>
    <w:rsid w:val="00513526"/>
    <w:rsid w:val="00513537"/>
    <w:rsid w:val="0051366F"/>
    <w:rsid w:val="00513687"/>
    <w:rsid w:val="005136FD"/>
    <w:rsid w:val="0051374F"/>
    <w:rsid w:val="005139AE"/>
    <w:rsid w:val="00513A5C"/>
    <w:rsid w:val="00513A8D"/>
    <w:rsid w:val="00513AC3"/>
    <w:rsid w:val="00513BC6"/>
    <w:rsid w:val="00513BFA"/>
    <w:rsid w:val="00513D58"/>
    <w:rsid w:val="00513DDA"/>
    <w:rsid w:val="00513F34"/>
    <w:rsid w:val="005144F5"/>
    <w:rsid w:val="005145E6"/>
    <w:rsid w:val="00514631"/>
    <w:rsid w:val="005146E8"/>
    <w:rsid w:val="0051495B"/>
    <w:rsid w:val="00514AA2"/>
    <w:rsid w:val="00514BB7"/>
    <w:rsid w:val="00514C65"/>
    <w:rsid w:val="00514D49"/>
    <w:rsid w:val="00514DFA"/>
    <w:rsid w:val="00514E8B"/>
    <w:rsid w:val="00514E99"/>
    <w:rsid w:val="00514F1B"/>
    <w:rsid w:val="00514F26"/>
    <w:rsid w:val="00514F94"/>
    <w:rsid w:val="00514F97"/>
    <w:rsid w:val="00514FBA"/>
    <w:rsid w:val="0051512D"/>
    <w:rsid w:val="00515145"/>
    <w:rsid w:val="005151B8"/>
    <w:rsid w:val="005153DA"/>
    <w:rsid w:val="0051561B"/>
    <w:rsid w:val="0051566B"/>
    <w:rsid w:val="005156FE"/>
    <w:rsid w:val="00515713"/>
    <w:rsid w:val="00515811"/>
    <w:rsid w:val="0051588A"/>
    <w:rsid w:val="005158B0"/>
    <w:rsid w:val="00515927"/>
    <w:rsid w:val="0051592B"/>
    <w:rsid w:val="00515A45"/>
    <w:rsid w:val="00515C5E"/>
    <w:rsid w:val="00515F5C"/>
    <w:rsid w:val="00516139"/>
    <w:rsid w:val="005161B4"/>
    <w:rsid w:val="005161DD"/>
    <w:rsid w:val="00516263"/>
    <w:rsid w:val="00516300"/>
    <w:rsid w:val="00516486"/>
    <w:rsid w:val="005165F3"/>
    <w:rsid w:val="0051660F"/>
    <w:rsid w:val="005168B2"/>
    <w:rsid w:val="00516A4D"/>
    <w:rsid w:val="00516CC8"/>
    <w:rsid w:val="00516D20"/>
    <w:rsid w:val="00516E41"/>
    <w:rsid w:val="00516E4B"/>
    <w:rsid w:val="00516F36"/>
    <w:rsid w:val="00516F5D"/>
    <w:rsid w:val="00516F82"/>
    <w:rsid w:val="005171A9"/>
    <w:rsid w:val="00517229"/>
    <w:rsid w:val="005174ED"/>
    <w:rsid w:val="00517588"/>
    <w:rsid w:val="00517691"/>
    <w:rsid w:val="00517936"/>
    <w:rsid w:val="0051799A"/>
    <w:rsid w:val="005179EE"/>
    <w:rsid w:val="00517AC4"/>
    <w:rsid w:val="00517B42"/>
    <w:rsid w:val="00517BAE"/>
    <w:rsid w:val="00517C60"/>
    <w:rsid w:val="00517D3B"/>
    <w:rsid w:val="00517DB2"/>
    <w:rsid w:val="00517E79"/>
    <w:rsid w:val="00517E7C"/>
    <w:rsid w:val="00517E91"/>
    <w:rsid w:val="00517F6B"/>
    <w:rsid w:val="00520187"/>
    <w:rsid w:val="005201A0"/>
    <w:rsid w:val="005201D0"/>
    <w:rsid w:val="0052032C"/>
    <w:rsid w:val="005203FA"/>
    <w:rsid w:val="005205A0"/>
    <w:rsid w:val="00520734"/>
    <w:rsid w:val="00520806"/>
    <w:rsid w:val="00520921"/>
    <w:rsid w:val="00520B45"/>
    <w:rsid w:val="00520B55"/>
    <w:rsid w:val="00520CB4"/>
    <w:rsid w:val="00520D58"/>
    <w:rsid w:val="00520D59"/>
    <w:rsid w:val="00520E0F"/>
    <w:rsid w:val="00520E2D"/>
    <w:rsid w:val="00520EDB"/>
    <w:rsid w:val="00520FFA"/>
    <w:rsid w:val="00521087"/>
    <w:rsid w:val="00521144"/>
    <w:rsid w:val="00521435"/>
    <w:rsid w:val="00521458"/>
    <w:rsid w:val="005214AD"/>
    <w:rsid w:val="00521561"/>
    <w:rsid w:val="005216BD"/>
    <w:rsid w:val="00521707"/>
    <w:rsid w:val="00521806"/>
    <w:rsid w:val="0052180A"/>
    <w:rsid w:val="0052183E"/>
    <w:rsid w:val="005218C4"/>
    <w:rsid w:val="0052190B"/>
    <w:rsid w:val="00521973"/>
    <w:rsid w:val="00521D05"/>
    <w:rsid w:val="00521DA9"/>
    <w:rsid w:val="00521E0E"/>
    <w:rsid w:val="00521E60"/>
    <w:rsid w:val="00521E7A"/>
    <w:rsid w:val="00522119"/>
    <w:rsid w:val="005222B3"/>
    <w:rsid w:val="0052234B"/>
    <w:rsid w:val="00522690"/>
    <w:rsid w:val="005226D7"/>
    <w:rsid w:val="00522783"/>
    <w:rsid w:val="00522890"/>
    <w:rsid w:val="00522A4D"/>
    <w:rsid w:val="00522CE4"/>
    <w:rsid w:val="00522F31"/>
    <w:rsid w:val="00522FC2"/>
    <w:rsid w:val="005231E2"/>
    <w:rsid w:val="005232E0"/>
    <w:rsid w:val="005233EA"/>
    <w:rsid w:val="005235D2"/>
    <w:rsid w:val="005235FC"/>
    <w:rsid w:val="00523613"/>
    <w:rsid w:val="00523922"/>
    <w:rsid w:val="00523929"/>
    <w:rsid w:val="005239BB"/>
    <w:rsid w:val="00523A76"/>
    <w:rsid w:val="00523A87"/>
    <w:rsid w:val="00523C1A"/>
    <w:rsid w:val="00523E46"/>
    <w:rsid w:val="00523E4B"/>
    <w:rsid w:val="00523E61"/>
    <w:rsid w:val="00524133"/>
    <w:rsid w:val="00524287"/>
    <w:rsid w:val="00524423"/>
    <w:rsid w:val="0052443D"/>
    <w:rsid w:val="005245E6"/>
    <w:rsid w:val="00524622"/>
    <w:rsid w:val="0052470E"/>
    <w:rsid w:val="0052477F"/>
    <w:rsid w:val="005247D5"/>
    <w:rsid w:val="0052481C"/>
    <w:rsid w:val="00524821"/>
    <w:rsid w:val="00524989"/>
    <w:rsid w:val="005249AC"/>
    <w:rsid w:val="00524D7C"/>
    <w:rsid w:val="00524E68"/>
    <w:rsid w:val="005250C9"/>
    <w:rsid w:val="00525168"/>
    <w:rsid w:val="005252A3"/>
    <w:rsid w:val="00525317"/>
    <w:rsid w:val="00525389"/>
    <w:rsid w:val="005254C1"/>
    <w:rsid w:val="0052554F"/>
    <w:rsid w:val="00525679"/>
    <w:rsid w:val="005256CF"/>
    <w:rsid w:val="005259CF"/>
    <w:rsid w:val="00525A0E"/>
    <w:rsid w:val="00525AEB"/>
    <w:rsid w:val="00525F5E"/>
    <w:rsid w:val="0052616D"/>
    <w:rsid w:val="0052624B"/>
    <w:rsid w:val="00526429"/>
    <w:rsid w:val="005264D5"/>
    <w:rsid w:val="00526500"/>
    <w:rsid w:val="005265CC"/>
    <w:rsid w:val="005267C9"/>
    <w:rsid w:val="005269CF"/>
    <w:rsid w:val="00526F21"/>
    <w:rsid w:val="00527062"/>
    <w:rsid w:val="0052722F"/>
    <w:rsid w:val="00527235"/>
    <w:rsid w:val="00527253"/>
    <w:rsid w:val="005273AD"/>
    <w:rsid w:val="0052748E"/>
    <w:rsid w:val="00527539"/>
    <w:rsid w:val="0052758F"/>
    <w:rsid w:val="0052769F"/>
    <w:rsid w:val="0052772D"/>
    <w:rsid w:val="005277F0"/>
    <w:rsid w:val="00527A7A"/>
    <w:rsid w:val="00527ACE"/>
    <w:rsid w:val="00527B9B"/>
    <w:rsid w:val="00527BDD"/>
    <w:rsid w:val="00527D34"/>
    <w:rsid w:val="00527FEE"/>
    <w:rsid w:val="0053014E"/>
    <w:rsid w:val="00530334"/>
    <w:rsid w:val="0053044D"/>
    <w:rsid w:val="005305AF"/>
    <w:rsid w:val="0053065C"/>
    <w:rsid w:val="0053066B"/>
    <w:rsid w:val="00530691"/>
    <w:rsid w:val="00530804"/>
    <w:rsid w:val="00530869"/>
    <w:rsid w:val="00530A7D"/>
    <w:rsid w:val="00530C78"/>
    <w:rsid w:val="00530ECD"/>
    <w:rsid w:val="00531078"/>
    <w:rsid w:val="00531160"/>
    <w:rsid w:val="00531392"/>
    <w:rsid w:val="00531458"/>
    <w:rsid w:val="00531534"/>
    <w:rsid w:val="005315F0"/>
    <w:rsid w:val="0053167D"/>
    <w:rsid w:val="005316B4"/>
    <w:rsid w:val="00531C31"/>
    <w:rsid w:val="00531CF9"/>
    <w:rsid w:val="00531E7C"/>
    <w:rsid w:val="00531EB8"/>
    <w:rsid w:val="00532068"/>
    <w:rsid w:val="005320EC"/>
    <w:rsid w:val="0053225A"/>
    <w:rsid w:val="00532271"/>
    <w:rsid w:val="005322DF"/>
    <w:rsid w:val="005323F3"/>
    <w:rsid w:val="0053243C"/>
    <w:rsid w:val="00532552"/>
    <w:rsid w:val="0053256D"/>
    <w:rsid w:val="0053286E"/>
    <w:rsid w:val="00532873"/>
    <w:rsid w:val="00532B45"/>
    <w:rsid w:val="00532D67"/>
    <w:rsid w:val="00532EB8"/>
    <w:rsid w:val="00532F54"/>
    <w:rsid w:val="005330FC"/>
    <w:rsid w:val="00533658"/>
    <w:rsid w:val="00533693"/>
    <w:rsid w:val="005337C3"/>
    <w:rsid w:val="00533985"/>
    <w:rsid w:val="005339D7"/>
    <w:rsid w:val="00533B0D"/>
    <w:rsid w:val="00533D51"/>
    <w:rsid w:val="00533DB2"/>
    <w:rsid w:val="00533E7B"/>
    <w:rsid w:val="0053419E"/>
    <w:rsid w:val="005345EE"/>
    <w:rsid w:val="005345FD"/>
    <w:rsid w:val="00534814"/>
    <w:rsid w:val="0053495B"/>
    <w:rsid w:val="00534BA4"/>
    <w:rsid w:val="00534CC3"/>
    <w:rsid w:val="00534CC9"/>
    <w:rsid w:val="00534F2C"/>
    <w:rsid w:val="00535079"/>
    <w:rsid w:val="0053524B"/>
    <w:rsid w:val="005352D7"/>
    <w:rsid w:val="00535468"/>
    <w:rsid w:val="0053546D"/>
    <w:rsid w:val="00535608"/>
    <w:rsid w:val="0053570F"/>
    <w:rsid w:val="005357B6"/>
    <w:rsid w:val="00535913"/>
    <w:rsid w:val="00535BB4"/>
    <w:rsid w:val="00535BD5"/>
    <w:rsid w:val="00535C0E"/>
    <w:rsid w:val="00535C54"/>
    <w:rsid w:val="00535D3F"/>
    <w:rsid w:val="00535E55"/>
    <w:rsid w:val="00535EA9"/>
    <w:rsid w:val="00535FB7"/>
    <w:rsid w:val="00536084"/>
    <w:rsid w:val="005360F9"/>
    <w:rsid w:val="0053622B"/>
    <w:rsid w:val="0053636D"/>
    <w:rsid w:val="005364A2"/>
    <w:rsid w:val="005364DF"/>
    <w:rsid w:val="00536B19"/>
    <w:rsid w:val="00536B22"/>
    <w:rsid w:val="00536BF2"/>
    <w:rsid w:val="00536C24"/>
    <w:rsid w:val="00536C54"/>
    <w:rsid w:val="00536C7A"/>
    <w:rsid w:val="0053703D"/>
    <w:rsid w:val="005372E4"/>
    <w:rsid w:val="0053734B"/>
    <w:rsid w:val="00537402"/>
    <w:rsid w:val="00537459"/>
    <w:rsid w:val="005374FC"/>
    <w:rsid w:val="00537597"/>
    <w:rsid w:val="005376D6"/>
    <w:rsid w:val="0053776E"/>
    <w:rsid w:val="0053793F"/>
    <w:rsid w:val="00537BCD"/>
    <w:rsid w:val="00537C7A"/>
    <w:rsid w:val="00537D8D"/>
    <w:rsid w:val="00537EF9"/>
    <w:rsid w:val="00537F9E"/>
    <w:rsid w:val="00540063"/>
    <w:rsid w:val="00540159"/>
    <w:rsid w:val="005402EA"/>
    <w:rsid w:val="00540380"/>
    <w:rsid w:val="0054043C"/>
    <w:rsid w:val="005404D2"/>
    <w:rsid w:val="005408F3"/>
    <w:rsid w:val="00540C83"/>
    <w:rsid w:val="00540CE4"/>
    <w:rsid w:val="00540D03"/>
    <w:rsid w:val="00540E10"/>
    <w:rsid w:val="00540E39"/>
    <w:rsid w:val="005410F2"/>
    <w:rsid w:val="005410F9"/>
    <w:rsid w:val="0054112B"/>
    <w:rsid w:val="005411CD"/>
    <w:rsid w:val="00541381"/>
    <w:rsid w:val="005415B2"/>
    <w:rsid w:val="00541651"/>
    <w:rsid w:val="00541831"/>
    <w:rsid w:val="00541904"/>
    <w:rsid w:val="00541909"/>
    <w:rsid w:val="00541A40"/>
    <w:rsid w:val="00541ABE"/>
    <w:rsid w:val="00541C37"/>
    <w:rsid w:val="00541CD2"/>
    <w:rsid w:val="00541D36"/>
    <w:rsid w:val="00541ED2"/>
    <w:rsid w:val="00541ED8"/>
    <w:rsid w:val="005421BF"/>
    <w:rsid w:val="00542265"/>
    <w:rsid w:val="0054232C"/>
    <w:rsid w:val="00542334"/>
    <w:rsid w:val="005423F1"/>
    <w:rsid w:val="00542561"/>
    <w:rsid w:val="005425F1"/>
    <w:rsid w:val="005426CE"/>
    <w:rsid w:val="0054270D"/>
    <w:rsid w:val="00542928"/>
    <w:rsid w:val="00542CFE"/>
    <w:rsid w:val="00542E37"/>
    <w:rsid w:val="0054304F"/>
    <w:rsid w:val="0054320B"/>
    <w:rsid w:val="0054333A"/>
    <w:rsid w:val="005433F3"/>
    <w:rsid w:val="005435E1"/>
    <w:rsid w:val="00543656"/>
    <w:rsid w:val="00543903"/>
    <w:rsid w:val="00543B01"/>
    <w:rsid w:val="00543C11"/>
    <w:rsid w:val="00543CF9"/>
    <w:rsid w:val="00543DE2"/>
    <w:rsid w:val="00543E0E"/>
    <w:rsid w:val="0054405A"/>
    <w:rsid w:val="00544123"/>
    <w:rsid w:val="005441C4"/>
    <w:rsid w:val="00544254"/>
    <w:rsid w:val="005442E2"/>
    <w:rsid w:val="00544398"/>
    <w:rsid w:val="005448A7"/>
    <w:rsid w:val="00544AF6"/>
    <w:rsid w:val="00544BD5"/>
    <w:rsid w:val="00544C9F"/>
    <w:rsid w:val="00544E29"/>
    <w:rsid w:val="00544FAF"/>
    <w:rsid w:val="0054505C"/>
    <w:rsid w:val="005451C9"/>
    <w:rsid w:val="00545242"/>
    <w:rsid w:val="00545403"/>
    <w:rsid w:val="00545423"/>
    <w:rsid w:val="005455B4"/>
    <w:rsid w:val="005455EA"/>
    <w:rsid w:val="00545837"/>
    <w:rsid w:val="00545A09"/>
    <w:rsid w:val="00545B84"/>
    <w:rsid w:val="00545B9B"/>
    <w:rsid w:val="00545D7D"/>
    <w:rsid w:val="00545E5E"/>
    <w:rsid w:val="00545E88"/>
    <w:rsid w:val="0054601D"/>
    <w:rsid w:val="005462D6"/>
    <w:rsid w:val="0054637C"/>
    <w:rsid w:val="005463FF"/>
    <w:rsid w:val="005464FE"/>
    <w:rsid w:val="00546699"/>
    <w:rsid w:val="005466F5"/>
    <w:rsid w:val="005467AD"/>
    <w:rsid w:val="005468F8"/>
    <w:rsid w:val="005469ED"/>
    <w:rsid w:val="00546A0B"/>
    <w:rsid w:val="00546BB8"/>
    <w:rsid w:val="00546DB4"/>
    <w:rsid w:val="00546E08"/>
    <w:rsid w:val="00546ED5"/>
    <w:rsid w:val="00546FAD"/>
    <w:rsid w:val="005470E3"/>
    <w:rsid w:val="005470F1"/>
    <w:rsid w:val="005471BF"/>
    <w:rsid w:val="0054754B"/>
    <w:rsid w:val="0054765F"/>
    <w:rsid w:val="00547A08"/>
    <w:rsid w:val="00547B57"/>
    <w:rsid w:val="00547B8F"/>
    <w:rsid w:val="00547CBD"/>
    <w:rsid w:val="00547D25"/>
    <w:rsid w:val="00547F6A"/>
    <w:rsid w:val="005500E4"/>
    <w:rsid w:val="005508A1"/>
    <w:rsid w:val="0055094B"/>
    <w:rsid w:val="00550B1A"/>
    <w:rsid w:val="00550C6A"/>
    <w:rsid w:val="00551090"/>
    <w:rsid w:val="0055117D"/>
    <w:rsid w:val="005517E2"/>
    <w:rsid w:val="00551824"/>
    <w:rsid w:val="005518EA"/>
    <w:rsid w:val="00551AD8"/>
    <w:rsid w:val="00551E53"/>
    <w:rsid w:val="00551ECA"/>
    <w:rsid w:val="00551EF1"/>
    <w:rsid w:val="00551FC5"/>
    <w:rsid w:val="0055212A"/>
    <w:rsid w:val="0055226C"/>
    <w:rsid w:val="00552305"/>
    <w:rsid w:val="00552308"/>
    <w:rsid w:val="0055232F"/>
    <w:rsid w:val="0055236A"/>
    <w:rsid w:val="0055239A"/>
    <w:rsid w:val="005524D6"/>
    <w:rsid w:val="005525F3"/>
    <w:rsid w:val="0055286C"/>
    <w:rsid w:val="00552A6F"/>
    <w:rsid w:val="00552B33"/>
    <w:rsid w:val="00552E34"/>
    <w:rsid w:val="00552FAC"/>
    <w:rsid w:val="005530A3"/>
    <w:rsid w:val="0055310A"/>
    <w:rsid w:val="005531C8"/>
    <w:rsid w:val="005531EB"/>
    <w:rsid w:val="005534E3"/>
    <w:rsid w:val="005535F7"/>
    <w:rsid w:val="0055371C"/>
    <w:rsid w:val="005537CD"/>
    <w:rsid w:val="00553ABF"/>
    <w:rsid w:val="00553EE1"/>
    <w:rsid w:val="0055411F"/>
    <w:rsid w:val="00554238"/>
    <w:rsid w:val="00554305"/>
    <w:rsid w:val="00554325"/>
    <w:rsid w:val="005544C5"/>
    <w:rsid w:val="00554559"/>
    <w:rsid w:val="005545C2"/>
    <w:rsid w:val="005545D7"/>
    <w:rsid w:val="005546CA"/>
    <w:rsid w:val="005546E7"/>
    <w:rsid w:val="00554842"/>
    <w:rsid w:val="005549AA"/>
    <w:rsid w:val="00554D38"/>
    <w:rsid w:val="00554EF8"/>
    <w:rsid w:val="00554F42"/>
    <w:rsid w:val="00554FD2"/>
    <w:rsid w:val="0055500E"/>
    <w:rsid w:val="0055504B"/>
    <w:rsid w:val="0055510A"/>
    <w:rsid w:val="0055521A"/>
    <w:rsid w:val="0055521E"/>
    <w:rsid w:val="005552BD"/>
    <w:rsid w:val="005555AD"/>
    <w:rsid w:val="0055577A"/>
    <w:rsid w:val="00555782"/>
    <w:rsid w:val="005558D4"/>
    <w:rsid w:val="00555948"/>
    <w:rsid w:val="00555B56"/>
    <w:rsid w:val="00555BEC"/>
    <w:rsid w:val="00555D36"/>
    <w:rsid w:val="00555D39"/>
    <w:rsid w:val="00555F66"/>
    <w:rsid w:val="00556092"/>
    <w:rsid w:val="00556250"/>
    <w:rsid w:val="00556378"/>
    <w:rsid w:val="005564E9"/>
    <w:rsid w:val="0055656E"/>
    <w:rsid w:val="00556618"/>
    <w:rsid w:val="005567EC"/>
    <w:rsid w:val="0055686E"/>
    <w:rsid w:val="00556893"/>
    <w:rsid w:val="005568F1"/>
    <w:rsid w:val="00556908"/>
    <w:rsid w:val="00556946"/>
    <w:rsid w:val="00556B08"/>
    <w:rsid w:val="00556C5A"/>
    <w:rsid w:val="00556F2A"/>
    <w:rsid w:val="00556F89"/>
    <w:rsid w:val="00556FA4"/>
    <w:rsid w:val="005572B7"/>
    <w:rsid w:val="005574AE"/>
    <w:rsid w:val="005577AF"/>
    <w:rsid w:val="00557AB0"/>
    <w:rsid w:val="00557B95"/>
    <w:rsid w:val="00557E60"/>
    <w:rsid w:val="00557FE3"/>
    <w:rsid w:val="005600E1"/>
    <w:rsid w:val="00560222"/>
    <w:rsid w:val="005605F7"/>
    <w:rsid w:val="005607BB"/>
    <w:rsid w:val="00560E84"/>
    <w:rsid w:val="0056128D"/>
    <w:rsid w:val="00561359"/>
    <w:rsid w:val="005614BB"/>
    <w:rsid w:val="005615CE"/>
    <w:rsid w:val="0056171C"/>
    <w:rsid w:val="00561976"/>
    <w:rsid w:val="00561A27"/>
    <w:rsid w:val="00561A70"/>
    <w:rsid w:val="00561BD4"/>
    <w:rsid w:val="00561CA5"/>
    <w:rsid w:val="00561CFA"/>
    <w:rsid w:val="00561D25"/>
    <w:rsid w:val="005620CC"/>
    <w:rsid w:val="0056216C"/>
    <w:rsid w:val="00562175"/>
    <w:rsid w:val="00562301"/>
    <w:rsid w:val="00562359"/>
    <w:rsid w:val="005624E0"/>
    <w:rsid w:val="00562623"/>
    <w:rsid w:val="005627E0"/>
    <w:rsid w:val="00562A21"/>
    <w:rsid w:val="00562AAD"/>
    <w:rsid w:val="00562AD9"/>
    <w:rsid w:val="00562AE7"/>
    <w:rsid w:val="00562B3D"/>
    <w:rsid w:val="00562B9F"/>
    <w:rsid w:val="00562E6E"/>
    <w:rsid w:val="00562FC6"/>
    <w:rsid w:val="00563081"/>
    <w:rsid w:val="005630A5"/>
    <w:rsid w:val="00563331"/>
    <w:rsid w:val="00563613"/>
    <w:rsid w:val="0056384B"/>
    <w:rsid w:val="00563912"/>
    <w:rsid w:val="00563917"/>
    <w:rsid w:val="00563996"/>
    <w:rsid w:val="00563BB6"/>
    <w:rsid w:val="00563C68"/>
    <w:rsid w:val="00563CFC"/>
    <w:rsid w:val="00563D58"/>
    <w:rsid w:val="00563F48"/>
    <w:rsid w:val="0056429D"/>
    <w:rsid w:val="00564501"/>
    <w:rsid w:val="00564658"/>
    <w:rsid w:val="005647E4"/>
    <w:rsid w:val="005649BC"/>
    <w:rsid w:val="005649DC"/>
    <w:rsid w:val="00564A7D"/>
    <w:rsid w:val="00564C6A"/>
    <w:rsid w:val="00564C91"/>
    <w:rsid w:val="00564CA1"/>
    <w:rsid w:val="00564CE5"/>
    <w:rsid w:val="00564E2F"/>
    <w:rsid w:val="00564F59"/>
    <w:rsid w:val="00565271"/>
    <w:rsid w:val="005652FD"/>
    <w:rsid w:val="0056569B"/>
    <w:rsid w:val="00565798"/>
    <w:rsid w:val="0056586D"/>
    <w:rsid w:val="005658A1"/>
    <w:rsid w:val="0056594E"/>
    <w:rsid w:val="00565B18"/>
    <w:rsid w:val="00565B4A"/>
    <w:rsid w:val="00565C1C"/>
    <w:rsid w:val="00565C8E"/>
    <w:rsid w:val="00565DEF"/>
    <w:rsid w:val="0056601A"/>
    <w:rsid w:val="005660C5"/>
    <w:rsid w:val="00566102"/>
    <w:rsid w:val="005663DF"/>
    <w:rsid w:val="005667DB"/>
    <w:rsid w:val="00566AD0"/>
    <w:rsid w:val="00566C5E"/>
    <w:rsid w:val="00566CD3"/>
    <w:rsid w:val="00566D63"/>
    <w:rsid w:val="00566E17"/>
    <w:rsid w:val="00566FBB"/>
    <w:rsid w:val="00567058"/>
    <w:rsid w:val="005670E7"/>
    <w:rsid w:val="00567406"/>
    <w:rsid w:val="00567497"/>
    <w:rsid w:val="005675FE"/>
    <w:rsid w:val="00567681"/>
    <w:rsid w:val="005679D5"/>
    <w:rsid w:val="00567A8A"/>
    <w:rsid w:val="00567BFA"/>
    <w:rsid w:val="00567DA1"/>
    <w:rsid w:val="00567ED1"/>
    <w:rsid w:val="00567F2A"/>
    <w:rsid w:val="00567FDF"/>
    <w:rsid w:val="00570116"/>
    <w:rsid w:val="005704B8"/>
    <w:rsid w:val="0057052B"/>
    <w:rsid w:val="00570761"/>
    <w:rsid w:val="00570824"/>
    <w:rsid w:val="0057084E"/>
    <w:rsid w:val="00570851"/>
    <w:rsid w:val="00570A63"/>
    <w:rsid w:val="00570B43"/>
    <w:rsid w:val="00570E24"/>
    <w:rsid w:val="00570E88"/>
    <w:rsid w:val="00570F4A"/>
    <w:rsid w:val="00570FD5"/>
    <w:rsid w:val="0057134C"/>
    <w:rsid w:val="00571522"/>
    <w:rsid w:val="00571554"/>
    <w:rsid w:val="005716CB"/>
    <w:rsid w:val="005717F6"/>
    <w:rsid w:val="00571B21"/>
    <w:rsid w:val="00571CE5"/>
    <w:rsid w:val="00571CEC"/>
    <w:rsid w:val="00571FDB"/>
    <w:rsid w:val="00572097"/>
    <w:rsid w:val="005720E1"/>
    <w:rsid w:val="00572229"/>
    <w:rsid w:val="00572233"/>
    <w:rsid w:val="005723BA"/>
    <w:rsid w:val="00572430"/>
    <w:rsid w:val="00572562"/>
    <w:rsid w:val="005725B4"/>
    <w:rsid w:val="00572610"/>
    <w:rsid w:val="00572688"/>
    <w:rsid w:val="005726C6"/>
    <w:rsid w:val="00572720"/>
    <w:rsid w:val="00572778"/>
    <w:rsid w:val="0057278C"/>
    <w:rsid w:val="00572B73"/>
    <w:rsid w:val="00572B79"/>
    <w:rsid w:val="00572BCB"/>
    <w:rsid w:val="00572D2E"/>
    <w:rsid w:val="00572D81"/>
    <w:rsid w:val="00572DF7"/>
    <w:rsid w:val="00572E05"/>
    <w:rsid w:val="00572E6B"/>
    <w:rsid w:val="0057320B"/>
    <w:rsid w:val="005732D1"/>
    <w:rsid w:val="00573571"/>
    <w:rsid w:val="005735DE"/>
    <w:rsid w:val="005735F0"/>
    <w:rsid w:val="005735FA"/>
    <w:rsid w:val="0057368E"/>
    <w:rsid w:val="005737D4"/>
    <w:rsid w:val="005737F3"/>
    <w:rsid w:val="00573B48"/>
    <w:rsid w:val="00573C1B"/>
    <w:rsid w:val="00573C24"/>
    <w:rsid w:val="00573D74"/>
    <w:rsid w:val="00573E73"/>
    <w:rsid w:val="0057408A"/>
    <w:rsid w:val="005741B9"/>
    <w:rsid w:val="005743AB"/>
    <w:rsid w:val="005743FA"/>
    <w:rsid w:val="005744EF"/>
    <w:rsid w:val="00574731"/>
    <w:rsid w:val="00574C40"/>
    <w:rsid w:val="00574D7E"/>
    <w:rsid w:val="00574F53"/>
    <w:rsid w:val="00574F88"/>
    <w:rsid w:val="005751B2"/>
    <w:rsid w:val="005751D4"/>
    <w:rsid w:val="0057546A"/>
    <w:rsid w:val="00575552"/>
    <w:rsid w:val="005755BE"/>
    <w:rsid w:val="0057567D"/>
    <w:rsid w:val="005757AF"/>
    <w:rsid w:val="005757BC"/>
    <w:rsid w:val="005758CC"/>
    <w:rsid w:val="005759D0"/>
    <w:rsid w:val="00575A70"/>
    <w:rsid w:val="00575D37"/>
    <w:rsid w:val="00575EAD"/>
    <w:rsid w:val="00575F03"/>
    <w:rsid w:val="00575FA7"/>
    <w:rsid w:val="0057605F"/>
    <w:rsid w:val="005760E1"/>
    <w:rsid w:val="005761DD"/>
    <w:rsid w:val="0057621A"/>
    <w:rsid w:val="005762B1"/>
    <w:rsid w:val="005765CE"/>
    <w:rsid w:val="00576629"/>
    <w:rsid w:val="00576803"/>
    <w:rsid w:val="005769E2"/>
    <w:rsid w:val="00576A04"/>
    <w:rsid w:val="00576AE1"/>
    <w:rsid w:val="00576AF1"/>
    <w:rsid w:val="00576B73"/>
    <w:rsid w:val="00576BD5"/>
    <w:rsid w:val="00576EE3"/>
    <w:rsid w:val="00576F4C"/>
    <w:rsid w:val="0057703E"/>
    <w:rsid w:val="00577115"/>
    <w:rsid w:val="005772FC"/>
    <w:rsid w:val="005773F9"/>
    <w:rsid w:val="0057759F"/>
    <w:rsid w:val="0057774B"/>
    <w:rsid w:val="0057775E"/>
    <w:rsid w:val="00577820"/>
    <w:rsid w:val="0057782E"/>
    <w:rsid w:val="00577880"/>
    <w:rsid w:val="0057792F"/>
    <w:rsid w:val="0057799B"/>
    <w:rsid w:val="005779BE"/>
    <w:rsid w:val="00577A36"/>
    <w:rsid w:val="00577BDF"/>
    <w:rsid w:val="00577E46"/>
    <w:rsid w:val="00577F3A"/>
    <w:rsid w:val="0058000C"/>
    <w:rsid w:val="00580010"/>
    <w:rsid w:val="005800D1"/>
    <w:rsid w:val="00580142"/>
    <w:rsid w:val="005801C5"/>
    <w:rsid w:val="00580282"/>
    <w:rsid w:val="00580632"/>
    <w:rsid w:val="00580645"/>
    <w:rsid w:val="005807EA"/>
    <w:rsid w:val="00580A53"/>
    <w:rsid w:val="00580B05"/>
    <w:rsid w:val="00580EA0"/>
    <w:rsid w:val="00580EEC"/>
    <w:rsid w:val="005810F2"/>
    <w:rsid w:val="0058139B"/>
    <w:rsid w:val="00581468"/>
    <w:rsid w:val="0058150C"/>
    <w:rsid w:val="0058174F"/>
    <w:rsid w:val="005819D7"/>
    <w:rsid w:val="00581AC4"/>
    <w:rsid w:val="00581B99"/>
    <w:rsid w:val="00581BED"/>
    <w:rsid w:val="00581C29"/>
    <w:rsid w:val="00581D3D"/>
    <w:rsid w:val="00581DAE"/>
    <w:rsid w:val="00581E33"/>
    <w:rsid w:val="00581ECA"/>
    <w:rsid w:val="00581FE4"/>
    <w:rsid w:val="00582128"/>
    <w:rsid w:val="00582147"/>
    <w:rsid w:val="005823E9"/>
    <w:rsid w:val="00582486"/>
    <w:rsid w:val="0058255A"/>
    <w:rsid w:val="00582652"/>
    <w:rsid w:val="0058265F"/>
    <w:rsid w:val="00582948"/>
    <w:rsid w:val="005829CE"/>
    <w:rsid w:val="00582B3F"/>
    <w:rsid w:val="00582D1F"/>
    <w:rsid w:val="00582D2F"/>
    <w:rsid w:val="00582E76"/>
    <w:rsid w:val="00582EB6"/>
    <w:rsid w:val="00582EC7"/>
    <w:rsid w:val="005833CB"/>
    <w:rsid w:val="00583553"/>
    <w:rsid w:val="005836EF"/>
    <w:rsid w:val="005839D6"/>
    <w:rsid w:val="00583AB9"/>
    <w:rsid w:val="00583ADF"/>
    <w:rsid w:val="00583B33"/>
    <w:rsid w:val="00583D2D"/>
    <w:rsid w:val="00583E2B"/>
    <w:rsid w:val="00583E56"/>
    <w:rsid w:val="005840BA"/>
    <w:rsid w:val="00584139"/>
    <w:rsid w:val="0058428E"/>
    <w:rsid w:val="0058431F"/>
    <w:rsid w:val="00584395"/>
    <w:rsid w:val="005843BC"/>
    <w:rsid w:val="0058447E"/>
    <w:rsid w:val="00584599"/>
    <w:rsid w:val="005845D8"/>
    <w:rsid w:val="005846E8"/>
    <w:rsid w:val="005847B4"/>
    <w:rsid w:val="0058486F"/>
    <w:rsid w:val="00584B16"/>
    <w:rsid w:val="00584BF4"/>
    <w:rsid w:val="00584C66"/>
    <w:rsid w:val="00584DCA"/>
    <w:rsid w:val="00584E4E"/>
    <w:rsid w:val="00584ECB"/>
    <w:rsid w:val="0058528B"/>
    <w:rsid w:val="005855BE"/>
    <w:rsid w:val="00585686"/>
    <w:rsid w:val="005856B0"/>
    <w:rsid w:val="00585799"/>
    <w:rsid w:val="00585A5C"/>
    <w:rsid w:val="00585A64"/>
    <w:rsid w:val="00585AC4"/>
    <w:rsid w:val="00585CFA"/>
    <w:rsid w:val="00585D59"/>
    <w:rsid w:val="00585F37"/>
    <w:rsid w:val="00586069"/>
    <w:rsid w:val="00586165"/>
    <w:rsid w:val="00586202"/>
    <w:rsid w:val="00586228"/>
    <w:rsid w:val="0058637A"/>
    <w:rsid w:val="00586539"/>
    <w:rsid w:val="00586725"/>
    <w:rsid w:val="005867D0"/>
    <w:rsid w:val="00586837"/>
    <w:rsid w:val="00586A16"/>
    <w:rsid w:val="00586AF3"/>
    <w:rsid w:val="00586D31"/>
    <w:rsid w:val="00586D7F"/>
    <w:rsid w:val="00587048"/>
    <w:rsid w:val="005870FC"/>
    <w:rsid w:val="0058713D"/>
    <w:rsid w:val="00587228"/>
    <w:rsid w:val="005877D9"/>
    <w:rsid w:val="005879D9"/>
    <w:rsid w:val="00587A56"/>
    <w:rsid w:val="00587A72"/>
    <w:rsid w:val="00587D3F"/>
    <w:rsid w:val="00587EAE"/>
    <w:rsid w:val="00587F2F"/>
    <w:rsid w:val="00587F36"/>
    <w:rsid w:val="00587F95"/>
    <w:rsid w:val="0058FB83"/>
    <w:rsid w:val="00590148"/>
    <w:rsid w:val="00590199"/>
    <w:rsid w:val="005901DE"/>
    <w:rsid w:val="00590288"/>
    <w:rsid w:val="00590626"/>
    <w:rsid w:val="00590BF4"/>
    <w:rsid w:val="00590CF6"/>
    <w:rsid w:val="00590E25"/>
    <w:rsid w:val="00590E72"/>
    <w:rsid w:val="00590E84"/>
    <w:rsid w:val="00590EAB"/>
    <w:rsid w:val="00590FA0"/>
    <w:rsid w:val="00591063"/>
    <w:rsid w:val="005911B8"/>
    <w:rsid w:val="005913C2"/>
    <w:rsid w:val="00591414"/>
    <w:rsid w:val="0059168E"/>
    <w:rsid w:val="00591880"/>
    <w:rsid w:val="005918C1"/>
    <w:rsid w:val="005919D0"/>
    <w:rsid w:val="00591ABB"/>
    <w:rsid w:val="00591C23"/>
    <w:rsid w:val="00591CAD"/>
    <w:rsid w:val="00591CC6"/>
    <w:rsid w:val="00591D79"/>
    <w:rsid w:val="00591E92"/>
    <w:rsid w:val="00591EA1"/>
    <w:rsid w:val="00591FC7"/>
    <w:rsid w:val="00592060"/>
    <w:rsid w:val="005920D6"/>
    <w:rsid w:val="005920FA"/>
    <w:rsid w:val="00592219"/>
    <w:rsid w:val="0059221C"/>
    <w:rsid w:val="0059226D"/>
    <w:rsid w:val="005922F2"/>
    <w:rsid w:val="00592673"/>
    <w:rsid w:val="00592831"/>
    <w:rsid w:val="00592961"/>
    <w:rsid w:val="00592D32"/>
    <w:rsid w:val="00592F61"/>
    <w:rsid w:val="00592F6A"/>
    <w:rsid w:val="00593089"/>
    <w:rsid w:val="005931C5"/>
    <w:rsid w:val="005932EE"/>
    <w:rsid w:val="00593329"/>
    <w:rsid w:val="005933BD"/>
    <w:rsid w:val="0059350D"/>
    <w:rsid w:val="00593526"/>
    <w:rsid w:val="005936C8"/>
    <w:rsid w:val="00593805"/>
    <w:rsid w:val="00593967"/>
    <w:rsid w:val="00593A6E"/>
    <w:rsid w:val="00593E59"/>
    <w:rsid w:val="00593FB2"/>
    <w:rsid w:val="0059404F"/>
    <w:rsid w:val="005940C8"/>
    <w:rsid w:val="0059423D"/>
    <w:rsid w:val="00594353"/>
    <w:rsid w:val="005943A4"/>
    <w:rsid w:val="005943B0"/>
    <w:rsid w:val="0059449E"/>
    <w:rsid w:val="005945C9"/>
    <w:rsid w:val="00594A73"/>
    <w:rsid w:val="00594B6D"/>
    <w:rsid w:val="00594E28"/>
    <w:rsid w:val="00594E2D"/>
    <w:rsid w:val="00594E63"/>
    <w:rsid w:val="00595013"/>
    <w:rsid w:val="005953C2"/>
    <w:rsid w:val="00595440"/>
    <w:rsid w:val="0059552C"/>
    <w:rsid w:val="00595638"/>
    <w:rsid w:val="0059564D"/>
    <w:rsid w:val="005956C7"/>
    <w:rsid w:val="005958AB"/>
    <w:rsid w:val="00595934"/>
    <w:rsid w:val="00595A23"/>
    <w:rsid w:val="00595D9C"/>
    <w:rsid w:val="00595FA4"/>
    <w:rsid w:val="0059606E"/>
    <w:rsid w:val="00596163"/>
    <w:rsid w:val="005961A9"/>
    <w:rsid w:val="005962BA"/>
    <w:rsid w:val="005964B3"/>
    <w:rsid w:val="005965DD"/>
    <w:rsid w:val="00596628"/>
    <w:rsid w:val="0059684E"/>
    <w:rsid w:val="00596CF5"/>
    <w:rsid w:val="00596EF5"/>
    <w:rsid w:val="00597159"/>
    <w:rsid w:val="0059732E"/>
    <w:rsid w:val="00597375"/>
    <w:rsid w:val="005974E2"/>
    <w:rsid w:val="0059776D"/>
    <w:rsid w:val="00597868"/>
    <w:rsid w:val="005978CE"/>
    <w:rsid w:val="005978F5"/>
    <w:rsid w:val="00597A1F"/>
    <w:rsid w:val="00597B8B"/>
    <w:rsid w:val="00597D8F"/>
    <w:rsid w:val="00597FFB"/>
    <w:rsid w:val="005A001F"/>
    <w:rsid w:val="005A018E"/>
    <w:rsid w:val="005A02E0"/>
    <w:rsid w:val="005A0334"/>
    <w:rsid w:val="005A03DB"/>
    <w:rsid w:val="005A04DB"/>
    <w:rsid w:val="005A062F"/>
    <w:rsid w:val="005A06E7"/>
    <w:rsid w:val="005A0809"/>
    <w:rsid w:val="005A08E7"/>
    <w:rsid w:val="005A0A7A"/>
    <w:rsid w:val="005A0AA2"/>
    <w:rsid w:val="005A0C0B"/>
    <w:rsid w:val="005A11DA"/>
    <w:rsid w:val="005A12E0"/>
    <w:rsid w:val="005A142B"/>
    <w:rsid w:val="005A16E3"/>
    <w:rsid w:val="005A1709"/>
    <w:rsid w:val="005A1802"/>
    <w:rsid w:val="005A18A0"/>
    <w:rsid w:val="005A18C7"/>
    <w:rsid w:val="005A18D8"/>
    <w:rsid w:val="005A19C0"/>
    <w:rsid w:val="005A1BA2"/>
    <w:rsid w:val="005A1C98"/>
    <w:rsid w:val="005A2027"/>
    <w:rsid w:val="005A21D6"/>
    <w:rsid w:val="005A2276"/>
    <w:rsid w:val="005A22EB"/>
    <w:rsid w:val="005A23E3"/>
    <w:rsid w:val="005A24E2"/>
    <w:rsid w:val="005A26B8"/>
    <w:rsid w:val="005A274B"/>
    <w:rsid w:val="005A27C6"/>
    <w:rsid w:val="005A287D"/>
    <w:rsid w:val="005A2913"/>
    <w:rsid w:val="005A2BF9"/>
    <w:rsid w:val="005A2C17"/>
    <w:rsid w:val="005A2E97"/>
    <w:rsid w:val="005A35A7"/>
    <w:rsid w:val="005A36DE"/>
    <w:rsid w:val="005A37C9"/>
    <w:rsid w:val="005A395E"/>
    <w:rsid w:val="005A3B4F"/>
    <w:rsid w:val="005A3BE4"/>
    <w:rsid w:val="005A3CBC"/>
    <w:rsid w:val="005A3D09"/>
    <w:rsid w:val="005A4041"/>
    <w:rsid w:val="005A40C5"/>
    <w:rsid w:val="005A40C7"/>
    <w:rsid w:val="005A41D5"/>
    <w:rsid w:val="005A422E"/>
    <w:rsid w:val="005A4294"/>
    <w:rsid w:val="005A4445"/>
    <w:rsid w:val="005A45D9"/>
    <w:rsid w:val="005A47CC"/>
    <w:rsid w:val="005A47ED"/>
    <w:rsid w:val="005A4AC5"/>
    <w:rsid w:val="005A4ADA"/>
    <w:rsid w:val="005A4BCF"/>
    <w:rsid w:val="005A4C0C"/>
    <w:rsid w:val="005A4EB8"/>
    <w:rsid w:val="005A500F"/>
    <w:rsid w:val="005A518B"/>
    <w:rsid w:val="005A5210"/>
    <w:rsid w:val="005A56A1"/>
    <w:rsid w:val="005A56EB"/>
    <w:rsid w:val="005A57E4"/>
    <w:rsid w:val="005A5909"/>
    <w:rsid w:val="005A590B"/>
    <w:rsid w:val="005A5A20"/>
    <w:rsid w:val="005A5DD0"/>
    <w:rsid w:val="005A60B3"/>
    <w:rsid w:val="005A615E"/>
    <w:rsid w:val="005A6263"/>
    <w:rsid w:val="005A641F"/>
    <w:rsid w:val="005A64C1"/>
    <w:rsid w:val="005A6613"/>
    <w:rsid w:val="005A696B"/>
    <w:rsid w:val="005A69B9"/>
    <w:rsid w:val="005A69F8"/>
    <w:rsid w:val="005A6A01"/>
    <w:rsid w:val="005A6BDB"/>
    <w:rsid w:val="005A6D3E"/>
    <w:rsid w:val="005A6FEB"/>
    <w:rsid w:val="005A70EF"/>
    <w:rsid w:val="005A721E"/>
    <w:rsid w:val="005A73CF"/>
    <w:rsid w:val="005A74CC"/>
    <w:rsid w:val="005A765D"/>
    <w:rsid w:val="005A790E"/>
    <w:rsid w:val="005A793D"/>
    <w:rsid w:val="005A7BD6"/>
    <w:rsid w:val="005A7C23"/>
    <w:rsid w:val="005A7FD8"/>
    <w:rsid w:val="005B014F"/>
    <w:rsid w:val="005B035D"/>
    <w:rsid w:val="005B081D"/>
    <w:rsid w:val="005B0A81"/>
    <w:rsid w:val="005B0BFF"/>
    <w:rsid w:val="005B0D1E"/>
    <w:rsid w:val="005B0DFA"/>
    <w:rsid w:val="005B0E8B"/>
    <w:rsid w:val="005B0F88"/>
    <w:rsid w:val="005B13B7"/>
    <w:rsid w:val="005B1441"/>
    <w:rsid w:val="005B14C2"/>
    <w:rsid w:val="005B14F1"/>
    <w:rsid w:val="005B1754"/>
    <w:rsid w:val="005B176B"/>
    <w:rsid w:val="005B18DA"/>
    <w:rsid w:val="005B19EE"/>
    <w:rsid w:val="005B1A58"/>
    <w:rsid w:val="005B1BA9"/>
    <w:rsid w:val="005B1DAF"/>
    <w:rsid w:val="005B2035"/>
    <w:rsid w:val="005B2399"/>
    <w:rsid w:val="005B2666"/>
    <w:rsid w:val="005B2A89"/>
    <w:rsid w:val="005B2B31"/>
    <w:rsid w:val="005B2D91"/>
    <w:rsid w:val="005B2DC3"/>
    <w:rsid w:val="005B2DCB"/>
    <w:rsid w:val="005B2EE0"/>
    <w:rsid w:val="005B2F5C"/>
    <w:rsid w:val="005B32CC"/>
    <w:rsid w:val="005B33BE"/>
    <w:rsid w:val="005B33E8"/>
    <w:rsid w:val="005B3406"/>
    <w:rsid w:val="005B34AA"/>
    <w:rsid w:val="005B353D"/>
    <w:rsid w:val="005B3648"/>
    <w:rsid w:val="005B36B2"/>
    <w:rsid w:val="005B36B8"/>
    <w:rsid w:val="005B3982"/>
    <w:rsid w:val="005B3BA4"/>
    <w:rsid w:val="005B3E63"/>
    <w:rsid w:val="005B4110"/>
    <w:rsid w:val="005B412D"/>
    <w:rsid w:val="005B422C"/>
    <w:rsid w:val="005B42B0"/>
    <w:rsid w:val="005B42F5"/>
    <w:rsid w:val="005B4303"/>
    <w:rsid w:val="005B4323"/>
    <w:rsid w:val="005B476D"/>
    <w:rsid w:val="005B4807"/>
    <w:rsid w:val="005B493E"/>
    <w:rsid w:val="005B4960"/>
    <w:rsid w:val="005B4A12"/>
    <w:rsid w:val="005B4AD4"/>
    <w:rsid w:val="005B4AE8"/>
    <w:rsid w:val="005B4B7A"/>
    <w:rsid w:val="005B4C00"/>
    <w:rsid w:val="005B4E28"/>
    <w:rsid w:val="005B4F12"/>
    <w:rsid w:val="005B51C6"/>
    <w:rsid w:val="005B5334"/>
    <w:rsid w:val="005B5339"/>
    <w:rsid w:val="005B53B3"/>
    <w:rsid w:val="005B59F3"/>
    <w:rsid w:val="005B5A54"/>
    <w:rsid w:val="005B5B29"/>
    <w:rsid w:val="005B5B77"/>
    <w:rsid w:val="005B5D27"/>
    <w:rsid w:val="005B5D8F"/>
    <w:rsid w:val="005B608E"/>
    <w:rsid w:val="005B6177"/>
    <w:rsid w:val="005B61C8"/>
    <w:rsid w:val="005B6232"/>
    <w:rsid w:val="005B6268"/>
    <w:rsid w:val="005B64B1"/>
    <w:rsid w:val="005B6672"/>
    <w:rsid w:val="005B66D3"/>
    <w:rsid w:val="005B6BDD"/>
    <w:rsid w:val="005B6D11"/>
    <w:rsid w:val="005B6E62"/>
    <w:rsid w:val="005B708B"/>
    <w:rsid w:val="005B7132"/>
    <w:rsid w:val="005B7166"/>
    <w:rsid w:val="005B719E"/>
    <w:rsid w:val="005B73CF"/>
    <w:rsid w:val="005B74FC"/>
    <w:rsid w:val="005B7535"/>
    <w:rsid w:val="005B75AC"/>
    <w:rsid w:val="005B75C5"/>
    <w:rsid w:val="005B7662"/>
    <w:rsid w:val="005B7686"/>
    <w:rsid w:val="005B7690"/>
    <w:rsid w:val="005B776E"/>
    <w:rsid w:val="005B782A"/>
    <w:rsid w:val="005B7911"/>
    <w:rsid w:val="005B7EE8"/>
    <w:rsid w:val="005B7F23"/>
    <w:rsid w:val="005B7FD9"/>
    <w:rsid w:val="005C0088"/>
    <w:rsid w:val="005C02F9"/>
    <w:rsid w:val="005C05B0"/>
    <w:rsid w:val="005C07E5"/>
    <w:rsid w:val="005C07FB"/>
    <w:rsid w:val="005C0823"/>
    <w:rsid w:val="005C0AFC"/>
    <w:rsid w:val="005C0B50"/>
    <w:rsid w:val="005C0BCE"/>
    <w:rsid w:val="005C0C78"/>
    <w:rsid w:val="005C0D8F"/>
    <w:rsid w:val="005C0D9A"/>
    <w:rsid w:val="005C0F6E"/>
    <w:rsid w:val="005C10DA"/>
    <w:rsid w:val="005C11A7"/>
    <w:rsid w:val="005C1209"/>
    <w:rsid w:val="005C12E9"/>
    <w:rsid w:val="005C1300"/>
    <w:rsid w:val="005C155C"/>
    <w:rsid w:val="005C17CA"/>
    <w:rsid w:val="005C17EF"/>
    <w:rsid w:val="005C1996"/>
    <w:rsid w:val="005C1C2A"/>
    <w:rsid w:val="005C1CEE"/>
    <w:rsid w:val="005C1D0C"/>
    <w:rsid w:val="005C1E63"/>
    <w:rsid w:val="005C1E77"/>
    <w:rsid w:val="005C1F3F"/>
    <w:rsid w:val="005C1FED"/>
    <w:rsid w:val="005C20FB"/>
    <w:rsid w:val="005C220C"/>
    <w:rsid w:val="005C22EC"/>
    <w:rsid w:val="005C24BE"/>
    <w:rsid w:val="005C286C"/>
    <w:rsid w:val="005C28A7"/>
    <w:rsid w:val="005C2A68"/>
    <w:rsid w:val="005C2AF7"/>
    <w:rsid w:val="005C2F98"/>
    <w:rsid w:val="005C3161"/>
    <w:rsid w:val="005C3169"/>
    <w:rsid w:val="005C3194"/>
    <w:rsid w:val="005C3309"/>
    <w:rsid w:val="005C339B"/>
    <w:rsid w:val="005C33ED"/>
    <w:rsid w:val="005C3469"/>
    <w:rsid w:val="005C35E5"/>
    <w:rsid w:val="005C3626"/>
    <w:rsid w:val="005C368C"/>
    <w:rsid w:val="005C37E7"/>
    <w:rsid w:val="005C39B6"/>
    <w:rsid w:val="005C3A15"/>
    <w:rsid w:val="005C3C3C"/>
    <w:rsid w:val="005C3CDE"/>
    <w:rsid w:val="005C3D07"/>
    <w:rsid w:val="005C3E3C"/>
    <w:rsid w:val="005C3EA9"/>
    <w:rsid w:val="005C3EC1"/>
    <w:rsid w:val="005C3EFA"/>
    <w:rsid w:val="005C3FA4"/>
    <w:rsid w:val="005C4016"/>
    <w:rsid w:val="005C418C"/>
    <w:rsid w:val="005C45C8"/>
    <w:rsid w:val="005C45D5"/>
    <w:rsid w:val="005C473F"/>
    <w:rsid w:val="005C484E"/>
    <w:rsid w:val="005C4949"/>
    <w:rsid w:val="005C4A33"/>
    <w:rsid w:val="005C4A91"/>
    <w:rsid w:val="005C4B4F"/>
    <w:rsid w:val="005C4BDF"/>
    <w:rsid w:val="005C4BF1"/>
    <w:rsid w:val="005C4E35"/>
    <w:rsid w:val="005C4F21"/>
    <w:rsid w:val="005C5042"/>
    <w:rsid w:val="005C50EA"/>
    <w:rsid w:val="005C52C4"/>
    <w:rsid w:val="005C52C6"/>
    <w:rsid w:val="005C54B5"/>
    <w:rsid w:val="005C55DF"/>
    <w:rsid w:val="005C5738"/>
    <w:rsid w:val="005C577C"/>
    <w:rsid w:val="005C5804"/>
    <w:rsid w:val="005C5826"/>
    <w:rsid w:val="005C5994"/>
    <w:rsid w:val="005C5D7B"/>
    <w:rsid w:val="005C5F1D"/>
    <w:rsid w:val="005C5F47"/>
    <w:rsid w:val="005C60B4"/>
    <w:rsid w:val="005C60F7"/>
    <w:rsid w:val="005C62F6"/>
    <w:rsid w:val="005C642F"/>
    <w:rsid w:val="005C6534"/>
    <w:rsid w:val="005C6643"/>
    <w:rsid w:val="005C66C2"/>
    <w:rsid w:val="005C6924"/>
    <w:rsid w:val="005C69D6"/>
    <w:rsid w:val="005C6A00"/>
    <w:rsid w:val="005C6A2B"/>
    <w:rsid w:val="005C6ACF"/>
    <w:rsid w:val="005C6D2A"/>
    <w:rsid w:val="005C6EE0"/>
    <w:rsid w:val="005C7239"/>
    <w:rsid w:val="005C7351"/>
    <w:rsid w:val="005C737E"/>
    <w:rsid w:val="005C73A7"/>
    <w:rsid w:val="005C741A"/>
    <w:rsid w:val="005C74D4"/>
    <w:rsid w:val="005C753B"/>
    <w:rsid w:val="005C761D"/>
    <w:rsid w:val="005C7846"/>
    <w:rsid w:val="005C79BE"/>
    <w:rsid w:val="005C79CB"/>
    <w:rsid w:val="005C7BDB"/>
    <w:rsid w:val="005C7F74"/>
    <w:rsid w:val="005D00C9"/>
    <w:rsid w:val="005D0368"/>
    <w:rsid w:val="005D0408"/>
    <w:rsid w:val="005D0529"/>
    <w:rsid w:val="005D05EC"/>
    <w:rsid w:val="005D06F5"/>
    <w:rsid w:val="005D0759"/>
    <w:rsid w:val="005D082B"/>
    <w:rsid w:val="005D0942"/>
    <w:rsid w:val="005D0AF7"/>
    <w:rsid w:val="005D0D4A"/>
    <w:rsid w:val="005D0E0D"/>
    <w:rsid w:val="005D0E7E"/>
    <w:rsid w:val="005D0ED5"/>
    <w:rsid w:val="005D1019"/>
    <w:rsid w:val="005D1091"/>
    <w:rsid w:val="005D110E"/>
    <w:rsid w:val="005D1411"/>
    <w:rsid w:val="005D171D"/>
    <w:rsid w:val="005D186F"/>
    <w:rsid w:val="005D18C0"/>
    <w:rsid w:val="005D1999"/>
    <w:rsid w:val="005D1B43"/>
    <w:rsid w:val="005D1C01"/>
    <w:rsid w:val="005D1CBE"/>
    <w:rsid w:val="005D1E0E"/>
    <w:rsid w:val="005D1EA7"/>
    <w:rsid w:val="005D1F1A"/>
    <w:rsid w:val="005D1F3F"/>
    <w:rsid w:val="005D1FA0"/>
    <w:rsid w:val="005D206F"/>
    <w:rsid w:val="005D2293"/>
    <w:rsid w:val="005D230D"/>
    <w:rsid w:val="005D2579"/>
    <w:rsid w:val="005D2713"/>
    <w:rsid w:val="005D2726"/>
    <w:rsid w:val="005D27F5"/>
    <w:rsid w:val="005D2831"/>
    <w:rsid w:val="005D286A"/>
    <w:rsid w:val="005D2BCF"/>
    <w:rsid w:val="005D2D00"/>
    <w:rsid w:val="005D2D1F"/>
    <w:rsid w:val="005D2DF9"/>
    <w:rsid w:val="005D2E49"/>
    <w:rsid w:val="005D2E8A"/>
    <w:rsid w:val="005D2F2B"/>
    <w:rsid w:val="005D2F72"/>
    <w:rsid w:val="005D30AF"/>
    <w:rsid w:val="005D33AC"/>
    <w:rsid w:val="005D33BB"/>
    <w:rsid w:val="005D34E3"/>
    <w:rsid w:val="005D34FA"/>
    <w:rsid w:val="005D373E"/>
    <w:rsid w:val="005D390B"/>
    <w:rsid w:val="005D3A81"/>
    <w:rsid w:val="005D3E74"/>
    <w:rsid w:val="005D3FE6"/>
    <w:rsid w:val="005D402E"/>
    <w:rsid w:val="005D4097"/>
    <w:rsid w:val="005D442C"/>
    <w:rsid w:val="005D474A"/>
    <w:rsid w:val="005D488A"/>
    <w:rsid w:val="005D4B97"/>
    <w:rsid w:val="005D4BCD"/>
    <w:rsid w:val="005D4C72"/>
    <w:rsid w:val="005D4C7B"/>
    <w:rsid w:val="005D4D2A"/>
    <w:rsid w:val="005D4DC8"/>
    <w:rsid w:val="005D4EC0"/>
    <w:rsid w:val="005D5071"/>
    <w:rsid w:val="005D50AA"/>
    <w:rsid w:val="005D50D8"/>
    <w:rsid w:val="005D51B7"/>
    <w:rsid w:val="005D51C5"/>
    <w:rsid w:val="005D5247"/>
    <w:rsid w:val="005D5281"/>
    <w:rsid w:val="005D52BB"/>
    <w:rsid w:val="005D52D4"/>
    <w:rsid w:val="005D52D6"/>
    <w:rsid w:val="005D52EA"/>
    <w:rsid w:val="005D5591"/>
    <w:rsid w:val="005D5754"/>
    <w:rsid w:val="005D581C"/>
    <w:rsid w:val="005D5831"/>
    <w:rsid w:val="005D59FE"/>
    <w:rsid w:val="005D5AA8"/>
    <w:rsid w:val="005D5AD0"/>
    <w:rsid w:val="005D5C3C"/>
    <w:rsid w:val="005D5CE7"/>
    <w:rsid w:val="005D5EC0"/>
    <w:rsid w:val="005D5F29"/>
    <w:rsid w:val="005D608B"/>
    <w:rsid w:val="005D6224"/>
    <w:rsid w:val="005D62DA"/>
    <w:rsid w:val="005D6695"/>
    <w:rsid w:val="005D6701"/>
    <w:rsid w:val="005D692D"/>
    <w:rsid w:val="005D6AEC"/>
    <w:rsid w:val="005D6B35"/>
    <w:rsid w:val="005D6B86"/>
    <w:rsid w:val="005D6DD2"/>
    <w:rsid w:val="005D6E20"/>
    <w:rsid w:val="005D6E9A"/>
    <w:rsid w:val="005D6F67"/>
    <w:rsid w:val="005D6F75"/>
    <w:rsid w:val="005D6FDB"/>
    <w:rsid w:val="005D71AC"/>
    <w:rsid w:val="005D728C"/>
    <w:rsid w:val="005D73C7"/>
    <w:rsid w:val="005D75FE"/>
    <w:rsid w:val="005D7880"/>
    <w:rsid w:val="005D7932"/>
    <w:rsid w:val="005D79E5"/>
    <w:rsid w:val="005D7A2D"/>
    <w:rsid w:val="005D7B1B"/>
    <w:rsid w:val="005D7B28"/>
    <w:rsid w:val="005D7C9E"/>
    <w:rsid w:val="005D7DA4"/>
    <w:rsid w:val="005D7DD1"/>
    <w:rsid w:val="005D7F19"/>
    <w:rsid w:val="005E0097"/>
    <w:rsid w:val="005E0178"/>
    <w:rsid w:val="005E03F5"/>
    <w:rsid w:val="005E0475"/>
    <w:rsid w:val="005E0479"/>
    <w:rsid w:val="005E0489"/>
    <w:rsid w:val="005E04E1"/>
    <w:rsid w:val="005E0507"/>
    <w:rsid w:val="005E0559"/>
    <w:rsid w:val="005E0593"/>
    <w:rsid w:val="005E0618"/>
    <w:rsid w:val="005E0684"/>
    <w:rsid w:val="005E07C1"/>
    <w:rsid w:val="005E08F5"/>
    <w:rsid w:val="005E0AEC"/>
    <w:rsid w:val="005E0D41"/>
    <w:rsid w:val="005E0DF4"/>
    <w:rsid w:val="005E0E43"/>
    <w:rsid w:val="005E0FF4"/>
    <w:rsid w:val="005E114B"/>
    <w:rsid w:val="005E124C"/>
    <w:rsid w:val="005E14CD"/>
    <w:rsid w:val="005E17DF"/>
    <w:rsid w:val="005E1A92"/>
    <w:rsid w:val="005E1AB9"/>
    <w:rsid w:val="005E1BFF"/>
    <w:rsid w:val="005E1C11"/>
    <w:rsid w:val="005E1C62"/>
    <w:rsid w:val="005E1DB6"/>
    <w:rsid w:val="005E2236"/>
    <w:rsid w:val="005E2488"/>
    <w:rsid w:val="005E24EA"/>
    <w:rsid w:val="005E2669"/>
    <w:rsid w:val="005E26AF"/>
    <w:rsid w:val="005E2766"/>
    <w:rsid w:val="005E27C6"/>
    <w:rsid w:val="005E2B80"/>
    <w:rsid w:val="005E2C04"/>
    <w:rsid w:val="005E2D87"/>
    <w:rsid w:val="005E2DA3"/>
    <w:rsid w:val="005E32EA"/>
    <w:rsid w:val="005E34BC"/>
    <w:rsid w:val="005E39B5"/>
    <w:rsid w:val="005E3A61"/>
    <w:rsid w:val="005E3B60"/>
    <w:rsid w:val="005E3BB8"/>
    <w:rsid w:val="005E3DD4"/>
    <w:rsid w:val="005E3F02"/>
    <w:rsid w:val="005E3F4C"/>
    <w:rsid w:val="005E3FE2"/>
    <w:rsid w:val="005E4122"/>
    <w:rsid w:val="005E43DE"/>
    <w:rsid w:val="005E44EB"/>
    <w:rsid w:val="005E4574"/>
    <w:rsid w:val="005E463D"/>
    <w:rsid w:val="005E478D"/>
    <w:rsid w:val="005E4873"/>
    <w:rsid w:val="005E4BD3"/>
    <w:rsid w:val="005E4D67"/>
    <w:rsid w:val="005E4DD6"/>
    <w:rsid w:val="005E4DFA"/>
    <w:rsid w:val="005E4E0E"/>
    <w:rsid w:val="005E4E65"/>
    <w:rsid w:val="005E4EE4"/>
    <w:rsid w:val="005E50A6"/>
    <w:rsid w:val="005E5239"/>
    <w:rsid w:val="005E5265"/>
    <w:rsid w:val="005E5271"/>
    <w:rsid w:val="005E52B6"/>
    <w:rsid w:val="005E52EB"/>
    <w:rsid w:val="005E53C6"/>
    <w:rsid w:val="005E56F6"/>
    <w:rsid w:val="005E57BB"/>
    <w:rsid w:val="005E57C9"/>
    <w:rsid w:val="005E58A7"/>
    <w:rsid w:val="005E5977"/>
    <w:rsid w:val="005E5BBF"/>
    <w:rsid w:val="005E5BE8"/>
    <w:rsid w:val="005E5C13"/>
    <w:rsid w:val="005E5D06"/>
    <w:rsid w:val="005E5DA5"/>
    <w:rsid w:val="005E5EA2"/>
    <w:rsid w:val="005E63A1"/>
    <w:rsid w:val="005E649F"/>
    <w:rsid w:val="005E6688"/>
    <w:rsid w:val="005E676C"/>
    <w:rsid w:val="005E67F0"/>
    <w:rsid w:val="005E6818"/>
    <w:rsid w:val="005E687B"/>
    <w:rsid w:val="005E68B7"/>
    <w:rsid w:val="005E6F63"/>
    <w:rsid w:val="005E703B"/>
    <w:rsid w:val="005E70A2"/>
    <w:rsid w:val="005E70BF"/>
    <w:rsid w:val="005E70CE"/>
    <w:rsid w:val="005E744C"/>
    <w:rsid w:val="005E74CF"/>
    <w:rsid w:val="005E7646"/>
    <w:rsid w:val="005E76CE"/>
    <w:rsid w:val="005E782A"/>
    <w:rsid w:val="005E7953"/>
    <w:rsid w:val="005E79F5"/>
    <w:rsid w:val="005E79FA"/>
    <w:rsid w:val="005E7A6E"/>
    <w:rsid w:val="005E7B28"/>
    <w:rsid w:val="005E7C8A"/>
    <w:rsid w:val="005E7CEC"/>
    <w:rsid w:val="005F00EE"/>
    <w:rsid w:val="005F01EF"/>
    <w:rsid w:val="005F055F"/>
    <w:rsid w:val="005F0970"/>
    <w:rsid w:val="005F0A57"/>
    <w:rsid w:val="005F0C13"/>
    <w:rsid w:val="005F0C2A"/>
    <w:rsid w:val="005F0D2D"/>
    <w:rsid w:val="005F0E3E"/>
    <w:rsid w:val="005F0E84"/>
    <w:rsid w:val="005F107D"/>
    <w:rsid w:val="005F118B"/>
    <w:rsid w:val="005F11A6"/>
    <w:rsid w:val="005F1239"/>
    <w:rsid w:val="005F125D"/>
    <w:rsid w:val="005F1371"/>
    <w:rsid w:val="005F13DF"/>
    <w:rsid w:val="005F145F"/>
    <w:rsid w:val="005F158A"/>
    <w:rsid w:val="005F1961"/>
    <w:rsid w:val="005F1A26"/>
    <w:rsid w:val="005F1B13"/>
    <w:rsid w:val="005F1B95"/>
    <w:rsid w:val="005F1C61"/>
    <w:rsid w:val="005F1C88"/>
    <w:rsid w:val="005F1E35"/>
    <w:rsid w:val="005F1FD6"/>
    <w:rsid w:val="005F20E9"/>
    <w:rsid w:val="005F21EA"/>
    <w:rsid w:val="005F23AA"/>
    <w:rsid w:val="005F252C"/>
    <w:rsid w:val="005F258C"/>
    <w:rsid w:val="005F25E8"/>
    <w:rsid w:val="005F2665"/>
    <w:rsid w:val="005F2FDD"/>
    <w:rsid w:val="005F3002"/>
    <w:rsid w:val="005F3054"/>
    <w:rsid w:val="005F3111"/>
    <w:rsid w:val="005F319C"/>
    <w:rsid w:val="005F32ED"/>
    <w:rsid w:val="005F34A0"/>
    <w:rsid w:val="005F363E"/>
    <w:rsid w:val="005F36F1"/>
    <w:rsid w:val="005F379E"/>
    <w:rsid w:val="005F38E3"/>
    <w:rsid w:val="005F39CA"/>
    <w:rsid w:val="005F3A94"/>
    <w:rsid w:val="005F3CC8"/>
    <w:rsid w:val="005F3CF8"/>
    <w:rsid w:val="005F3F59"/>
    <w:rsid w:val="005F42B9"/>
    <w:rsid w:val="005F4396"/>
    <w:rsid w:val="005F441B"/>
    <w:rsid w:val="005F4567"/>
    <w:rsid w:val="005F45E2"/>
    <w:rsid w:val="005F46AA"/>
    <w:rsid w:val="005F4709"/>
    <w:rsid w:val="005F47BE"/>
    <w:rsid w:val="005F4870"/>
    <w:rsid w:val="005F4962"/>
    <w:rsid w:val="005F4B86"/>
    <w:rsid w:val="005F4C3D"/>
    <w:rsid w:val="005F4C9C"/>
    <w:rsid w:val="005F4D7A"/>
    <w:rsid w:val="005F4E28"/>
    <w:rsid w:val="005F4E39"/>
    <w:rsid w:val="005F4E92"/>
    <w:rsid w:val="005F4F31"/>
    <w:rsid w:val="005F4F65"/>
    <w:rsid w:val="005F5052"/>
    <w:rsid w:val="005F510D"/>
    <w:rsid w:val="005F51D2"/>
    <w:rsid w:val="005F521A"/>
    <w:rsid w:val="005F541A"/>
    <w:rsid w:val="005F57DC"/>
    <w:rsid w:val="005F5928"/>
    <w:rsid w:val="005F59D1"/>
    <w:rsid w:val="005F5BAE"/>
    <w:rsid w:val="005F5D70"/>
    <w:rsid w:val="005F5DD6"/>
    <w:rsid w:val="005F5F5F"/>
    <w:rsid w:val="005F6053"/>
    <w:rsid w:val="005F6091"/>
    <w:rsid w:val="005F62C0"/>
    <w:rsid w:val="005F6385"/>
    <w:rsid w:val="005F6477"/>
    <w:rsid w:val="005F6569"/>
    <w:rsid w:val="005F65B5"/>
    <w:rsid w:val="005F6679"/>
    <w:rsid w:val="005F66B6"/>
    <w:rsid w:val="005F6808"/>
    <w:rsid w:val="005F6934"/>
    <w:rsid w:val="005F6CE2"/>
    <w:rsid w:val="005F6CF6"/>
    <w:rsid w:val="005F6D18"/>
    <w:rsid w:val="005F6F7A"/>
    <w:rsid w:val="005F72BD"/>
    <w:rsid w:val="005F74CB"/>
    <w:rsid w:val="005F7585"/>
    <w:rsid w:val="005F7940"/>
    <w:rsid w:val="005F79CB"/>
    <w:rsid w:val="005F79FB"/>
    <w:rsid w:val="005F7A18"/>
    <w:rsid w:val="005F7BDA"/>
    <w:rsid w:val="005F7CBA"/>
    <w:rsid w:val="005F7CE3"/>
    <w:rsid w:val="005F7D83"/>
    <w:rsid w:val="005F7EA8"/>
    <w:rsid w:val="006000DA"/>
    <w:rsid w:val="006002D6"/>
    <w:rsid w:val="00600315"/>
    <w:rsid w:val="006003B7"/>
    <w:rsid w:val="006003EF"/>
    <w:rsid w:val="00600508"/>
    <w:rsid w:val="0060053D"/>
    <w:rsid w:val="006007C3"/>
    <w:rsid w:val="00600ACB"/>
    <w:rsid w:val="00600C20"/>
    <w:rsid w:val="00600DD6"/>
    <w:rsid w:val="00601020"/>
    <w:rsid w:val="0060117C"/>
    <w:rsid w:val="00601181"/>
    <w:rsid w:val="00601231"/>
    <w:rsid w:val="00601350"/>
    <w:rsid w:val="0060136E"/>
    <w:rsid w:val="00601468"/>
    <w:rsid w:val="006014C4"/>
    <w:rsid w:val="006019DC"/>
    <w:rsid w:val="00601B6F"/>
    <w:rsid w:val="00601D26"/>
    <w:rsid w:val="00601F3C"/>
    <w:rsid w:val="00601FCF"/>
    <w:rsid w:val="00601FF9"/>
    <w:rsid w:val="006021BB"/>
    <w:rsid w:val="006024E7"/>
    <w:rsid w:val="00602505"/>
    <w:rsid w:val="00602568"/>
    <w:rsid w:val="00602A7A"/>
    <w:rsid w:val="00602B0D"/>
    <w:rsid w:val="00602BB0"/>
    <w:rsid w:val="00602CF1"/>
    <w:rsid w:val="00602D31"/>
    <w:rsid w:val="00602E7E"/>
    <w:rsid w:val="00602FCF"/>
    <w:rsid w:val="006034EE"/>
    <w:rsid w:val="006036FA"/>
    <w:rsid w:val="0060374C"/>
    <w:rsid w:val="00603774"/>
    <w:rsid w:val="00603AB4"/>
    <w:rsid w:val="00603AD4"/>
    <w:rsid w:val="00603D87"/>
    <w:rsid w:val="00603E3D"/>
    <w:rsid w:val="00603F9E"/>
    <w:rsid w:val="00604088"/>
    <w:rsid w:val="006042EE"/>
    <w:rsid w:val="0060436F"/>
    <w:rsid w:val="006045C0"/>
    <w:rsid w:val="00604706"/>
    <w:rsid w:val="0060482B"/>
    <w:rsid w:val="00604894"/>
    <w:rsid w:val="00604B44"/>
    <w:rsid w:val="00604BB9"/>
    <w:rsid w:val="00604FFC"/>
    <w:rsid w:val="006052A8"/>
    <w:rsid w:val="006052E3"/>
    <w:rsid w:val="006052E9"/>
    <w:rsid w:val="00605445"/>
    <w:rsid w:val="0060547D"/>
    <w:rsid w:val="00605511"/>
    <w:rsid w:val="006058CD"/>
    <w:rsid w:val="00605B12"/>
    <w:rsid w:val="00605D1A"/>
    <w:rsid w:val="0060607E"/>
    <w:rsid w:val="006060EB"/>
    <w:rsid w:val="00606118"/>
    <w:rsid w:val="00606281"/>
    <w:rsid w:val="0060633F"/>
    <w:rsid w:val="0060672B"/>
    <w:rsid w:val="00606802"/>
    <w:rsid w:val="0060695D"/>
    <w:rsid w:val="00606A30"/>
    <w:rsid w:val="00606B57"/>
    <w:rsid w:val="00606C38"/>
    <w:rsid w:val="00606C47"/>
    <w:rsid w:val="00606D10"/>
    <w:rsid w:val="00607290"/>
    <w:rsid w:val="0060729D"/>
    <w:rsid w:val="00607360"/>
    <w:rsid w:val="006073AD"/>
    <w:rsid w:val="00607498"/>
    <w:rsid w:val="0060749A"/>
    <w:rsid w:val="0060769A"/>
    <w:rsid w:val="00607B4A"/>
    <w:rsid w:val="00607DC9"/>
    <w:rsid w:val="00607E1A"/>
    <w:rsid w:val="006100B5"/>
    <w:rsid w:val="0061050A"/>
    <w:rsid w:val="00610579"/>
    <w:rsid w:val="00610586"/>
    <w:rsid w:val="00610627"/>
    <w:rsid w:val="00610A55"/>
    <w:rsid w:val="00610C67"/>
    <w:rsid w:val="00610D89"/>
    <w:rsid w:val="00610E2A"/>
    <w:rsid w:val="00611092"/>
    <w:rsid w:val="006110A8"/>
    <w:rsid w:val="006112DD"/>
    <w:rsid w:val="00611374"/>
    <w:rsid w:val="0061142D"/>
    <w:rsid w:val="006116FF"/>
    <w:rsid w:val="006119BF"/>
    <w:rsid w:val="00611B4C"/>
    <w:rsid w:val="00611C43"/>
    <w:rsid w:val="00611EB2"/>
    <w:rsid w:val="00611EF0"/>
    <w:rsid w:val="00611F48"/>
    <w:rsid w:val="00612165"/>
    <w:rsid w:val="006121C2"/>
    <w:rsid w:val="006123B4"/>
    <w:rsid w:val="006124BC"/>
    <w:rsid w:val="0061287F"/>
    <w:rsid w:val="006128BD"/>
    <w:rsid w:val="006128C3"/>
    <w:rsid w:val="00612AC4"/>
    <w:rsid w:val="00612CFB"/>
    <w:rsid w:val="00612D58"/>
    <w:rsid w:val="00612D59"/>
    <w:rsid w:val="00612F2C"/>
    <w:rsid w:val="00612FBA"/>
    <w:rsid w:val="00613015"/>
    <w:rsid w:val="0061302D"/>
    <w:rsid w:val="0061317E"/>
    <w:rsid w:val="00613307"/>
    <w:rsid w:val="006135E9"/>
    <w:rsid w:val="0061390D"/>
    <w:rsid w:val="00613D47"/>
    <w:rsid w:val="006141C0"/>
    <w:rsid w:val="006142BE"/>
    <w:rsid w:val="00614321"/>
    <w:rsid w:val="006143D1"/>
    <w:rsid w:val="006146A9"/>
    <w:rsid w:val="00614746"/>
    <w:rsid w:val="006149B0"/>
    <w:rsid w:val="00614A3D"/>
    <w:rsid w:val="00614B05"/>
    <w:rsid w:val="00614B30"/>
    <w:rsid w:val="00614C38"/>
    <w:rsid w:val="00614E6C"/>
    <w:rsid w:val="00614FAA"/>
    <w:rsid w:val="00614FE6"/>
    <w:rsid w:val="0061505A"/>
    <w:rsid w:val="006151A2"/>
    <w:rsid w:val="006151AE"/>
    <w:rsid w:val="00615204"/>
    <w:rsid w:val="00615300"/>
    <w:rsid w:val="006154B4"/>
    <w:rsid w:val="0061555A"/>
    <w:rsid w:val="006157C0"/>
    <w:rsid w:val="0061597F"/>
    <w:rsid w:val="00615CE8"/>
    <w:rsid w:val="00615D29"/>
    <w:rsid w:val="00615DEB"/>
    <w:rsid w:val="00615FD1"/>
    <w:rsid w:val="00615FF6"/>
    <w:rsid w:val="006161E6"/>
    <w:rsid w:val="006162E3"/>
    <w:rsid w:val="00616688"/>
    <w:rsid w:val="006166C0"/>
    <w:rsid w:val="00616723"/>
    <w:rsid w:val="0061675B"/>
    <w:rsid w:val="00616847"/>
    <w:rsid w:val="00616981"/>
    <w:rsid w:val="006169EB"/>
    <w:rsid w:val="00616A11"/>
    <w:rsid w:val="00616BB1"/>
    <w:rsid w:val="00616C94"/>
    <w:rsid w:val="00616D93"/>
    <w:rsid w:val="00616FC3"/>
    <w:rsid w:val="006171C3"/>
    <w:rsid w:val="00617317"/>
    <w:rsid w:val="00617329"/>
    <w:rsid w:val="00617438"/>
    <w:rsid w:val="006175FF"/>
    <w:rsid w:val="006176D1"/>
    <w:rsid w:val="006176F2"/>
    <w:rsid w:val="006177EC"/>
    <w:rsid w:val="00617849"/>
    <w:rsid w:val="006178EA"/>
    <w:rsid w:val="00617A52"/>
    <w:rsid w:val="00617D9B"/>
    <w:rsid w:val="00617DB2"/>
    <w:rsid w:val="00617DC9"/>
    <w:rsid w:val="006201DC"/>
    <w:rsid w:val="0062030B"/>
    <w:rsid w:val="006203FB"/>
    <w:rsid w:val="00620470"/>
    <w:rsid w:val="006204CE"/>
    <w:rsid w:val="006206B5"/>
    <w:rsid w:val="00620739"/>
    <w:rsid w:val="006209F6"/>
    <w:rsid w:val="00620AF9"/>
    <w:rsid w:val="00620DD9"/>
    <w:rsid w:val="00620DE0"/>
    <w:rsid w:val="00620E3B"/>
    <w:rsid w:val="00620FAB"/>
    <w:rsid w:val="00621008"/>
    <w:rsid w:val="00621021"/>
    <w:rsid w:val="0062113A"/>
    <w:rsid w:val="006212B3"/>
    <w:rsid w:val="006214AD"/>
    <w:rsid w:val="00621AEC"/>
    <w:rsid w:val="00621C69"/>
    <w:rsid w:val="00621C6E"/>
    <w:rsid w:val="00621EFA"/>
    <w:rsid w:val="006220B8"/>
    <w:rsid w:val="00622396"/>
    <w:rsid w:val="0062290A"/>
    <w:rsid w:val="006229A4"/>
    <w:rsid w:val="006229CA"/>
    <w:rsid w:val="00622A13"/>
    <w:rsid w:val="00622A68"/>
    <w:rsid w:val="00622B67"/>
    <w:rsid w:val="00622B81"/>
    <w:rsid w:val="00622B9D"/>
    <w:rsid w:val="00622BEE"/>
    <w:rsid w:val="00622C7B"/>
    <w:rsid w:val="00622D78"/>
    <w:rsid w:val="00622E1E"/>
    <w:rsid w:val="00622E48"/>
    <w:rsid w:val="006230FE"/>
    <w:rsid w:val="00623199"/>
    <w:rsid w:val="00623251"/>
    <w:rsid w:val="006235D6"/>
    <w:rsid w:val="00623797"/>
    <w:rsid w:val="006237A1"/>
    <w:rsid w:val="00623853"/>
    <w:rsid w:val="006238D2"/>
    <w:rsid w:val="006239A6"/>
    <w:rsid w:val="006239CF"/>
    <w:rsid w:val="00623CDB"/>
    <w:rsid w:val="00623DFF"/>
    <w:rsid w:val="00623E19"/>
    <w:rsid w:val="00623FA0"/>
    <w:rsid w:val="006240A1"/>
    <w:rsid w:val="0062429D"/>
    <w:rsid w:val="006244A6"/>
    <w:rsid w:val="006248A1"/>
    <w:rsid w:val="006249E6"/>
    <w:rsid w:val="00624AA4"/>
    <w:rsid w:val="00624B88"/>
    <w:rsid w:val="00624DC6"/>
    <w:rsid w:val="0062537A"/>
    <w:rsid w:val="006254FD"/>
    <w:rsid w:val="00625592"/>
    <w:rsid w:val="00625629"/>
    <w:rsid w:val="00625652"/>
    <w:rsid w:val="0062568F"/>
    <w:rsid w:val="006256E1"/>
    <w:rsid w:val="00625EC1"/>
    <w:rsid w:val="0062619E"/>
    <w:rsid w:val="006261D5"/>
    <w:rsid w:val="006263DD"/>
    <w:rsid w:val="00626723"/>
    <w:rsid w:val="00626875"/>
    <w:rsid w:val="006268A6"/>
    <w:rsid w:val="006269A7"/>
    <w:rsid w:val="00626CDC"/>
    <w:rsid w:val="00626D0F"/>
    <w:rsid w:val="00626DF1"/>
    <w:rsid w:val="00626FE4"/>
    <w:rsid w:val="0062725B"/>
    <w:rsid w:val="00627361"/>
    <w:rsid w:val="006274DD"/>
    <w:rsid w:val="006274F0"/>
    <w:rsid w:val="0062776A"/>
    <w:rsid w:val="0062779B"/>
    <w:rsid w:val="006277A4"/>
    <w:rsid w:val="00627ACC"/>
    <w:rsid w:val="00627CDC"/>
    <w:rsid w:val="00627CE9"/>
    <w:rsid w:val="00630553"/>
    <w:rsid w:val="006308C4"/>
    <w:rsid w:val="00630B29"/>
    <w:rsid w:val="00630C2B"/>
    <w:rsid w:val="00630EC6"/>
    <w:rsid w:val="00630ED4"/>
    <w:rsid w:val="00630F6E"/>
    <w:rsid w:val="00630F97"/>
    <w:rsid w:val="00631075"/>
    <w:rsid w:val="00631123"/>
    <w:rsid w:val="006312A9"/>
    <w:rsid w:val="006312CA"/>
    <w:rsid w:val="006312E2"/>
    <w:rsid w:val="0063140B"/>
    <w:rsid w:val="00631640"/>
    <w:rsid w:val="006316EC"/>
    <w:rsid w:val="006316F1"/>
    <w:rsid w:val="0063176F"/>
    <w:rsid w:val="00631AC0"/>
    <w:rsid w:val="00631AF2"/>
    <w:rsid w:val="00631D77"/>
    <w:rsid w:val="00631E54"/>
    <w:rsid w:val="00631F81"/>
    <w:rsid w:val="0063204B"/>
    <w:rsid w:val="006320AA"/>
    <w:rsid w:val="006320C5"/>
    <w:rsid w:val="0063230E"/>
    <w:rsid w:val="00632562"/>
    <w:rsid w:val="00632593"/>
    <w:rsid w:val="006326A8"/>
    <w:rsid w:val="006327E7"/>
    <w:rsid w:val="00632809"/>
    <w:rsid w:val="006329D0"/>
    <w:rsid w:val="00632B4C"/>
    <w:rsid w:val="00632B65"/>
    <w:rsid w:val="00632C5B"/>
    <w:rsid w:val="00632F3E"/>
    <w:rsid w:val="00632FB4"/>
    <w:rsid w:val="00633004"/>
    <w:rsid w:val="0063311B"/>
    <w:rsid w:val="006332DE"/>
    <w:rsid w:val="00633417"/>
    <w:rsid w:val="006334AD"/>
    <w:rsid w:val="0063358A"/>
    <w:rsid w:val="006336E8"/>
    <w:rsid w:val="00633941"/>
    <w:rsid w:val="00633B82"/>
    <w:rsid w:val="00633BF2"/>
    <w:rsid w:val="00633D2E"/>
    <w:rsid w:val="00633F71"/>
    <w:rsid w:val="00634190"/>
    <w:rsid w:val="006342AE"/>
    <w:rsid w:val="006344B9"/>
    <w:rsid w:val="0063469A"/>
    <w:rsid w:val="006346A1"/>
    <w:rsid w:val="006346D4"/>
    <w:rsid w:val="00634734"/>
    <w:rsid w:val="0063474F"/>
    <w:rsid w:val="0063476E"/>
    <w:rsid w:val="00634787"/>
    <w:rsid w:val="006347D3"/>
    <w:rsid w:val="006348DA"/>
    <w:rsid w:val="00634988"/>
    <w:rsid w:val="006349AD"/>
    <w:rsid w:val="00634C38"/>
    <w:rsid w:val="00634C3C"/>
    <w:rsid w:val="00634D7D"/>
    <w:rsid w:val="0063511E"/>
    <w:rsid w:val="00635131"/>
    <w:rsid w:val="00635550"/>
    <w:rsid w:val="00635579"/>
    <w:rsid w:val="00635732"/>
    <w:rsid w:val="0063577B"/>
    <w:rsid w:val="00635C25"/>
    <w:rsid w:val="00635DA0"/>
    <w:rsid w:val="00636070"/>
    <w:rsid w:val="0063609B"/>
    <w:rsid w:val="006360A9"/>
    <w:rsid w:val="006360BE"/>
    <w:rsid w:val="00636208"/>
    <w:rsid w:val="006362EB"/>
    <w:rsid w:val="006364F5"/>
    <w:rsid w:val="0063698E"/>
    <w:rsid w:val="00636A10"/>
    <w:rsid w:val="00636B0E"/>
    <w:rsid w:val="00636BB9"/>
    <w:rsid w:val="00636D5F"/>
    <w:rsid w:val="00636E78"/>
    <w:rsid w:val="00637016"/>
    <w:rsid w:val="00637030"/>
    <w:rsid w:val="0063739C"/>
    <w:rsid w:val="00637403"/>
    <w:rsid w:val="006374E9"/>
    <w:rsid w:val="0063770E"/>
    <w:rsid w:val="00637A1E"/>
    <w:rsid w:val="00637C8C"/>
    <w:rsid w:val="00637D20"/>
    <w:rsid w:val="00637DA9"/>
    <w:rsid w:val="00637E1F"/>
    <w:rsid w:val="00637F10"/>
    <w:rsid w:val="00637FA4"/>
    <w:rsid w:val="006400BD"/>
    <w:rsid w:val="006401A2"/>
    <w:rsid w:val="006401B4"/>
    <w:rsid w:val="0064042B"/>
    <w:rsid w:val="0064047A"/>
    <w:rsid w:val="00640507"/>
    <w:rsid w:val="00640566"/>
    <w:rsid w:val="006405E1"/>
    <w:rsid w:val="00640696"/>
    <w:rsid w:val="00640797"/>
    <w:rsid w:val="006407F2"/>
    <w:rsid w:val="00640889"/>
    <w:rsid w:val="00640AC0"/>
    <w:rsid w:val="00640BED"/>
    <w:rsid w:val="00640D15"/>
    <w:rsid w:val="00640D3F"/>
    <w:rsid w:val="00640E8E"/>
    <w:rsid w:val="00640FB6"/>
    <w:rsid w:val="00641040"/>
    <w:rsid w:val="00641066"/>
    <w:rsid w:val="00641257"/>
    <w:rsid w:val="0064131D"/>
    <w:rsid w:val="00641469"/>
    <w:rsid w:val="00641530"/>
    <w:rsid w:val="00641716"/>
    <w:rsid w:val="0064173A"/>
    <w:rsid w:val="006417C0"/>
    <w:rsid w:val="00641949"/>
    <w:rsid w:val="0064195A"/>
    <w:rsid w:val="006419D6"/>
    <w:rsid w:val="00641B2C"/>
    <w:rsid w:val="00641CE3"/>
    <w:rsid w:val="00641D56"/>
    <w:rsid w:val="00641DA5"/>
    <w:rsid w:val="00641DC4"/>
    <w:rsid w:val="0064205C"/>
    <w:rsid w:val="0064219B"/>
    <w:rsid w:val="006423B2"/>
    <w:rsid w:val="006424D8"/>
    <w:rsid w:val="00642684"/>
    <w:rsid w:val="006426A2"/>
    <w:rsid w:val="0064270D"/>
    <w:rsid w:val="0064273F"/>
    <w:rsid w:val="0064280E"/>
    <w:rsid w:val="00642A18"/>
    <w:rsid w:val="00642E24"/>
    <w:rsid w:val="00642E55"/>
    <w:rsid w:val="00642EBB"/>
    <w:rsid w:val="00642F77"/>
    <w:rsid w:val="00642F8A"/>
    <w:rsid w:val="00642FF4"/>
    <w:rsid w:val="00643192"/>
    <w:rsid w:val="006432F5"/>
    <w:rsid w:val="00643630"/>
    <w:rsid w:val="006436B2"/>
    <w:rsid w:val="0064394E"/>
    <w:rsid w:val="00643A50"/>
    <w:rsid w:val="00643CA7"/>
    <w:rsid w:val="00643D3E"/>
    <w:rsid w:val="00643EB3"/>
    <w:rsid w:val="00644008"/>
    <w:rsid w:val="00644067"/>
    <w:rsid w:val="00644201"/>
    <w:rsid w:val="0064434B"/>
    <w:rsid w:val="00644384"/>
    <w:rsid w:val="00644485"/>
    <w:rsid w:val="006445DB"/>
    <w:rsid w:val="00644ACD"/>
    <w:rsid w:val="00644BDC"/>
    <w:rsid w:val="00644C78"/>
    <w:rsid w:val="00644D3D"/>
    <w:rsid w:val="00644E86"/>
    <w:rsid w:val="00644FE1"/>
    <w:rsid w:val="0064504D"/>
    <w:rsid w:val="0064508D"/>
    <w:rsid w:val="006451E4"/>
    <w:rsid w:val="00645208"/>
    <w:rsid w:val="006452E3"/>
    <w:rsid w:val="006453F5"/>
    <w:rsid w:val="0064552F"/>
    <w:rsid w:val="0064573C"/>
    <w:rsid w:val="00645848"/>
    <w:rsid w:val="006458CB"/>
    <w:rsid w:val="0064596D"/>
    <w:rsid w:val="00645C14"/>
    <w:rsid w:val="00645D6B"/>
    <w:rsid w:val="00645DCC"/>
    <w:rsid w:val="00645E70"/>
    <w:rsid w:val="00645F0B"/>
    <w:rsid w:val="00646048"/>
    <w:rsid w:val="006460F5"/>
    <w:rsid w:val="00646124"/>
    <w:rsid w:val="0064666E"/>
    <w:rsid w:val="006466DA"/>
    <w:rsid w:val="006466EF"/>
    <w:rsid w:val="0064670A"/>
    <w:rsid w:val="00646B0D"/>
    <w:rsid w:val="00646F8E"/>
    <w:rsid w:val="006472C9"/>
    <w:rsid w:val="006472E7"/>
    <w:rsid w:val="006476B6"/>
    <w:rsid w:val="006479AE"/>
    <w:rsid w:val="00647A75"/>
    <w:rsid w:val="00647B02"/>
    <w:rsid w:val="00647B28"/>
    <w:rsid w:val="00647C91"/>
    <w:rsid w:val="00647D94"/>
    <w:rsid w:val="00647EA3"/>
    <w:rsid w:val="00650112"/>
    <w:rsid w:val="0065017A"/>
    <w:rsid w:val="0065017D"/>
    <w:rsid w:val="00650224"/>
    <w:rsid w:val="00650627"/>
    <w:rsid w:val="0065078F"/>
    <w:rsid w:val="0065080D"/>
    <w:rsid w:val="006508AE"/>
    <w:rsid w:val="00650914"/>
    <w:rsid w:val="006509E2"/>
    <w:rsid w:val="00650A16"/>
    <w:rsid w:val="00650B74"/>
    <w:rsid w:val="00650C32"/>
    <w:rsid w:val="00650D04"/>
    <w:rsid w:val="00650EB0"/>
    <w:rsid w:val="006510FC"/>
    <w:rsid w:val="00651109"/>
    <w:rsid w:val="00651434"/>
    <w:rsid w:val="0065161B"/>
    <w:rsid w:val="00651786"/>
    <w:rsid w:val="00651AA6"/>
    <w:rsid w:val="00651ADB"/>
    <w:rsid w:val="0065201B"/>
    <w:rsid w:val="0065209F"/>
    <w:rsid w:val="00652179"/>
    <w:rsid w:val="00652343"/>
    <w:rsid w:val="0065238D"/>
    <w:rsid w:val="00652466"/>
    <w:rsid w:val="006526EA"/>
    <w:rsid w:val="006527B8"/>
    <w:rsid w:val="006527EB"/>
    <w:rsid w:val="006528AD"/>
    <w:rsid w:val="006528CB"/>
    <w:rsid w:val="00652C30"/>
    <w:rsid w:val="00652C64"/>
    <w:rsid w:val="00652E5F"/>
    <w:rsid w:val="00652EF8"/>
    <w:rsid w:val="00652EFE"/>
    <w:rsid w:val="00652F58"/>
    <w:rsid w:val="006530A7"/>
    <w:rsid w:val="00653184"/>
    <w:rsid w:val="006531AE"/>
    <w:rsid w:val="006532B1"/>
    <w:rsid w:val="00653396"/>
    <w:rsid w:val="00653585"/>
    <w:rsid w:val="00653711"/>
    <w:rsid w:val="00653721"/>
    <w:rsid w:val="00653851"/>
    <w:rsid w:val="00653856"/>
    <w:rsid w:val="00653BB8"/>
    <w:rsid w:val="00653BF9"/>
    <w:rsid w:val="00653C33"/>
    <w:rsid w:val="00653C89"/>
    <w:rsid w:val="00653CA6"/>
    <w:rsid w:val="00653E6E"/>
    <w:rsid w:val="00653F21"/>
    <w:rsid w:val="00653F9A"/>
    <w:rsid w:val="0065402A"/>
    <w:rsid w:val="006540C8"/>
    <w:rsid w:val="0065415F"/>
    <w:rsid w:val="00654231"/>
    <w:rsid w:val="006543E9"/>
    <w:rsid w:val="00654462"/>
    <w:rsid w:val="006544C2"/>
    <w:rsid w:val="00654578"/>
    <w:rsid w:val="006546B3"/>
    <w:rsid w:val="00654742"/>
    <w:rsid w:val="00654750"/>
    <w:rsid w:val="006551CD"/>
    <w:rsid w:val="00655339"/>
    <w:rsid w:val="006553F3"/>
    <w:rsid w:val="00655688"/>
    <w:rsid w:val="00655702"/>
    <w:rsid w:val="00655838"/>
    <w:rsid w:val="006559A2"/>
    <w:rsid w:val="00655B68"/>
    <w:rsid w:val="00655BDA"/>
    <w:rsid w:val="00655EE6"/>
    <w:rsid w:val="00655F5F"/>
    <w:rsid w:val="00655F9B"/>
    <w:rsid w:val="00656235"/>
    <w:rsid w:val="0065627B"/>
    <w:rsid w:val="00656377"/>
    <w:rsid w:val="006568D7"/>
    <w:rsid w:val="00656917"/>
    <w:rsid w:val="00656B94"/>
    <w:rsid w:val="00656C6E"/>
    <w:rsid w:val="00656E85"/>
    <w:rsid w:val="00656F4B"/>
    <w:rsid w:val="00657053"/>
    <w:rsid w:val="006572EC"/>
    <w:rsid w:val="00657391"/>
    <w:rsid w:val="0065753C"/>
    <w:rsid w:val="0065753F"/>
    <w:rsid w:val="00657737"/>
    <w:rsid w:val="00657824"/>
    <w:rsid w:val="006578F8"/>
    <w:rsid w:val="006579A6"/>
    <w:rsid w:val="00657AA0"/>
    <w:rsid w:val="00657AC9"/>
    <w:rsid w:val="00657AFB"/>
    <w:rsid w:val="00657D28"/>
    <w:rsid w:val="00657E41"/>
    <w:rsid w:val="00657E47"/>
    <w:rsid w:val="00657EAF"/>
    <w:rsid w:val="00657F73"/>
    <w:rsid w:val="0066034F"/>
    <w:rsid w:val="0066056C"/>
    <w:rsid w:val="006605A5"/>
    <w:rsid w:val="00660775"/>
    <w:rsid w:val="006608BA"/>
    <w:rsid w:val="00660B0B"/>
    <w:rsid w:val="00660C81"/>
    <w:rsid w:val="00660D3B"/>
    <w:rsid w:val="00660E25"/>
    <w:rsid w:val="00661179"/>
    <w:rsid w:val="0066129E"/>
    <w:rsid w:val="006613DA"/>
    <w:rsid w:val="00661418"/>
    <w:rsid w:val="0066148F"/>
    <w:rsid w:val="00661666"/>
    <w:rsid w:val="00661A4E"/>
    <w:rsid w:val="00661AAA"/>
    <w:rsid w:val="00661F39"/>
    <w:rsid w:val="00662037"/>
    <w:rsid w:val="00662187"/>
    <w:rsid w:val="006621D1"/>
    <w:rsid w:val="006623EA"/>
    <w:rsid w:val="006625E9"/>
    <w:rsid w:val="00662622"/>
    <w:rsid w:val="006626F1"/>
    <w:rsid w:val="00662706"/>
    <w:rsid w:val="00662876"/>
    <w:rsid w:val="006628F6"/>
    <w:rsid w:val="00662BB5"/>
    <w:rsid w:val="00662CAE"/>
    <w:rsid w:val="00662CE0"/>
    <w:rsid w:val="00662DCD"/>
    <w:rsid w:val="00662E0F"/>
    <w:rsid w:val="00662F55"/>
    <w:rsid w:val="006631E6"/>
    <w:rsid w:val="006632D2"/>
    <w:rsid w:val="006632FD"/>
    <w:rsid w:val="0066337A"/>
    <w:rsid w:val="00663472"/>
    <w:rsid w:val="0066347E"/>
    <w:rsid w:val="00663523"/>
    <w:rsid w:val="006636C2"/>
    <w:rsid w:val="0066374F"/>
    <w:rsid w:val="00663A11"/>
    <w:rsid w:val="00663C61"/>
    <w:rsid w:val="00663DC5"/>
    <w:rsid w:val="00663DFD"/>
    <w:rsid w:val="00663E6A"/>
    <w:rsid w:val="00663E94"/>
    <w:rsid w:val="00664012"/>
    <w:rsid w:val="0066419B"/>
    <w:rsid w:val="006641C1"/>
    <w:rsid w:val="006645E8"/>
    <w:rsid w:val="0066462B"/>
    <w:rsid w:val="006648CF"/>
    <w:rsid w:val="006648EB"/>
    <w:rsid w:val="00664918"/>
    <w:rsid w:val="00664C3D"/>
    <w:rsid w:val="00664E71"/>
    <w:rsid w:val="00664EB1"/>
    <w:rsid w:val="00664F24"/>
    <w:rsid w:val="0066508C"/>
    <w:rsid w:val="00665376"/>
    <w:rsid w:val="006655F9"/>
    <w:rsid w:val="006656E6"/>
    <w:rsid w:val="006657E0"/>
    <w:rsid w:val="00665A7D"/>
    <w:rsid w:val="00665CBA"/>
    <w:rsid w:val="00665D0E"/>
    <w:rsid w:val="00665D81"/>
    <w:rsid w:val="00665DA9"/>
    <w:rsid w:val="00665DF7"/>
    <w:rsid w:val="00665EBB"/>
    <w:rsid w:val="00665ED5"/>
    <w:rsid w:val="00665EDD"/>
    <w:rsid w:val="00665F15"/>
    <w:rsid w:val="0066607A"/>
    <w:rsid w:val="006663D2"/>
    <w:rsid w:val="0066643B"/>
    <w:rsid w:val="00666848"/>
    <w:rsid w:val="00666854"/>
    <w:rsid w:val="0066696B"/>
    <w:rsid w:val="00666A0B"/>
    <w:rsid w:val="00666B5B"/>
    <w:rsid w:val="00666C56"/>
    <w:rsid w:val="006670E5"/>
    <w:rsid w:val="0066715A"/>
    <w:rsid w:val="006672EE"/>
    <w:rsid w:val="006672F5"/>
    <w:rsid w:val="00667312"/>
    <w:rsid w:val="00667320"/>
    <w:rsid w:val="00667411"/>
    <w:rsid w:val="006674D9"/>
    <w:rsid w:val="0066761F"/>
    <w:rsid w:val="006679C2"/>
    <w:rsid w:val="00667A50"/>
    <w:rsid w:val="00667BBC"/>
    <w:rsid w:val="00667C52"/>
    <w:rsid w:val="00667C5E"/>
    <w:rsid w:val="00667C7B"/>
    <w:rsid w:val="00667D9F"/>
    <w:rsid w:val="00667E5A"/>
    <w:rsid w:val="00667FA0"/>
    <w:rsid w:val="00667FFC"/>
    <w:rsid w:val="0067027B"/>
    <w:rsid w:val="006702F0"/>
    <w:rsid w:val="00670527"/>
    <w:rsid w:val="006705B0"/>
    <w:rsid w:val="0067072A"/>
    <w:rsid w:val="00670A0C"/>
    <w:rsid w:val="00670A93"/>
    <w:rsid w:val="00670BC6"/>
    <w:rsid w:val="00670ED2"/>
    <w:rsid w:val="00670F0F"/>
    <w:rsid w:val="0067102E"/>
    <w:rsid w:val="006711CF"/>
    <w:rsid w:val="00671257"/>
    <w:rsid w:val="00671299"/>
    <w:rsid w:val="006712DB"/>
    <w:rsid w:val="0067153F"/>
    <w:rsid w:val="006715C1"/>
    <w:rsid w:val="006717D3"/>
    <w:rsid w:val="0067193F"/>
    <w:rsid w:val="006719EC"/>
    <w:rsid w:val="006719FC"/>
    <w:rsid w:val="00671D38"/>
    <w:rsid w:val="00671E25"/>
    <w:rsid w:val="00671EF7"/>
    <w:rsid w:val="0067206E"/>
    <w:rsid w:val="0067207B"/>
    <w:rsid w:val="006720AA"/>
    <w:rsid w:val="006721C1"/>
    <w:rsid w:val="006721DB"/>
    <w:rsid w:val="00672376"/>
    <w:rsid w:val="0067259F"/>
    <w:rsid w:val="0067270F"/>
    <w:rsid w:val="00672860"/>
    <w:rsid w:val="006728DD"/>
    <w:rsid w:val="00672B9C"/>
    <w:rsid w:val="00672C60"/>
    <w:rsid w:val="00672C85"/>
    <w:rsid w:val="00672DCC"/>
    <w:rsid w:val="00672FB7"/>
    <w:rsid w:val="0067317E"/>
    <w:rsid w:val="00673219"/>
    <w:rsid w:val="006732DF"/>
    <w:rsid w:val="006733DD"/>
    <w:rsid w:val="00673414"/>
    <w:rsid w:val="0067346A"/>
    <w:rsid w:val="006734D0"/>
    <w:rsid w:val="00673631"/>
    <w:rsid w:val="0067363C"/>
    <w:rsid w:val="006739FD"/>
    <w:rsid w:val="00673A25"/>
    <w:rsid w:val="00673BDB"/>
    <w:rsid w:val="00673CC8"/>
    <w:rsid w:val="00673D34"/>
    <w:rsid w:val="00673D83"/>
    <w:rsid w:val="00674096"/>
    <w:rsid w:val="006740D4"/>
    <w:rsid w:val="006744FE"/>
    <w:rsid w:val="0067455E"/>
    <w:rsid w:val="0067464E"/>
    <w:rsid w:val="006746EE"/>
    <w:rsid w:val="00674736"/>
    <w:rsid w:val="006748CA"/>
    <w:rsid w:val="006749E5"/>
    <w:rsid w:val="006749E7"/>
    <w:rsid w:val="00674A01"/>
    <w:rsid w:val="00674C0D"/>
    <w:rsid w:val="00674CB1"/>
    <w:rsid w:val="00674D05"/>
    <w:rsid w:val="00674E9D"/>
    <w:rsid w:val="0067524E"/>
    <w:rsid w:val="00675311"/>
    <w:rsid w:val="006753E0"/>
    <w:rsid w:val="0067544E"/>
    <w:rsid w:val="0067545B"/>
    <w:rsid w:val="0067547E"/>
    <w:rsid w:val="0067559E"/>
    <w:rsid w:val="006755C1"/>
    <w:rsid w:val="00675609"/>
    <w:rsid w:val="006757F3"/>
    <w:rsid w:val="00675959"/>
    <w:rsid w:val="00675A24"/>
    <w:rsid w:val="00675AEF"/>
    <w:rsid w:val="00675F67"/>
    <w:rsid w:val="00675FC3"/>
    <w:rsid w:val="00675FED"/>
    <w:rsid w:val="006760C6"/>
    <w:rsid w:val="006760C8"/>
    <w:rsid w:val="00676299"/>
    <w:rsid w:val="006762CF"/>
    <w:rsid w:val="006764AE"/>
    <w:rsid w:val="0067658E"/>
    <w:rsid w:val="006766F1"/>
    <w:rsid w:val="0067683F"/>
    <w:rsid w:val="0067689A"/>
    <w:rsid w:val="00676A22"/>
    <w:rsid w:val="00676C63"/>
    <w:rsid w:val="00676D08"/>
    <w:rsid w:val="00676E4A"/>
    <w:rsid w:val="00676EE1"/>
    <w:rsid w:val="00676EED"/>
    <w:rsid w:val="00676FA5"/>
    <w:rsid w:val="00677121"/>
    <w:rsid w:val="00677567"/>
    <w:rsid w:val="006775E6"/>
    <w:rsid w:val="00677722"/>
    <w:rsid w:val="0067798F"/>
    <w:rsid w:val="00677B46"/>
    <w:rsid w:val="00677C6F"/>
    <w:rsid w:val="00677F0E"/>
    <w:rsid w:val="006800A0"/>
    <w:rsid w:val="00680163"/>
    <w:rsid w:val="00680372"/>
    <w:rsid w:val="006803F1"/>
    <w:rsid w:val="006804A0"/>
    <w:rsid w:val="00680585"/>
    <w:rsid w:val="00680623"/>
    <w:rsid w:val="00680632"/>
    <w:rsid w:val="006808DF"/>
    <w:rsid w:val="00680928"/>
    <w:rsid w:val="00680965"/>
    <w:rsid w:val="00680CB7"/>
    <w:rsid w:val="00680D38"/>
    <w:rsid w:val="00680EBA"/>
    <w:rsid w:val="00680F10"/>
    <w:rsid w:val="00680F51"/>
    <w:rsid w:val="006810C4"/>
    <w:rsid w:val="0068119E"/>
    <w:rsid w:val="00681516"/>
    <w:rsid w:val="0068171F"/>
    <w:rsid w:val="0068179C"/>
    <w:rsid w:val="006817B2"/>
    <w:rsid w:val="0068180A"/>
    <w:rsid w:val="00681842"/>
    <w:rsid w:val="0068194C"/>
    <w:rsid w:val="00681957"/>
    <w:rsid w:val="006819E0"/>
    <w:rsid w:val="00681A32"/>
    <w:rsid w:val="00681B70"/>
    <w:rsid w:val="00681BA6"/>
    <w:rsid w:val="00681C13"/>
    <w:rsid w:val="00681CF3"/>
    <w:rsid w:val="00681EB4"/>
    <w:rsid w:val="00681F45"/>
    <w:rsid w:val="00681FAC"/>
    <w:rsid w:val="00682024"/>
    <w:rsid w:val="0068218F"/>
    <w:rsid w:val="006821D1"/>
    <w:rsid w:val="006828FC"/>
    <w:rsid w:val="00682A77"/>
    <w:rsid w:val="00682B50"/>
    <w:rsid w:val="00682BC9"/>
    <w:rsid w:val="00682CE7"/>
    <w:rsid w:val="00682D3E"/>
    <w:rsid w:val="00682E46"/>
    <w:rsid w:val="00682E72"/>
    <w:rsid w:val="006830D8"/>
    <w:rsid w:val="00683131"/>
    <w:rsid w:val="0068318B"/>
    <w:rsid w:val="006831E7"/>
    <w:rsid w:val="00683404"/>
    <w:rsid w:val="006834D2"/>
    <w:rsid w:val="00683830"/>
    <w:rsid w:val="00683930"/>
    <w:rsid w:val="0068396E"/>
    <w:rsid w:val="006839DD"/>
    <w:rsid w:val="00683A1B"/>
    <w:rsid w:val="00683A55"/>
    <w:rsid w:val="00683D76"/>
    <w:rsid w:val="00683D78"/>
    <w:rsid w:val="00683F08"/>
    <w:rsid w:val="0068408C"/>
    <w:rsid w:val="006840CB"/>
    <w:rsid w:val="00684262"/>
    <w:rsid w:val="0068429C"/>
    <w:rsid w:val="006843A0"/>
    <w:rsid w:val="0068443B"/>
    <w:rsid w:val="00684468"/>
    <w:rsid w:val="006844A2"/>
    <w:rsid w:val="006849C2"/>
    <w:rsid w:val="00684B25"/>
    <w:rsid w:val="00684BCF"/>
    <w:rsid w:val="00684C37"/>
    <w:rsid w:val="00684D37"/>
    <w:rsid w:val="00684F1A"/>
    <w:rsid w:val="00685075"/>
    <w:rsid w:val="0068510D"/>
    <w:rsid w:val="00685125"/>
    <w:rsid w:val="00685171"/>
    <w:rsid w:val="0068526B"/>
    <w:rsid w:val="006853CB"/>
    <w:rsid w:val="006853D2"/>
    <w:rsid w:val="0068547B"/>
    <w:rsid w:val="00685542"/>
    <w:rsid w:val="00685633"/>
    <w:rsid w:val="00685670"/>
    <w:rsid w:val="0068574B"/>
    <w:rsid w:val="00685A40"/>
    <w:rsid w:val="00685A7F"/>
    <w:rsid w:val="00685B7C"/>
    <w:rsid w:val="00685C35"/>
    <w:rsid w:val="00685D73"/>
    <w:rsid w:val="00685EA9"/>
    <w:rsid w:val="00685EE8"/>
    <w:rsid w:val="00685F27"/>
    <w:rsid w:val="00685FB6"/>
    <w:rsid w:val="0068603A"/>
    <w:rsid w:val="006860D6"/>
    <w:rsid w:val="00686101"/>
    <w:rsid w:val="00686303"/>
    <w:rsid w:val="006865E6"/>
    <w:rsid w:val="00686691"/>
    <w:rsid w:val="00686820"/>
    <w:rsid w:val="0068692D"/>
    <w:rsid w:val="006869E9"/>
    <w:rsid w:val="00686B3E"/>
    <w:rsid w:val="00686B73"/>
    <w:rsid w:val="00686C3E"/>
    <w:rsid w:val="00687091"/>
    <w:rsid w:val="006873DE"/>
    <w:rsid w:val="00687458"/>
    <w:rsid w:val="006874A3"/>
    <w:rsid w:val="00687554"/>
    <w:rsid w:val="00687770"/>
    <w:rsid w:val="006877B2"/>
    <w:rsid w:val="006877D5"/>
    <w:rsid w:val="00687C2B"/>
    <w:rsid w:val="00687C76"/>
    <w:rsid w:val="00687C7C"/>
    <w:rsid w:val="00687CAC"/>
    <w:rsid w:val="00687CEA"/>
    <w:rsid w:val="00687D14"/>
    <w:rsid w:val="006902B9"/>
    <w:rsid w:val="006903E2"/>
    <w:rsid w:val="0069040F"/>
    <w:rsid w:val="006906FC"/>
    <w:rsid w:val="00690C12"/>
    <w:rsid w:val="00690D9F"/>
    <w:rsid w:val="00691189"/>
    <w:rsid w:val="006911E7"/>
    <w:rsid w:val="0069145F"/>
    <w:rsid w:val="00691461"/>
    <w:rsid w:val="006915C0"/>
    <w:rsid w:val="006916DA"/>
    <w:rsid w:val="00691B99"/>
    <w:rsid w:val="00691DE4"/>
    <w:rsid w:val="00691E60"/>
    <w:rsid w:val="00691EA6"/>
    <w:rsid w:val="00691ECD"/>
    <w:rsid w:val="00691F8D"/>
    <w:rsid w:val="00691FF5"/>
    <w:rsid w:val="0069227D"/>
    <w:rsid w:val="00692569"/>
    <w:rsid w:val="0069262B"/>
    <w:rsid w:val="006926CB"/>
    <w:rsid w:val="0069282C"/>
    <w:rsid w:val="00692CF7"/>
    <w:rsid w:val="00692D99"/>
    <w:rsid w:val="00692E5F"/>
    <w:rsid w:val="00692F44"/>
    <w:rsid w:val="00692F78"/>
    <w:rsid w:val="006930BD"/>
    <w:rsid w:val="006931EC"/>
    <w:rsid w:val="00693334"/>
    <w:rsid w:val="0069337F"/>
    <w:rsid w:val="006933A3"/>
    <w:rsid w:val="0069360C"/>
    <w:rsid w:val="006937CD"/>
    <w:rsid w:val="0069381E"/>
    <w:rsid w:val="00693932"/>
    <w:rsid w:val="00693A39"/>
    <w:rsid w:val="00693C8E"/>
    <w:rsid w:val="0069401E"/>
    <w:rsid w:val="006940DE"/>
    <w:rsid w:val="006940FE"/>
    <w:rsid w:val="0069416B"/>
    <w:rsid w:val="00694233"/>
    <w:rsid w:val="0069427A"/>
    <w:rsid w:val="0069466B"/>
    <w:rsid w:val="0069472A"/>
    <w:rsid w:val="0069483F"/>
    <w:rsid w:val="00694988"/>
    <w:rsid w:val="00694A5A"/>
    <w:rsid w:val="00694A95"/>
    <w:rsid w:val="00694E69"/>
    <w:rsid w:val="00694F0F"/>
    <w:rsid w:val="00695337"/>
    <w:rsid w:val="00695667"/>
    <w:rsid w:val="00695679"/>
    <w:rsid w:val="006956EB"/>
    <w:rsid w:val="0069584B"/>
    <w:rsid w:val="006959AE"/>
    <w:rsid w:val="006962BD"/>
    <w:rsid w:val="00696419"/>
    <w:rsid w:val="00696550"/>
    <w:rsid w:val="006965B1"/>
    <w:rsid w:val="006965BF"/>
    <w:rsid w:val="0069672B"/>
    <w:rsid w:val="0069673D"/>
    <w:rsid w:val="00696886"/>
    <w:rsid w:val="006969FB"/>
    <w:rsid w:val="00696DFE"/>
    <w:rsid w:val="00696F17"/>
    <w:rsid w:val="00697039"/>
    <w:rsid w:val="00697093"/>
    <w:rsid w:val="00697172"/>
    <w:rsid w:val="00697400"/>
    <w:rsid w:val="00697424"/>
    <w:rsid w:val="0069749C"/>
    <w:rsid w:val="0069753E"/>
    <w:rsid w:val="00697567"/>
    <w:rsid w:val="0069760B"/>
    <w:rsid w:val="0069761D"/>
    <w:rsid w:val="006976C5"/>
    <w:rsid w:val="006979E0"/>
    <w:rsid w:val="00697AAF"/>
    <w:rsid w:val="00697B80"/>
    <w:rsid w:val="00697BFC"/>
    <w:rsid w:val="006A002F"/>
    <w:rsid w:val="006A02D6"/>
    <w:rsid w:val="006A030F"/>
    <w:rsid w:val="006A034F"/>
    <w:rsid w:val="006A0393"/>
    <w:rsid w:val="006A03AB"/>
    <w:rsid w:val="006A05D0"/>
    <w:rsid w:val="006A06A6"/>
    <w:rsid w:val="006A06BE"/>
    <w:rsid w:val="006A099B"/>
    <w:rsid w:val="006A09E4"/>
    <w:rsid w:val="006A0A24"/>
    <w:rsid w:val="006A0DF2"/>
    <w:rsid w:val="006A0E23"/>
    <w:rsid w:val="006A0EAA"/>
    <w:rsid w:val="006A1030"/>
    <w:rsid w:val="006A1133"/>
    <w:rsid w:val="006A1413"/>
    <w:rsid w:val="006A159A"/>
    <w:rsid w:val="006A16B4"/>
    <w:rsid w:val="006A16B6"/>
    <w:rsid w:val="006A1826"/>
    <w:rsid w:val="006A1B45"/>
    <w:rsid w:val="006A1FF9"/>
    <w:rsid w:val="006A2091"/>
    <w:rsid w:val="006A20C9"/>
    <w:rsid w:val="006A2465"/>
    <w:rsid w:val="006A24C3"/>
    <w:rsid w:val="006A25E7"/>
    <w:rsid w:val="006A284A"/>
    <w:rsid w:val="006A2A5A"/>
    <w:rsid w:val="006A2AC4"/>
    <w:rsid w:val="006A2BC9"/>
    <w:rsid w:val="006A2CDF"/>
    <w:rsid w:val="006A2DFE"/>
    <w:rsid w:val="006A3097"/>
    <w:rsid w:val="006A313D"/>
    <w:rsid w:val="006A32FA"/>
    <w:rsid w:val="006A3302"/>
    <w:rsid w:val="006A3487"/>
    <w:rsid w:val="006A3606"/>
    <w:rsid w:val="006A36E4"/>
    <w:rsid w:val="006A36EF"/>
    <w:rsid w:val="006A3B1B"/>
    <w:rsid w:val="006A3C70"/>
    <w:rsid w:val="006A3E13"/>
    <w:rsid w:val="006A3EC2"/>
    <w:rsid w:val="006A3EFD"/>
    <w:rsid w:val="006A3FBD"/>
    <w:rsid w:val="006A406E"/>
    <w:rsid w:val="006A40A8"/>
    <w:rsid w:val="006A40C5"/>
    <w:rsid w:val="006A43B2"/>
    <w:rsid w:val="006A443C"/>
    <w:rsid w:val="006A44C5"/>
    <w:rsid w:val="006A4622"/>
    <w:rsid w:val="006A4704"/>
    <w:rsid w:val="006A4C5D"/>
    <w:rsid w:val="006A4CCB"/>
    <w:rsid w:val="006A4ECF"/>
    <w:rsid w:val="006A4F85"/>
    <w:rsid w:val="006A50DA"/>
    <w:rsid w:val="006A50E5"/>
    <w:rsid w:val="006A5116"/>
    <w:rsid w:val="006A5263"/>
    <w:rsid w:val="006A5270"/>
    <w:rsid w:val="006A53A4"/>
    <w:rsid w:val="006A57A6"/>
    <w:rsid w:val="006A5826"/>
    <w:rsid w:val="006A5880"/>
    <w:rsid w:val="006A5891"/>
    <w:rsid w:val="006A594D"/>
    <w:rsid w:val="006A5968"/>
    <w:rsid w:val="006A59CA"/>
    <w:rsid w:val="006A5A4A"/>
    <w:rsid w:val="006A5C46"/>
    <w:rsid w:val="006A5D40"/>
    <w:rsid w:val="006A5DD0"/>
    <w:rsid w:val="006A643A"/>
    <w:rsid w:val="006A648A"/>
    <w:rsid w:val="006A64AD"/>
    <w:rsid w:val="006A654B"/>
    <w:rsid w:val="006A65D7"/>
    <w:rsid w:val="006A67B6"/>
    <w:rsid w:val="006A67F1"/>
    <w:rsid w:val="006A6869"/>
    <w:rsid w:val="006A69A7"/>
    <w:rsid w:val="006A6B17"/>
    <w:rsid w:val="006A6E0D"/>
    <w:rsid w:val="006A6E12"/>
    <w:rsid w:val="006A6ECE"/>
    <w:rsid w:val="006A70AB"/>
    <w:rsid w:val="006A7348"/>
    <w:rsid w:val="006A7457"/>
    <w:rsid w:val="006A7675"/>
    <w:rsid w:val="006A7874"/>
    <w:rsid w:val="006A7936"/>
    <w:rsid w:val="006A7970"/>
    <w:rsid w:val="006A7C24"/>
    <w:rsid w:val="006A7D4E"/>
    <w:rsid w:val="006A7DAA"/>
    <w:rsid w:val="006B0017"/>
    <w:rsid w:val="006B01AE"/>
    <w:rsid w:val="006B0272"/>
    <w:rsid w:val="006B02B0"/>
    <w:rsid w:val="006B02EE"/>
    <w:rsid w:val="006B0354"/>
    <w:rsid w:val="006B038C"/>
    <w:rsid w:val="006B06BC"/>
    <w:rsid w:val="006B06E4"/>
    <w:rsid w:val="006B0734"/>
    <w:rsid w:val="006B08B0"/>
    <w:rsid w:val="006B0C28"/>
    <w:rsid w:val="006B0C36"/>
    <w:rsid w:val="006B0DAA"/>
    <w:rsid w:val="006B0EC9"/>
    <w:rsid w:val="006B0EE1"/>
    <w:rsid w:val="006B1153"/>
    <w:rsid w:val="006B11CC"/>
    <w:rsid w:val="006B11CE"/>
    <w:rsid w:val="006B14CD"/>
    <w:rsid w:val="006B163E"/>
    <w:rsid w:val="006B19ED"/>
    <w:rsid w:val="006B1C26"/>
    <w:rsid w:val="006B1D65"/>
    <w:rsid w:val="006B1DB9"/>
    <w:rsid w:val="006B1E3B"/>
    <w:rsid w:val="006B1E98"/>
    <w:rsid w:val="006B1EB3"/>
    <w:rsid w:val="006B1F77"/>
    <w:rsid w:val="006B20E7"/>
    <w:rsid w:val="006B2274"/>
    <w:rsid w:val="006B23AB"/>
    <w:rsid w:val="006B2418"/>
    <w:rsid w:val="006B270D"/>
    <w:rsid w:val="006B2758"/>
    <w:rsid w:val="006B2941"/>
    <w:rsid w:val="006B29A4"/>
    <w:rsid w:val="006B29EC"/>
    <w:rsid w:val="006B2D44"/>
    <w:rsid w:val="006B2D94"/>
    <w:rsid w:val="006B2DFB"/>
    <w:rsid w:val="006B2F15"/>
    <w:rsid w:val="006B30AB"/>
    <w:rsid w:val="006B3459"/>
    <w:rsid w:val="006B36B3"/>
    <w:rsid w:val="006B38A2"/>
    <w:rsid w:val="006B391A"/>
    <w:rsid w:val="006B3EAE"/>
    <w:rsid w:val="006B4013"/>
    <w:rsid w:val="006B42F1"/>
    <w:rsid w:val="006B4300"/>
    <w:rsid w:val="006B442A"/>
    <w:rsid w:val="006B4591"/>
    <w:rsid w:val="006B47AC"/>
    <w:rsid w:val="006B4843"/>
    <w:rsid w:val="006B4887"/>
    <w:rsid w:val="006B4A6F"/>
    <w:rsid w:val="006B4B82"/>
    <w:rsid w:val="006B4F3D"/>
    <w:rsid w:val="006B4F5F"/>
    <w:rsid w:val="006B50A9"/>
    <w:rsid w:val="006B5147"/>
    <w:rsid w:val="006B51E2"/>
    <w:rsid w:val="006B520B"/>
    <w:rsid w:val="006B5353"/>
    <w:rsid w:val="006B53EC"/>
    <w:rsid w:val="006B5621"/>
    <w:rsid w:val="006B5645"/>
    <w:rsid w:val="006B5E9B"/>
    <w:rsid w:val="006B5F50"/>
    <w:rsid w:val="006B61AC"/>
    <w:rsid w:val="006B6213"/>
    <w:rsid w:val="006B63CB"/>
    <w:rsid w:val="006B68B7"/>
    <w:rsid w:val="006B6C89"/>
    <w:rsid w:val="006B70C3"/>
    <w:rsid w:val="006B710E"/>
    <w:rsid w:val="006B712E"/>
    <w:rsid w:val="006B7331"/>
    <w:rsid w:val="006B7348"/>
    <w:rsid w:val="006B7366"/>
    <w:rsid w:val="006B73CB"/>
    <w:rsid w:val="006B7422"/>
    <w:rsid w:val="006B7471"/>
    <w:rsid w:val="006B74EB"/>
    <w:rsid w:val="006B758F"/>
    <w:rsid w:val="006B76B0"/>
    <w:rsid w:val="006B7702"/>
    <w:rsid w:val="006B77F7"/>
    <w:rsid w:val="006B79A6"/>
    <w:rsid w:val="006B7A46"/>
    <w:rsid w:val="006B7B6B"/>
    <w:rsid w:val="006B7CD8"/>
    <w:rsid w:val="006B7E8B"/>
    <w:rsid w:val="006B7F96"/>
    <w:rsid w:val="006C0162"/>
    <w:rsid w:val="006C0174"/>
    <w:rsid w:val="006C0236"/>
    <w:rsid w:val="006C03C2"/>
    <w:rsid w:val="006C0471"/>
    <w:rsid w:val="006C069A"/>
    <w:rsid w:val="006C0957"/>
    <w:rsid w:val="006C0B0B"/>
    <w:rsid w:val="006C0C00"/>
    <w:rsid w:val="006C0C0B"/>
    <w:rsid w:val="006C0D25"/>
    <w:rsid w:val="006C1325"/>
    <w:rsid w:val="006C1426"/>
    <w:rsid w:val="006C1451"/>
    <w:rsid w:val="006C145A"/>
    <w:rsid w:val="006C1582"/>
    <w:rsid w:val="006C17F0"/>
    <w:rsid w:val="006C1973"/>
    <w:rsid w:val="006C19CE"/>
    <w:rsid w:val="006C19EC"/>
    <w:rsid w:val="006C1A0F"/>
    <w:rsid w:val="006C1A38"/>
    <w:rsid w:val="006C1B38"/>
    <w:rsid w:val="006C1BEF"/>
    <w:rsid w:val="006C1D0D"/>
    <w:rsid w:val="006C1DC0"/>
    <w:rsid w:val="006C1EDB"/>
    <w:rsid w:val="006C1F64"/>
    <w:rsid w:val="006C20B0"/>
    <w:rsid w:val="006C2128"/>
    <w:rsid w:val="006C220E"/>
    <w:rsid w:val="006C2468"/>
    <w:rsid w:val="006C2583"/>
    <w:rsid w:val="006C26BB"/>
    <w:rsid w:val="006C2755"/>
    <w:rsid w:val="006C27AC"/>
    <w:rsid w:val="006C2A66"/>
    <w:rsid w:val="006C2A7F"/>
    <w:rsid w:val="006C2C5E"/>
    <w:rsid w:val="006C2D46"/>
    <w:rsid w:val="006C2D62"/>
    <w:rsid w:val="006C2FAB"/>
    <w:rsid w:val="006C30DE"/>
    <w:rsid w:val="006C333F"/>
    <w:rsid w:val="006C336B"/>
    <w:rsid w:val="006C33B4"/>
    <w:rsid w:val="006C341E"/>
    <w:rsid w:val="006C350F"/>
    <w:rsid w:val="006C3560"/>
    <w:rsid w:val="006C38BF"/>
    <w:rsid w:val="006C39B3"/>
    <w:rsid w:val="006C3A56"/>
    <w:rsid w:val="006C3D30"/>
    <w:rsid w:val="006C3E1D"/>
    <w:rsid w:val="006C3F27"/>
    <w:rsid w:val="006C3F92"/>
    <w:rsid w:val="006C3FBD"/>
    <w:rsid w:val="006C41B9"/>
    <w:rsid w:val="006C438B"/>
    <w:rsid w:val="006C43DC"/>
    <w:rsid w:val="006C4434"/>
    <w:rsid w:val="006C4484"/>
    <w:rsid w:val="006C45F2"/>
    <w:rsid w:val="006C477D"/>
    <w:rsid w:val="006C47D2"/>
    <w:rsid w:val="006C48B4"/>
    <w:rsid w:val="006C4E61"/>
    <w:rsid w:val="006C4EEE"/>
    <w:rsid w:val="006C4FDE"/>
    <w:rsid w:val="006C505E"/>
    <w:rsid w:val="006C5188"/>
    <w:rsid w:val="006C5298"/>
    <w:rsid w:val="006C5332"/>
    <w:rsid w:val="006C53EB"/>
    <w:rsid w:val="006C55C8"/>
    <w:rsid w:val="006C5642"/>
    <w:rsid w:val="006C5737"/>
    <w:rsid w:val="006C58BC"/>
    <w:rsid w:val="006C59E0"/>
    <w:rsid w:val="006C5B09"/>
    <w:rsid w:val="006C5CAC"/>
    <w:rsid w:val="006C5F86"/>
    <w:rsid w:val="006C6035"/>
    <w:rsid w:val="006C6165"/>
    <w:rsid w:val="006C626E"/>
    <w:rsid w:val="006C6457"/>
    <w:rsid w:val="006C6646"/>
    <w:rsid w:val="006C66A1"/>
    <w:rsid w:val="006C66EE"/>
    <w:rsid w:val="006C682B"/>
    <w:rsid w:val="006C6A75"/>
    <w:rsid w:val="006C6AF8"/>
    <w:rsid w:val="006C6B4A"/>
    <w:rsid w:val="006C6C77"/>
    <w:rsid w:val="006C6E8B"/>
    <w:rsid w:val="006C6F94"/>
    <w:rsid w:val="006C6FAC"/>
    <w:rsid w:val="006C6FD9"/>
    <w:rsid w:val="006C6FEC"/>
    <w:rsid w:val="006C7239"/>
    <w:rsid w:val="006C7770"/>
    <w:rsid w:val="006C79E9"/>
    <w:rsid w:val="006C7B05"/>
    <w:rsid w:val="006C7B6D"/>
    <w:rsid w:val="006C7B79"/>
    <w:rsid w:val="006C7F5E"/>
    <w:rsid w:val="006C7F8D"/>
    <w:rsid w:val="006C7FB8"/>
    <w:rsid w:val="006D012A"/>
    <w:rsid w:val="006D02A5"/>
    <w:rsid w:val="006D0412"/>
    <w:rsid w:val="006D046B"/>
    <w:rsid w:val="006D049C"/>
    <w:rsid w:val="006D07FA"/>
    <w:rsid w:val="006D08A9"/>
    <w:rsid w:val="006D08B7"/>
    <w:rsid w:val="006D0937"/>
    <w:rsid w:val="006D0A88"/>
    <w:rsid w:val="006D0BAA"/>
    <w:rsid w:val="006D0E0E"/>
    <w:rsid w:val="006D108D"/>
    <w:rsid w:val="006D14E7"/>
    <w:rsid w:val="006D1834"/>
    <w:rsid w:val="006D18A4"/>
    <w:rsid w:val="006D18B0"/>
    <w:rsid w:val="006D19EB"/>
    <w:rsid w:val="006D1A37"/>
    <w:rsid w:val="006D1B10"/>
    <w:rsid w:val="006D1BB5"/>
    <w:rsid w:val="006D1CA6"/>
    <w:rsid w:val="006D1CFB"/>
    <w:rsid w:val="006D1D17"/>
    <w:rsid w:val="006D1D6C"/>
    <w:rsid w:val="006D1E4E"/>
    <w:rsid w:val="006D1E5E"/>
    <w:rsid w:val="006D1E71"/>
    <w:rsid w:val="006D1EFA"/>
    <w:rsid w:val="006D206F"/>
    <w:rsid w:val="006D2202"/>
    <w:rsid w:val="006D2327"/>
    <w:rsid w:val="006D249F"/>
    <w:rsid w:val="006D26AF"/>
    <w:rsid w:val="006D26B3"/>
    <w:rsid w:val="006D2786"/>
    <w:rsid w:val="006D27BC"/>
    <w:rsid w:val="006D2B34"/>
    <w:rsid w:val="006D2D37"/>
    <w:rsid w:val="006D2D4D"/>
    <w:rsid w:val="006D2E49"/>
    <w:rsid w:val="006D2F7E"/>
    <w:rsid w:val="006D2F82"/>
    <w:rsid w:val="006D3039"/>
    <w:rsid w:val="006D309A"/>
    <w:rsid w:val="006D30A1"/>
    <w:rsid w:val="006D33C5"/>
    <w:rsid w:val="006D35A7"/>
    <w:rsid w:val="006D373F"/>
    <w:rsid w:val="006D386B"/>
    <w:rsid w:val="006D38A5"/>
    <w:rsid w:val="006D3C82"/>
    <w:rsid w:val="006D3DA3"/>
    <w:rsid w:val="006D3E7C"/>
    <w:rsid w:val="006D3EFC"/>
    <w:rsid w:val="006D405A"/>
    <w:rsid w:val="006D40BB"/>
    <w:rsid w:val="006D43D2"/>
    <w:rsid w:val="006D4563"/>
    <w:rsid w:val="006D479A"/>
    <w:rsid w:val="006D47D2"/>
    <w:rsid w:val="006D48A3"/>
    <w:rsid w:val="006D4A41"/>
    <w:rsid w:val="006D4C12"/>
    <w:rsid w:val="006D4CD8"/>
    <w:rsid w:val="006D4E0B"/>
    <w:rsid w:val="006D4E44"/>
    <w:rsid w:val="006D4E4C"/>
    <w:rsid w:val="006D4F1C"/>
    <w:rsid w:val="006D4FE4"/>
    <w:rsid w:val="006D500E"/>
    <w:rsid w:val="006D52A7"/>
    <w:rsid w:val="006D5462"/>
    <w:rsid w:val="006D569E"/>
    <w:rsid w:val="006D580F"/>
    <w:rsid w:val="006D5944"/>
    <w:rsid w:val="006D596F"/>
    <w:rsid w:val="006D5A9E"/>
    <w:rsid w:val="006D5AD4"/>
    <w:rsid w:val="006D5E07"/>
    <w:rsid w:val="006D5E16"/>
    <w:rsid w:val="006D5E92"/>
    <w:rsid w:val="006D5ECF"/>
    <w:rsid w:val="006D5F73"/>
    <w:rsid w:val="006D5FAE"/>
    <w:rsid w:val="006D5FC6"/>
    <w:rsid w:val="006D600B"/>
    <w:rsid w:val="006D6118"/>
    <w:rsid w:val="006D6550"/>
    <w:rsid w:val="006D655E"/>
    <w:rsid w:val="006D6602"/>
    <w:rsid w:val="006D685D"/>
    <w:rsid w:val="006D68A9"/>
    <w:rsid w:val="006D6CF6"/>
    <w:rsid w:val="006D6F9D"/>
    <w:rsid w:val="006D6FC6"/>
    <w:rsid w:val="006D700B"/>
    <w:rsid w:val="006D701D"/>
    <w:rsid w:val="006D7230"/>
    <w:rsid w:val="006D727D"/>
    <w:rsid w:val="006D7D3F"/>
    <w:rsid w:val="006D7D9D"/>
    <w:rsid w:val="006D7F7F"/>
    <w:rsid w:val="006E07AD"/>
    <w:rsid w:val="006E07EC"/>
    <w:rsid w:val="006E08FD"/>
    <w:rsid w:val="006E0A6E"/>
    <w:rsid w:val="006E0BB3"/>
    <w:rsid w:val="006E0E01"/>
    <w:rsid w:val="006E0E78"/>
    <w:rsid w:val="006E0ED5"/>
    <w:rsid w:val="006E1346"/>
    <w:rsid w:val="006E1348"/>
    <w:rsid w:val="006E1369"/>
    <w:rsid w:val="006E13DD"/>
    <w:rsid w:val="006E1541"/>
    <w:rsid w:val="006E15F1"/>
    <w:rsid w:val="006E1670"/>
    <w:rsid w:val="006E185F"/>
    <w:rsid w:val="006E18B8"/>
    <w:rsid w:val="006E19FE"/>
    <w:rsid w:val="006E1A3B"/>
    <w:rsid w:val="006E1A98"/>
    <w:rsid w:val="006E1AEB"/>
    <w:rsid w:val="006E1BC6"/>
    <w:rsid w:val="006E1C35"/>
    <w:rsid w:val="006E1E61"/>
    <w:rsid w:val="006E1E8E"/>
    <w:rsid w:val="006E1FC3"/>
    <w:rsid w:val="006E20E1"/>
    <w:rsid w:val="006E2310"/>
    <w:rsid w:val="006E2400"/>
    <w:rsid w:val="006E2463"/>
    <w:rsid w:val="006E27B3"/>
    <w:rsid w:val="006E2949"/>
    <w:rsid w:val="006E29CE"/>
    <w:rsid w:val="006E2C18"/>
    <w:rsid w:val="006E2CA5"/>
    <w:rsid w:val="006E2CD1"/>
    <w:rsid w:val="006E2D5C"/>
    <w:rsid w:val="006E2E7C"/>
    <w:rsid w:val="006E2E8B"/>
    <w:rsid w:val="006E3169"/>
    <w:rsid w:val="006E34F0"/>
    <w:rsid w:val="006E3763"/>
    <w:rsid w:val="006E38E0"/>
    <w:rsid w:val="006E38E9"/>
    <w:rsid w:val="006E3903"/>
    <w:rsid w:val="006E3AF3"/>
    <w:rsid w:val="006E3C04"/>
    <w:rsid w:val="006E3D46"/>
    <w:rsid w:val="006E3E11"/>
    <w:rsid w:val="006E3F17"/>
    <w:rsid w:val="006E3F8B"/>
    <w:rsid w:val="006E417B"/>
    <w:rsid w:val="006E419B"/>
    <w:rsid w:val="006E41D7"/>
    <w:rsid w:val="006E438B"/>
    <w:rsid w:val="006E438C"/>
    <w:rsid w:val="006E43EA"/>
    <w:rsid w:val="006E45D1"/>
    <w:rsid w:val="006E4735"/>
    <w:rsid w:val="006E4977"/>
    <w:rsid w:val="006E4A09"/>
    <w:rsid w:val="006E4E05"/>
    <w:rsid w:val="006E4FE1"/>
    <w:rsid w:val="006E50D0"/>
    <w:rsid w:val="006E529B"/>
    <w:rsid w:val="006E52B6"/>
    <w:rsid w:val="006E5303"/>
    <w:rsid w:val="006E53B7"/>
    <w:rsid w:val="006E5639"/>
    <w:rsid w:val="006E5B83"/>
    <w:rsid w:val="006E5E75"/>
    <w:rsid w:val="006E628A"/>
    <w:rsid w:val="006E635B"/>
    <w:rsid w:val="006E63D5"/>
    <w:rsid w:val="006E6410"/>
    <w:rsid w:val="006E6427"/>
    <w:rsid w:val="006E6431"/>
    <w:rsid w:val="006E658D"/>
    <w:rsid w:val="006E6607"/>
    <w:rsid w:val="006E6A13"/>
    <w:rsid w:val="006E6CB4"/>
    <w:rsid w:val="006E6CC5"/>
    <w:rsid w:val="006E6E39"/>
    <w:rsid w:val="006E6F65"/>
    <w:rsid w:val="006E6F95"/>
    <w:rsid w:val="006E7370"/>
    <w:rsid w:val="006E74FB"/>
    <w:rsid w:val="006E758D"/>
    <w:rsid w:val="006E77BE"/>
    <w:rsid w:val="006E795B"/>
    <w:rsid w:val="006E7A79"/>
    <w:rsid w:val="006E7B76"/>
    <w:rsid w:val="006E7BC9"/>
    <w:rsid w:val="006E7C87"/>
    <w:rsid w:val="006E7CBA"/>
    <w:rsid w:val="006E7CD7"/>
    <w:rsid w:val="006E7E7A"/>
    <w:rsid w:val="006F0272"/>
    <w:rsid w:val="006F028B"/>
    <w:rsid w:val="006F03E8"/>
    <w:rsid w:val="006F04B2"/>
    <w:rsid w:val="006F069D"/>
    <w:rsid w:val="006F0739"/>
    <w:rsid w:val="006F08A0"/>
    <w:rsid w:val="006F09F2"/>
    <w:rsid w:val="006F0B72"/>
    <w:rsid w:val="006F0B9F"/>
    <w:rsid w:val="006F0BFF"/>
    <w:rsid w:val="006F0DAD"/>
    <w:rsid w:val="006F0F6C"/>
    <w:rsid w:val="006F1216"/>
    <w:rsid w:val="006F1299"/>
    <w:rsid w:val="006F12F4"/>
    <w:rsid w:val="006F12FA"/>
    <w:rsid w:val="006F171C"/>
    <w:rsid w:val="006F197C"/>
    <w:rsid w:val="006F1A11"/>
    <w:rsid w:val="006F1A47"/>
    <w:rsid w:val="006F1AB7"/>
    <w:rsid w:val="006F1B15"/>
    <w:rsid w:val="006F1C56"/>
    <w:rsid w:val="006F1D15"/>
    <w:rsid w:val="006F1EE6"/>
    <w:rsid w:val="006F1F76"/>
    <w:rsid w:val="006F20D1"/>
    <w:rsid w:val="006F2249"/>
    <w:rsid w:val="006F237F"/>
    <w:rsid w:val="006F2558"/>
    <w:rsid w:val="006F2958"/>
    <w:rsid w:val="006F2ABD"/>
    <w:rsid w:val="006F2B6B"/>
    <w:rsid w:val="006F2C44"/>
    <w:rsid w:val="006F2CC1"/>
    <w:rsid w:val="006F2F2C"/>
    <w:rsid w:val="006F3524"/>
    <w:rsid w:val="006F3847"/>
    <w:rsid w:val="006F384A"/>
    <w:rsid w:val="006F3A24"/>
    <w:rsid w:val="006F3A7F"/>
    <w:rsid w:val="006F3BE5"/>
    <w:rsid w:val="006F3C28"/>
    <w:rsid w:val="006F3CF8"/>
    <w:rsid w:val="006F3D61"/>
    <w:rsid w:val="006F3E79"/>
    <w:rsid w:val="006F3EE6"/>
    <w:rsid w:val="006F3FA7"/>
    <w:rsid w:val="006F4133"/>
    <w:rsid w:val="006F4172"/>
    <w:rsid w:val="006F4235"/>
    <w:rsid w:val="006F4433"/>
    <w:rsid w:val="006F44B7"/>
    <w:rsid w:val="006F456E"/>
    <w:rsid w:val="006F492D"/>
    <w:rsid w:val="006F4A80"/>
    <w:rsid w:val="006F4B3C"/>
    <w:rsid w:val="006F4CD2"/>
    <w:rsid w:val="006F5099"/>
    <w:rsid w:val="006F5195"/>
    <w:rsid w:val="006F5304"/>
    <w:rsid w:val="006F535A"/>
    <w:rsid w:val="006F537D"/>
    <w:rsid w:val="006F542A"/>
    <w:rsid w:val="006F5442"/>
    <w:rsid w:val="006F58BC"/>
    <w:rsid w:val="006F5999"/>
    <w:rsid w:val="006F5A88"/>
    <w:rsid w:val="006F5B14"/>
    <w:rsid w:val="006F5B2E"/>
    <w:rsid w:val="006F5CF5"/>
    <w:rsid w:val="006F5D7F"/>
    <w:rsid w:val="006F5DD9"/>
    <w:rsid w:val="006F5E11"/>
    <w:rsid w:val="006F603D"/>
    <w:rsid w:val="006F6152"/>
    <w:rsid w:val="006F6294"/>
    <w:rsid w:val="006F66F1"/>
    <w:rsid w:val="006F6857"/>
    <w:rsid w:val="006F6974"/>
    <w:rsid w:val="006F69C5"/>
    <w:rsid w:val="006F6AC8"/>
    <w:rsid w:val="006F6B65"/>
    <w:rsid w:val="006F6E34"/>
    <w:rsid w:val="006F6E8F"/>
    <w:rsid w:val="006F6F00"/>
    <w:rsid w:val="006F7169"/>
    <w:rsid w:val="006F7234"/>
    <w:rsid w:val="006F7276"/>
    <w:rsid w:val="006F73D9"/>
    <w:rsid w:val="006F73F7"/>
    <w:rsid w:val="006F7490"/>
    <w:rsid w:val="006F769F"/>
    <w:rsid w:val="006F76C3"/>
    <w:rsid w:val="006F7934"/>
    <w:rsid w:val="006F7A16"/>
    <w:rsid w:val="006F7ACE"/>
    <w:rsid w:val="006F7B35"/>
    <w:rsid w:val="006F7DE5"/>
    <w:rsid w:val="006F7E5D"/>
    <w:rsid w:val="006F7E74"/>
    <w:rsid w:val="006F7FA2"/>
    <w:rsid w:val="00700180"/>
    <w:rsid w:val="00700410"/>
    <w:rsid w:val="00700560"/>
    <w:rsid w:val="00700617"/>
    <w:rsid w:val="007006EC"/>
    <w:rsid w:val="00700893"/>
    <w:rsid w:val="00700B89"/>
    <w:rsid w:val="00700D6F"/>
    <w:rsid w:val="00700FE7"/>
    <w:rsid w:val="007010E4"/>
    <w:rsid w:val="0070138C"/>
    <w:rsid w:val="007013B5"/>
    <w:rsid w:val="0070162C"/>
    <w:rsid w:val="00701796"/>
    <w:rsid w:val="007017D9"/>
    <w:rsid w:val="007017E4"/>
    <w:rsid w:val="00701812"/>
    <w:rsid w:val="00701A0F"/>
    <w:rsid w:val="00701AD0"/>
    <w:rsid w:val="00701DA2"/>
    <w:rsid w:val="00701F55"/>
    <w:rsid w:val="0070202C"/>
    <w:rsid w:val="0070207A"/>
    <w:rsid w:val="0070208B"/>
    <w:rsid w:val="007020D2"/>
    <w:rsid w:val="007020FA"/>
    <w:rsid w:val="0070234D"/>
    <w:rsid w:val="00702358"/>
    <w:rsid w:val="007024CA"/>
    <w:rsid w:val="007028BD"/>
    <w:rsid w:val="007028BF"/>
    <w:rsid w:val="00702AD5"/>
    <w:rsid w:val="00702E78"/>
    <w:rsid w:val="00702FC4"/>
    <w:rsid w:val="007030AF"/>
    <w:rsid w:val="007030C7"/>
    <w:rsid w:val="007030F6"/>
    <w:rsid w:val="0070322F"/>
    <w:rsid w:val="00703538"/>
    <w:rsid w:val="0070375E"/>
    <w:rsid w:val="007038E7"/>
    <w:rsid w:val="00703904"/>
    <w:rsid w:val="00703938"/>
    <w:rsid w:val="00703986"/>
    <w:rsid w:val="007043AB"/>
    <w:rsid w:val="007044F5"/>
    <w:rsid w:val="007045B1"/>
    <w:rsid w:val="007045B6"/>
    <w:rsid w:val="007045FE"/>
    <w:rsid w:val="0070462C"/>
    <w:rsid w:val="007049A9"/>
    <w:rsid w:val="00704CA7"/>
    <w:rsid w:val="00704D91"/>
    <w:rsid w:val="00704FA3"/>
    <w:rsid w:val="00704FB5"/>
    <w:rsid w:val="0070532B"/>
    <w:rsid w:val="0070533A"/>
    <w:rsid w:val="00705596"/>
    <w:rsid w:val="007055D8"/>
    <w:rsid w:val="0070577B"/>
    <w:rsid w:val="00705BE7"/>
    <w:rsid w:val="00705C51"/>
    <w:rsid w:val="00705E5F"/>
    <w:rsid w:val="00706047"/>
    <w:rsid w:val="007064E9"/>
    <w:rsid w:val="0070662D"/>
    <w:rsid w:val="007068F7"/>
    <w:rsid w:val="00706A43"/>
    <w:rsid w:val="00706C25"/>
    <w:rsid w:val="00706F02"/>
    <w:rsid w:val="00706F2C"/>
    <w:rsid w:val="00706F94"/>
    <w:rsid w:val="00707090"/>
    <w:rsid w:val="00707242"/>
    <w:rsid w:val="0070725C"/>
    <w:rsid w:val="007072AF"/>
    <w:rsid w:val="007072D9"/>
    <w:rsid w:val="0070730B"/>
    <w:rsid w:val="007073A9"/>
    <w:rsid w:val="007076D5"/>
    <w:rsid w:val="007079B4"/>
    <w:rsid w:val="007079FE"/>
    <w:rsid w:val="00707D1C"/>
    <w:rsid w:val="00707F36"/>
    <w:rsid w:val="00707F88"/>
    <w:rsid w:val="0071041C"/>
    <w:rsid w:val="00710469"/>
    <w:rsid w:val="0071056B"/>
    <w:rsid w:val="0071075A"/>
    <w:rsid w:val="0071077B"/>
    <w:rsid w:val="007107AC"/>
    <w:rsid w:val="0071081F"/>
    <w:rsid w:val="00710B03"/>
    <w:rsid w:val="00710B9C"/>
    <w:rsid w:val="00710C26"/>
    <w:rsid w:val="00710CF9"/>
    <w:rsid w:val="0071105B"/>
    <w:rsid w:val="0071113B"/>
    <w:rsid w:val="007111E5"/>
    <w:rsid w:val="007116A9"/>
    <w:rsid w:val="0071172F"/>
    <w:rsid w:val="00711A00"/>
    <w:rsid w:val="00711A44"/>
    <w:rsid w:val="00711A48"/>
    <w:rsid w:val="00711A4B"/>
    <w:rsid w:val="00711B84"/>
    <w:rsid w:val="00711BC6"/>
    <w:rsid w:val="00711EFE"/>
    <w:rsid w:val="00711F26"/>
    <w:rsid w:val="0071223C"/>
    <w:rsid w:val="00712334"/>
    <w:rsid w:val="007123AE"/>
    <w:rsid w:val="007123BE"/>
    <w:rsid w:val="00712616"/>
    <w:rsid w:val="0071266E"/>
    <w:rsid w:val="00712687"/>
    <w:rsid w:val="00712705"/>
    <w:rsid w:val="00712BDE"/>
    <w:rsid w:val="007134CC"/>
    <w:rsid w:val="0071370F"/>
    <w:rsid w:val="0071389E"/>
    <w:rsid w:val="0071394C"/>
    <w:rsid w:val="007139A6"/>
    <w:rsid w:val="00713A4A"/>
    <w:rsid w:val="00713BF9"/>
    <w:rsid w:val="00713D14"/>
    <w:rsid w:val="00713DE7"/>
    <w:rsid w:val="00713F13"/>
    <w:rsid w:val="00713F7D"/>
    <w:rsid w:val="007140D3"/>
    <w:rsid w:val="007140E6"/>
    <w:rsid w:val="00714125"/>
    <w:rsid w:val="00714127"/>
    <w:rsid w:val="007141D7"/>
    <w:rsid w:val="00714435"/>
    <w:rsid w:val="007145DB"/>
    <w:rsid w:val="00714630"/>
    <w:rsid w:val="007146E9"/>
    <w:rsid w:val="007147CB"/>
    <w:rsid w:val="00714A04"/>
    <w:rsid w:val="00714C15"/>
    <w:rsid w:val="00714DC6"/>
    <w:rsid w:val="00714DE2"/>
    <w:rsid w:val="00715109"/>
    <w:rsid w:val="0071532E"/>
    <w:rsid w:val="007153D7"/>
    <w:rsid w:val="007156FC"/>
    <w:rsid w:val="00715A08"/>
    <w:rsid w:val="00715A4E"/>
    <w:rsid w:val="00715BCA"/>
    <w:rsid w:val="00715C6E"/>
    <w:rsid w:val="00715D71"/>
    <w:rsid w:val="00715EC9"/>
    <w:rsid w:val="0071608C"/>
    <w:rsid w:val="007160DC"/>
    <w:rsid w:val="0071633C"/>
    <w:rsid w:val="0071634D"/>
    <w:rsid w:val="00716492"/>
    <w:rsid w:val="007165EB"/>
    <w:rsid w:val="00716CA8"/>
    <w:rsid w:val="00716DBA"/>
    <w:rsid w:val="00716F4A"/>
    <w:rsid w:val="0071738E"/>
    <w:rsid w:val="007174DE"/>
    <w:rsid w:val="00717515"/>
    <w:rsid w:val="0071771A"/>
    <w:rsid w:val="0071784B"/>
    <w:rsid w:val="0071784F"/>
    <w:rsid w:val="0071795D"/>
    <w:rsid w:val="007179A8"/>
    <w:rsid w:val="00717D63"/>
    <w:rsid w:val="00717F81"/>
    <w:rsid w:val="00720154"/>
    <w:rsid w:val="0072028F"/>
    <w:rsid w:val="00720409"/>
    <w:rsid w:val="007204BD"/>
    <w:rsid w:val="0072064A"/>
    <w:rsid w:val="007207C3"/>
    <w:rsid w:val="007207F8"/>
    <w:rsid w:val="0072082B"/>
    <w:rsid w:val="007209B6"/>
    <w:rsid w:val="00720C18"/>
    <w:rsid w:val="00720E77"/>
    <w:rsid w:val="00720EE4"/>
    <w:rsid w:val="00720FAF"/>
    <w:rsid w:val="0072101B"/>
    <w:rsid w:val="007210A5"/>
    <w:rsid w:val="007210CC"/>
    <w:rsid w:val="0072122A"/>
    <w:rsid w:val="007212CE"/>
    <w:rsid w:val="007214A2"/>
    <w:rsid w:val="00721766"/>
    <w:rsid w:val="007217B6"/>
    <w:rsid w:val="0072180E"/>
    <w:rsid w:val="00721842"/>
    <w:rsid w:val="00721856"/>
    <w:rsid w:val="00721924"/>
    <w:rsid w:val="00721987"/>
    <w:rsid w:val="00721BAF"/>
    <w:rsid w:val="00721CA9"/>
    <w:rsid w:val="00721D5D"/>
    <w:rsid w:val="00721E88"/>
    <w:rsid w:val="00722069"/>
    <w:rsid w:val="00722086"/>
    <w:rsid w:val="0072217B"/>
    <w:rsid w:val="0072218F"/>
    <w:rsid w:val="007221FE"/>
    <w:rsid w:val="007222C4"/>
    <w:rsid w:val="0072235F"/>
    <w:rsid w:val="0072246C"/>
    <w:rsid w:val="007224F7"/>
    <w:rsid w:val="00722593"/>
    <w:rsid w:val="007225F1"/>
    <w:rsid w:val="007226EF"/>
    <w:rsid w:val="007227B8"/>
    <w:rsid w:val="00722917"/>
    <w:rsid w:val="00722991"/>
    <w:rsid w:val="00722A29"/>
    <w:rsid w:val="00722A57"/>
    <w:rsid w:val="00722AD4"/>
    <w:rsid w:val="00722B27"/>
    <w:rsid w:val="00722B54"/>
    <w:rsid w:val="00722BD1"/>
    <w:rsid w:val="00723053"/>
    <w:rsid w:val="0072311C"/>
    <w:rsid w:val="0072327C"/>
    <w:rsid w:val="007232C0"/>
    <w:rsid w:val="00723489"/>
    <w:rsid w:val="00723556"/>
    <w:rsid w:val="007235BF"/>
    <w:rsid w:val="00723631"/>
    <w:rsid w:val="00723696"/>
    <w:rsid w:val="007237BB"/>
    <w:rsid w:val="00723849"/>
    <w:rsid w:val="00723AA6"/>
    <w:rsid w:val="00723B6D"/>
    <w:rsid w:val="00723BB6"/>
    <w:rsid w:val="00723C0B"/>
    <w:rsid w:val="00723D23"/>
    <w:rsid w:val="00723E66"/>
    <w:rsid w:val="00723F0A"/>
    <w:rsid w:val="0072404B"/>
    <w:rsid w:val="007240A5"/>
    <w:rsid w:val="007242D6"/>
    <w:rsid w:val="00724427"/>
    <w:rsid w:val="007244D7"/>
    <w:rsid w:val="0072461F"/>
    <w:rsid w:val="00724620"/>
    <w:rsid w:val="0072480A"/>
    <w:rsid w:val="007248A0"/>
    <w:rsid w:val="00724980"/>
    <w:rsid w:val="00724A03"/>
    <w:rsid w:val="00724A7F"/>
    <w:rsid w:val="00724B45"/>
    <w:rsid w:val="00724C54"/>
    <w:rsid w:val="00724D05"/>
    <w:rsid w:val="00724DAF"/>
    <w:rsid w:val="00724F18"/>
    <w:rsid w:val="00724FF7"/>
    <w:rsid w:val="00725027"/>
    <w:rsid w:val="00725126"/>
    <w:rsid w:val="0072521C"/>
    <w:rsid w:val="00725480"/>
    <w:rsid w:val="007256B7"/>
    <w:rsid w:val="0072573D"/>
    <w:rsid w:val="00725AD7"/>
    <w:rsid w:val="00725BD9"/>
    <w:rsid w:val="00725BE4"/>
    <w:rsid w:val="00725D61"/>
    <w:rsid w:val="00725E1A"/>
    <w:rsid w:val="00725EF6"/>
    <w:rsid w:val="0072600C"/>
    <w:rsid w:val="00726288"/>
    <w:rsid w:val="007266CA"/>
    <w:rsid w:val="00726752"/>
    <w:rsid w:val="0072687D"/>
    <w:rsid w:val="007268A5"/>
    <w:rsid w:val="0072695A"/>
    <w:rsid w:val="00726BFA"/>
    <w:rsid w:val="00726C99"/>
    <w:rsid w:val="00726CDF"/>
    <w:rsid w:val="00726D22"/>
    <w:rsid w:val="00726E2B"/>
    <w:rsid w:val="00726E48"/>
    <w:rsid w:val="007270D5"/>
    <w:rsid w:val="0072716F"/>
    <w:rsid w:val="0072721F"/>
    <w:rsid w:val="00727334"/>
    <w:rsid w:val="00727592"/>
    <w:rsid w:val="007276F3"/>
    <w:rsid w:val="0072781F"/>
    <w:rsid w:val="00727989"/>
    <w:rsid w:val="0072798C"/>
    <w:rsid w:val="007279BF"/>
    <w:rsid w:val="00727A03"/>
    <w:rsid w:val="00727FBB"/>
    <w:rsid w:val="00730170"/>
    <w:rsid w:val="0073030F"/>
    <w:rsid w:val="00730347"/>
    <w:rsid w:val="0073044D"/>
    <w:rsid w:val="0073051D"/>
    <w:rsid w:val="00730585"/>
    <w:rsid w:val="007305D3"/>
    <w:rsid w:val="00730601"/>
    <w:rsid w:val="00730913"/>
    <w:rsid w:val="00730DFF"/>
    <w:rsid w:val="00730F6F"/>
    <w:rsid w:val="00730FE5"/>
    <w:rsid w:val="0073143A"/>
    <w:rsid w:val="00731804"/>
    <w:rsid w:val="00731853"/>
    <w:rsid w:val="00731A60"/>
    <w:rsid w:val="00731A91"/>
    <w:rsid w:val="00731E11"/>
    <w:rsid w:val="0073208C"/>
    <w:rsid w:val="007320D1"/>
    <w:rsid w:val="007320DB"/>
    <w:rsid w:val="007323AA"/>
    <w:rsid w:val="00732541"/>
    <w:rsid w:val="0073254E"/>
    <w:rsid w:val="00732678"/>
    <w:rsid w:val="0073277B"/>
    <w:rsid w:val="007327DB"/>
    <w:rsid w:val="0073281D"/>
    <w:rsid w:val="0073290F"/>
    <w:rsid w:val="0073295B"/>
    <w:rsid w:val="00732A5B"/>
    <w:rsid w:val="00732AB9"/>
    <w:rsid w:val="00732B10"/>
    <w:rsid w:val="00732C9D"/>
    <w:rsid w:val="00732D8B"/>
    <w:rsid w:val="00732DCD"/>
    <w:rsid w:val="00732EC9"/>
    <w:rsid w:val="0073305A"/>
    <w:rsid w:val="007330FB"/>
    <w:rsid w:val="00733341"/>
    <w:rsid w:val="007337D7"/>
    <w:rsid w:val="00733A44"/>
    <w:rsid w:val="00733B05"/>
    <w:rsid w:val="00733E5C"/>
    <w:rsid w:val="00733FB0"/>
    <w:rsid w:val="0073405A"/>
    <w:rsid w:val="0073418D"/>
    <w:rsid w:val="007342ED"/>
    <w:rsid w:val="00734331"/>
    <w:rsid w:val="00734384"/>
    <w:rsid w:val="00734392"/>
    <w:rsid w:val="007343AD"/>
    <w:rsid w:val="007343CB"/>
    <w:rsid w:val="007343D7"/>
    <w:rsid w:val="00734444"/>
    <w:rsid w:val="00734462"/>
    <w:rsid w:val="00734492"/>
    <w:rsid w:val="007347B5"/>
    <w:rsid w:val="00734884"/>
    <w:rsid w:val="0073496D"/>
    <w:rsid w:val="007349FA"/>
    <w:rsid w:val="00734AC2"/>
    <w:rsid w:val="00734DD3"/>
    <w:rsid w:val="00734FD0"/>
    <w:rsid w:val="00735086"/>
    <w:rsid w:val="00735263"/>
    <w:rsid w:val="007359A2"/>
    <w:rsid w:val="00735E69"/>
    <w:rsid w:val="00735F38"/>
    <w:rsid w:val="007360A8"/>
    <w:rsid w:val="007360D1"/>
    <w:rsid w:val="00736332"/>
    <w:rsid w:val="00736387"/>
    <w:rsid w:val="007363EB"/>
    <w:rsid w:val="00736573"/>
    <w:rsid w:val="007366EB"/>
    <w:rsid w:val="007368CF"/>
    <w:rsid w:val="0073697D"/>
    <w:rsid w:val="007369E6"/>
    <w:rsid w:val="00736A3F"/>
    <w:rsid w:val="00736B2C"/>
    <w:rsid w:val="00736B49"/>
    <w:rsid w:val="00736C06"/>
    <w:rsid w:val="00736C88"/>
    <w:rsid w:val="00736DDF"/>
    <w:rsid w:val="00736F1A"/>
    <w:rsid w:val="00736FA8"/>
    <w:rsid w:val="007374CB"/>
    <w:rsid w:val="007375F8"/>
    <w:rsid w:val="00737743"/>
    <w:rsid w:val="007379E9"/>
    <w:rsid w:val="00737D20"/>
    <w:rsid w:val="0074001C"/>
    <w:rsid w:val="007401D2"/>
    <w:rsid w:val="00740374"/>
    <w:rsid w:val="007405FE"/>
    <w:rsid w:val="007407D4"/>
    <w:rsid w:val="00740809"/>
    <w:rsid w:val="007408DA"/>
    <w:rsid w:val="00740A0E"/>
    <w:rsid w:val="00740A3E"/>
    <w:rsid w:val="00740C18"/>
    <w:rsid w:val="00740C8A"/>
    <w:rsid w:val="00740DD8"/>
    <w:rsid w:val="00740DDB"/>
    <w:rsid w:val="00740E06"/>
    <w:rsid w:val="00741042"/>
    <w:rsid w:val="0074134D"/>
    <w:rsid w:val="00741367"/>
    <w:rsid w:val="007414AE"/>
    <w:rsid w:val="00741582"/>
    <w:rsid w:val="00741968"/>
    <w:rsid w:val="00741A87"/>
    <w:rsid w:val="00741B95"/>
    <w:rsid w:val="00741D3C"/>
    <w:rsid w:val="00741D73"/>
    <w:rsid w:val="00741E0D"/>
    <w:rsid w:val="00741F16"/>
    <w:rsid w:val="0074204F"/>
    <w:rsid w:val="007421F1"/>
    <w:rsid w:val="0074228D"/>
    <w:rsid w:val="007422EB"/>
    <w:rsid w:val="00742327"/>
    <w:rsid w:val="0074234F"/>
    <w:rsid w:val="00742539"/>
    <w:rsid w:val="0074286B"/>
    <w:rsid w:val="007429E0"/>
    <w:rsid w:val="00742AA7"/>
    <w:rsid w:val="00742C0B"/>
    <w:rsid w:val="007430EB"/>
    <w:rsid w:val="007431D7"/>
    <w:rsid w:val="00743346"/>
    <w:rsid w:val="007433DC"/>
    <w:rsid w:val="0074341E"/>
    <w:rsid w:val="00743538"/>
    <w:rsid w:val="007435CD"/>
    <w:rsid w:val="007437AF"/>
    <w:rsid w:val="0074384A"/>
    <w:rsid w:val="00743ADF"/>
    <w:rsid w:val="00743BBF"/>
    <w:rsid w:val="00743C0A"/>
    <w:rsid w:val="00743C63"/>
    <w:rsid w:val="00743CE7"/>
    <w:rsid w:val="00743DEA"/>
    <w:rsid w:val="00743EBF"/>
    <w:rsid w:val="00743FF1"/>
    <w:rsid w:val="00744053"/>
    <w:rsid w:val="00744089"/>
    <w:rsid w:val="00744473"/>
    <w:rsid w:val="00744751"/>
    <w:rsid w:val="007447E2"/>
    <w:rsid w:val="00744845"/>
    <w:rsid w:val="0074491D"/>
    <w:rsid w:val="00744976"/>
    <w:rsid w:val="00744986"/>
    <w:rsid w:val="007449B5"/>
    <w:rsid w:val="007449F4"/>
    <w:rsid w:val="00744A8A"/>
    <w:rsid w:val="00744ACB"/>
    <w:rsid w:val="00744B41"/>
    <w:rsid w:val="00744BC8"/>
    <w:rsid w:val="00744C94"/>
    <w:rsid w:val="00744EB8"/>
    <w:rsid w:val="00744FE7"/>
    <w:rsid w:val="00745759"/>
    <w:rsid w:val="007457D1"/>
    <w:rsid w:val="00745AC3"/>
    <w:rsid w:val="00745C32"/>
    <w:rsid w:val="00745C46"/>
    <w:rsid w:val="00745CE3"/>
    <w:rsid w:val="00745D2D"/>
    <w:rsid w:val="00745DC0"/>
    <w:rsid w:val="00745E38"/>
    <w:rsid w:val="00746334"/>
    <w:rsid w:val="00746358"/>
    <w:rsid w:val="0074664D"/>
    <w:rsid w:val="00746A82"/>
    <w:rsid w:val="00746BBD"/>
    <w:rsid w:val="00746CFF"/>
    <w:rsid w:val="00746DAC"/>
    <w:rsid w:val="00746E5B"/>
    <w:rsid w:val="00746F8E"/>
    <w:rsid w:val="007470AD"/>
    <w:rsid w:val="007471F9"/>
    <w:rsid w:val="00747614"/>
    <w:rsid w:val="00747619"/>
    <w:rsid w:val="00747727"/>
    <w:rsid w:val="00747761"/>
    <w:rsid w:val="007478F1"/>
    <w:rsid w:val="007478F3"/>
    <w:rsid w:val="007479C9"/>
    <w:rsid w:val="00747DBE"/>
    <w:rsid w:val="00747DD7"/>
    <w:rsid w:val="00747F3E"/>
    <w:rsid w:val="0075004B"/>
    <w:rsid w:val="0075005D"/>
    <w:rsid w:val="00750087"/>
    <w:rsid w:val="00750233"/>
    <w:rsid w:val="00750361"/>
    <w:rsid w:val="00750676"/>
    <w:rsid w:val="007506D9"/>
    <w:rsid w:val="0075082D"/>
    <w:rsid w:val="00750A07"/>
    <w:rsid w:val="00750A40"/>
    <w:rsid w:val="00750B0F"/>
    <w:rsid w:val="00750C38"/>
    <w:rsid w:val="00750DBC"/>
    <w:rsid w:val="00750E92"/>
    <w:rsid w:val="00750F89"/>
    <w:rsid w:val="00750FE3"/>
    <w:rsid w:val="00751228"/>
    <w:rsid w:val="0075124C"/>
    <w:rsid w:val="0075136C"/>
    <w:rsid w:val="007514C2"/>
    <w:rsid w:val="007514CA"/>
    <w:rsid w:val="0075163D"/>
    <w:rsid w:val="007516F8"/>
    <w:rsid w:val="007517AC"/>
    <w:rsid w:val="00751953"/>
    <w:rsid w:val="007519F6"/>
    <w:rsid w:val="00751B11"/>
    <w:rsid w:val="00751CA7"/>
    <w:rsid w:val="00751D6D"/>
    <w:rsid w:val="00751E0A"/>
    <w:rsid w:val="00751E5F"/>
    <w:rsid w:val="00751EBE"/>
    <w:rsid w:val="00751FEA"/>
    <w:rsid w:val="00752007"/>
    <w:rsid w:val="0075200E"/>
    <w:rsid w:val="00752131"/>
    <w:rsid w:val="00752335"/>
    <w:rsid w:val="007524E2"/>
    <w:rsid w:val="00752555"/>
    <w:rsid w:val="007526B2"/>
    <w:rsid w:val="0075272E"/>
    <w:rsid w:val="00752788"/>
    <w:rsid w:val="00752814"/>
    <w:rsid w:val="00752D96"/>
    <w:rsid w:val="00752DD7"/>
    <w:rsid w:val="00752EA1"/>
    <w:rsid w:val="00752FBA"/>
    <w:rsid w:val="0075302B"/>
    <w:rsid w:val="007533F8"/>
    <w:rsid w:val="0075368F"/>
    <w:rsid w:val="007536D6"/>
    <w:rsid w:val="0075387F"/>
    <w:rsid w:val="00753934"/>
    <w:rsid w:val="00753C7E"/>
    <w:rsid w:val="00753D60"/>
    <w:rsid w:val="00753F3D"/>
    <w:rsid w:val="00753FC5"/>
    <w:rsid w:val="00754028"/>
    <w:rsid w:val="0075423E"/>
    <w:rsid w:val="0075440B"/>
    <w:rsid w:val="007544A5"/>
    <w:rsid w:val="0075470B"/>
    <w:rsid w:val="00754900"/>
    <w:rsid w:val="007549AF"/>
    <w:rsid w:val="00754D67"/>
    <w:rsid w:val="00754DCD"/>
    <w:rsid w:val="00754EB5"/>
    <w:rsid w:val="00755195"/>
    <w:rsid w:val="007551D4"/>
    <w:rsid w:val="00755200"/>
    <w:rsid w:val="007554E2"/>
    <w:rsid w:val="00755542"/>
    <w:rsid w:val="007559CB"/>
    <w:rsid w:val="007559E5"/>
    <w:rsid w:val="007559FD"/>
    <w:rsid w:val="00755B34"/>
    <w:rsid w:val="00755CEB"/>
    <w:rsid w:val="00755D32"/>
    <w:rsid w:val="00755EA0"/>
    <w:rsid w:val="007561B3"/>
    <w:rsid w:val="007561E3"/>
    <w:rsid w:val="007561F5"/>
    <w:rsid w:val="007562EA"/>
    <w:rsid w:val="00756443"/>
    <w:rsid w:val="00756564"/>
    <w:rsid w:val="007567AC"/>
    <w:rsid w:val="00756835"/>
    <w:rsid w:val="00756856"/>
    <w:rsid w:val="00756871"/>
    <w:rsid w:val="00756A3E"/>
    <w:rsid w:val="00756A6B"/>
    <w:rsid w:val="00756B08"/>
    <w:rsid w:val="00756BC6"/>
    <w:rsid w:val="00757005"/>
    <w:rsid w:val="00757151"/>
    <w:rsid w:val="00757155"/>
    <w:rsid w:val="007571CC"/>
    <w:rsid w:val="00757592"/>
    <w:rsid w:val="0075761C"/>
    <w:rsid w:val="007576A5"/>
    <w:rsid w:val="0075770D"/>
    <w:rsid w:val="0075775D"/>
    <w:rsid w:val="00757788"/>
    <w:rsid w:val="007577F2"/>
    <w:rsid w:val="007579E9"/>
    <w:rsid w:val="00757A14"/>
    <w:rsid w:val="00757CAA"/>
    <w:rsid w:val="00757E31"/>
    <w:rsid w:val="00757EFC"/>
    <w:rsid w:val="00757F55"/>
    <w:rsid w:val="00760153"/>
    <w:rsid w:val="007603B6"/>
    <w:rsid w:val="00760407"/>
    <w:rsid w:val="007604AB"/>
    <w:rsid w:val="007604CD"/>
    <w:rsid w:val="0076079C"/>
    <w:rsid w:val="007607D6"/>
    <w:rsid w:val="007608BF"/>
    <w:rsid w:val="007608FD"/>
    <w:rsid w:val="00760ACE"/>
    <w:rsid w:val="00760CC0"/>
    <w:rsid w:val="00760DC7"/>
    <w:rsid w:val="00760DED"/>
    <w:rsid w:val="00760F3C"/>
    <w:rsid w:val="0076104B"/>
    <w:rsid w:val="00761069"/>
    <w:rsid w:val="0076127C"/>
    <w:rsid w:val="007612D8"/>
    <w:rsid w:val="00761490"/>
    <w:rsid w:val="0076153E"/>
    <w:rsid w:val="0076171B"/>
    <w:rsid w:val="00761724"/>
    <w:rsid w:val="0076186A"/>
    <w:rsid w:val="0076187D"/>
    <w:rsid w:val="00761B20"/>
    <w:rsid w:val="00761DDF"/>
    <w:rsid w:val="00761DE0"/>
    <w:rsid w:val="0076203B"/>
    <w:rsid w:val="00762359"/>
    <w:rsid w:val="007624F6"/>
    <w:rsid w:val="0076258E"/>
    <w:rsid w:val="007625FB"/>
    <w:rsid w:val="0076268A"/>
    <w:rsid w:val="007627FD"/>
    <w:rsid w:val="00762968"/>
    <w:rsid w:val="00762B87"/>
    <w:rsid w:val="00762EBE"/>
    <w:rsid w:val="00762F4F"/>
    <w:rsid w:val="00762FAE"/>
    <w:rsid w:val="007631AE"/>
    <w:rsid w:val="007631E9"/>
    <w:rsid w:val="007633BA"/>
    <w:rsid w:val="00763488"/>
    <w:rsid w:val="007636F0"/>
    <w:rsid w:val="00763929"/>
    <w:rsid w:val="00763984"/>
    <w:rsid w:val="007639A0"/>
    <w:rsid w:val="007639C9"/>
    <w:rsid w:val="00763B05"/>
    <w:rsid w:val="00763B11"/>
    <w:rsid w:val="00763DA1"/>
    <w:rsid w:val="00763DBC"/>
    <w:rsid w:val="00763DCD"/>
    <w:rsid w:val="00763E66"/>
    <w:rsid w:val="00763F60"/>
    <w:rsid w:val="00764092"/>
    <w:rsid w:val="007640B2"/>
    <w:rsid w:val="00764111"/>
    <w:rsid w:val="007641D3"/>
    <w:rsid w:val="00764224"/>
    <w:rsid w:val="0076424F"/>
    <w:rsid w:val="007642F6"/>
    <w:rsid w:val="007644BC"/>
    <w:rsid w:val="007644CB"/>
    <w:rsid w:val="00764616"/>
    <w:rsid w:val="00764AD5"/>
    <w:rsid w:val="00764B9E"/>
    <w:rsid w:val="00764C07"/>
    <w:rsid w:val="00764ED1"/>
    <w:rsid w:val="00764F05"/>
    <w:rsid w:val="00765193"/>
    <w:rsid w:val="007651C7"/>
    <w:rsid w:val="007652B0"/>
    <w:rsid w:val="007652BA"/>
    <w:rsid w:val="00765387"/>
    <w:rsid w:val="00765439"/>
    <w:rsid w:val="007656B6"/>
    <w:rsid w:val="007657D5"/>
    <w:rsid w:val="0076582F"/>
    <w:rsid w:val="0076589E"/>
    <w:rsid w:val="00765937"/>
    <w:rsid w:val="00765945"/>
    <w:rsid w:val="00765F90"/>
    <w:rsid w:val="0076667C"/>
    <w:rsid w:val="0076673A"/>
    <w:rsid w:val="0076682C"/>
    <w:rsid w:val="00766B1F"/>
    <w:rsid w:val="00766CE0"/>
    <w:rsid w:val="00766D32"/>
    <w:rsid w:val="00766DC0"/>
    <w:rsid w:val="00766F5C"/>
    <w:rsid w:val="00767046"/>
    <w:rsid w:val="00767475"/>
    <w:rsid w:val="00767688"/>
    <w:rsid w:val="007676D6"/>
    <w:rsid w:val="007679F6"/>
    <w:rsid w:val="00767B3F"/>
    <w:rsid w:val="00767CFA"/>
    <w:rsid w:val="00767E2B"/>
    <w:rsid w:val="00767FA4"/>
    <w:rsid w:val="00767FE9"/>
    <w:rsid w:val="007700DD"/>
    <w:rsid w:val="0077016E"/>
    <w:rsid w:val="007701E8"/>
    <w:rsid w:val="007703D5"/>
    <w:rsid w:val="0077057B"/>
    <w:rsid w:val="00770639"/>
    <w:rsid w:val="00770695"/>
    <w:rsid w:val="0077069D"/>
    <w:rsid w:val="007709FB"/>
    <w:rsid w:val="00770B24"/>
    <w:rsid w:val="00770B3A"/>
    <w:rsid w:val="00770DA7"/>
    <w:rsid w:val="00770DD0"/>
    <w:rsid w:val="00770EEA"/>
    <w:rsid w:val="00770F2D"/>
    <w:rsid w:val="0077105E"/>
    <w:rsid w:val="00771061"/>
    <w:rsid w:val="007710CC"/>
    <w:rsid w:val="0077164E"/>
    <w:rsid w:val="00771707"/>
    <w:rsid w:val="00771921"/>
    <w:rsid w:val="00771AB4"/>
    <w:rsid w:val="00771B4F"/>
    <w:rsid w:val="00771BCB"/>
    <w:rsid w:val="00771CA1"/>
    <w:rsid w:val="00771F0D"/>
    <w:rsid w:val="007720DA"/>
    <w:rsid w:val="00772290"/>
    <w:rsid w:val="00772371"/>
    <w:rsid w:val="007723DF"/>
    <w:rsid w:val="00772445"/>
    <w:rsid w:val="0077245F"/>
    <w:rsid w:val="007724AF"/>
    <w:rsid w:val="007724FC"/>
    <w:rsid w:val="007725AC"/>
    <w:rsid w:val="0077268D"/>
    <w:rsid w:val="007726C6"/>
    <w:rsid w:val="00772917"/>
    <w:rsid w:val="007729B6"/>
    <w:rsid w:val="00772AE1"/>
    <w:rsid w:val="00772B7B"/>
    <w:rsid w:val="00772C20"/>
    <w:rsid w:val="00773068"/>
    <w:rsid w:val="0077339B"/>
    <w:rsid w:val="007735BE"/>
    <w:rsid w:val="007735C0"/>
    <w:rsid w:val="007735CB"/>
    <w:rsid w:val="00773770"/>
    <w:rsid w:val="007737BE"/>
    <w:rsid w:val="007739C8"/>
    <w:rsid w:val="00773C55"/>
    <w:rsid w:val="00773F1E"/>
    <w:rsid w:val="00773F6A"/>
    <w:rsid w:val="00773F7D"/>
    <w:rsid w:val="0077407F"/>
    <w:rsid w:val="007740D3"/>
    <w:rsid w:val="0077432B"/>
    <w:rsid w:val="0077433D"/>
    <w:rsid w:val="00774499"/>
    <w:rsid w:val="0077450F"/>
    <w:rsid w:val="0077459D"/>
    <w:rsid w:val="007746D3"/>
    <w:rsid w:val="00774767"/>
    <w:rsid w:val="0077478F"/>
    <w:rsid w:val="00774791"/>
    <w:rsid w:val="00774893"/>
    <w:rsid w:val="007748C9"/>
    <w:rsid w:val="007749DC"/>
    <w:rsid w:val="00774AF4"/>
    <w:rsid w:val="00774BA7"/>
    <w:rsid w:val="00774E2A"/>
    <w:rsid w:val="00774EFF"/>
    <w:rsid w:val="00774F45"/>
    <w:rsid w:val="00774F69"/>
    <w:rsid w:val="00774FED"/>
    <w:rsid w:val="00775129"/>
    <w:rsid w:val="00775183"/>
    <w:rsid w:val="0077522E"/>
    <w:rsid w:val="0077523C"/>
    <w:rsid w:val="00775259"/>
    <w:rsid w:val="007754AB"/>
    <w:rsid w:val="007754AE"/>
    <w:rsid w:val="00775633"/>
    <w:rsid w:val="00775B19"/>
    <w:rsid w:val="00775B8E"/>
    <w:rsid w:val="00775C12"/>
    <w:rsid w:val="00775D6A"/>
    <w:rsid w:val="00775EC9"/>
    <w:rsid w:val="00776155"/>
    <w:rsid w:val="007761DC"/>
    <w:rsid w:val="007762DA"/>
    <w:rsid w:val="007763C3"/>
    <w:rsid w:val="00776505"/>
    <w:rsid w:val="0077655A"/>
    <w:rsid w:val="00776794"/>
    <w:rsid w:val="007768E7"/>
    <w:rsid w:val="00776913"/>
    <w:rsid w:val="00776A59"/>
    <w:rsid w:val="00776AE5"/>
    <w:rsid w:val="00776C85"/>
    <w:rsid w:val="00777430"/>
    <w:rsid w:val="0077743B"/>
    <w:rsid w:val="007774EB"/>
    <w:rsid w:val="0077769A"/>
    <w:rsid w:val="0077778E"/>
    <w:rsid w:val="007777AF"/>
    <w:rsid w:val="007778EE"/>
    <w:rsid w:val="0077795E"/>
    <w:rsid w:val="00777998"/>
    <w:rsid w:val="00777CA1"/>
    <w:rsid w:val="00777D8B"/>
    <w:rsid w:val="00777EE5"/>
    <w:rsid w:val="00777F82"/>
    <w:rsid w:val="007801F9"/>
    <w:rsid w:val="00780551"/>
    <w:rsid w:val="007808D7"/>
    <w:rsid w:val="00780A07"/>
    <w:rsid w:val="00780A7A"/>
    <w:rsid w:val="00780B4A"/>
    <w:rsid w:val="00780C36"/>
    <w:rsid w:val="00780FD5"/>
    <w:rsid w:val="00780FF1"/>
    <w:rsid w:val="007810E5"/>
    <w:rsid w:val="007812BE"/>
    <w:rsid w:val="007813AC"/>
    <w:rsid w:val="00781413"/>
    <w:rsid w:val="007815CE"/>
    <w:rsid w:val="00781666"/>
    <w:rsid w:val="007816FA"/>
    <w:rsid w:val="00781738"/>
    <w:rsid w:val="00781BCE"/>
    <w:rsid w:val="00781C9C"/>
    <w:rsid w:val="00781CFC"/>
    <w:rsid w:val="00781FDC"/>
    <w:rsid w:val="00782108"/>
    <w:rsid w:val="0078256B"/>
    <w:rsid w:val="00782585"/>
    <w:rsid w:val="00782632"/>
    <w:rsid w:val="007827AE"/>
    <w:rsid w:val="007828FF"/>
    <w:rsid w:val="00782942"/>
    <w:rsid w:val="00782A00"/>
    <w:rsid w:val="00782B0C"/>
    <w:rsid w:val="00782E37"/>
    <w:rsid w:val="00782ED0"/>
    <w:rsid w:val="00782F8C"/>
    <w:rsid w:val="007831B5"/>
    <w:rsid w:val="007832E0"/>
    <w:rsid w:val="007832FB"/>
    <w:rsid w:val="00783304"/>
    <w:rsid w:val="00783365"/>
    <w:rsid w:val="00783370"/>
    <w:rsid w:val="007835D7"/>
    <w:rsid w:val="00783601"/>
    <w:rsid w:val="007836CB"/>
    <w:rsid w:val="00783AB2"/>
    <w:rsid w:val="00783AC7"/>
    <w:rsid w:val="00783BF4"/>
    <w:rsid w:val="00783CBE"/>
    <w:rsid w:val="00783CDE"/>
    <w:rsid w:val="00783F5B"/>
    <w:rsid w:val="00784153"/>
    <w:rsid w:val="007847AD"/>
    <w:rsid w:val="007848DA"/>
    <w:rsid w:val="0078491C"/>
    <w:rsid w:val="00784C61"/>
    <w:rsid w:val="00784D61"/>
    <w:rsid w:val="00784ECC"/>
    <w:rsid w:val="00784FD8"/>
    <w:rsid w:val="007850EC"/>
    <w:rsid w:val="0078540B"/>
    <w:rsid w:val="0078540C"/>
    <w:rsid w:val="007855F9"/>
    <w:rsid w:val="00785776"/>
    <w:rsid w:val="007857BE"/>
    <w:rsid w:val="007857E7"/>
    <w:rsid w:val="00785A2F"/>
    <w:rsid w:val="00785C09"/>
    <w:rsid w:val="00785DEA"/>
    <w:rsid w:val="007860B9"/>
    <w:rsid w:val="00786250"/>
    <w:rsid w:val="0078626A"/>
    <w:rsid w:val="007862E9"/>
    <w:rsid w:val="00786358"/>
    <w:rsid w:val="007863B9"/>
    <w:rsid w:val="007864AB"/>
    <w:rsid w:val="007864D6"/>
    <w:rsid w:val="00786578"/>
    <w:rsid w:val="00786791"/>
    <w:rsid w:val="007868EC"/>
    <w:rsid w:val="007869D6"/>
    <w:rsid w:val="00786ABD"/>
    <w:rsid w:val="00786BCE"/>
    <w:rsid w:val="00786DBF"/>
    <w:rsid w:val="00786F84"/>
    <w:rsid w:val="00786FD4"/>
    <w:rsid w:val="00787165"/>
    <w:rsid w:val="007873EE"/>
    <w:rsid w:val="00787430"/>
    <w:rsid w:val="0078745A"/>
    <w:rsid w:val="0078748E"/>
    <w:rsid w:val="007875A4"/>
    <w:rsid w:val="00787624"/>
    <w:rsid w:val="00787734"/>
    <w:rsid w:val="007877D1"/>
    <w:rsid w:val="00787857"/>
    <w:rsid w:val="00787A9B"/>
    <w:rsid w:val="00787AF8"/>
    <w:rsid w:val="00787B45"/>
    <w:rsid w:val="00787EE6"/>
    <w:rsid w:val="00790176"/>
    <w:rsid w:val="007903A3"/>
    <w:rsid w:val="007904A4"/>
    <w:rsid w:val="007908C5"/>
    <w:rsid w:val="00790983"/>
    <w:rsid w:val="00790BBC"/>
    <w:rsid w:val="00790E65"/>
    <w:rsid w:val="00790EE5"/>
    <w:rsid w:val="0079133B"/>
    <w:rsid w:val="0079169E"/>
    <w:rsid w:val="007916EF"/>
    <w:rsid w:val="00791B66"/>
    <w:rsid w:val="00791ED1"/>
    <w:rsid w:val="00792065"/>
    <w:rsid w:val="00792136"/>
    <w:rsid w:val="00792427"/>
    <w:rsid w:val="00792614"/>
    <w:rsid w:val="00792660"/>
    <w:rsid w:val="007927DB"/>
    <w:rsid w:val="007929A9"/>
    <w:rsid w:val="007929C1"/>
    <w:rsid w:val="00792FE2"/>
    <w:rsid w:val="007930B3"/>
    <w:rsid w:val="0079315F"/>
    <w:rsid w:val="0079325E"/>
    <w:rsid w:val="007932B6"/>
    <w:rsid w:val="0079331A"/>
    <w:rsid w:val="007934B8"/>
    <w:rsid w:val="00793553"/>
    <w:rsid w:val="00793651"/>
    <w:rsid w:val="0079377B"/>
    <w:rsid w:val="0079390F"/>
    <w:rsid w:val="00793917"/>
    <w:rsid w:val="007939BF"/>
    <w:rsid w:val="00793AAC"/>
    <w:rsid w:val="00793B01"/>
    <w:rsid w:val="00793BAD"/>
    <w:rsid w:val="00793CCE"/>
    <w:rsid w:val="00793E62"/>
    <w:rsid w:val="00793E97"/>
    <w:rsid w:val="007941B3"/>
    <w:rsid w:val="00794348"/>
    <w:rsid w:val="00794384"/>
    <w:rsid w:val="00794493"/>
    <w:rsid w:val="007945D7"/>
    <w:rsid w:val="007945D8"/>
    <w:rsid w:val="0079463F"/>
    <w:rsid w:val="007949B1"/>
    <w:rsid w:val="00794A65"/>
    <w:rsid w:val="00794CA0"/>
    <w:rsid w:val="00794E9E"/>
    <w:rsid w:val="007950AC"/>
    <w:rsid w:val="007951B0"/>
    <w:rsid w:val="007952D3"/>
    <w:rsid w:val="007952F5"/>
    <w:rsid w:val="007953A8"/>
    <w:rsid w:val="007956BF"/>
    <w:rsid w:val="00795A11"/>
    <w:rsid w:val="00795AEC"/>
    <w:rsid w:val="00795B6D"/>
    <w:rsid w:val="00795BC0"/>
    <w:rsid w:val="00795CA4"/>
    <w:rsid w:val="00795D23"/>
    <w:rsid w:val="00795D30"/>
    <w:rsid w:val="00795E85"/>
    <w:rsid w:val="00795F79"/>
    <w:rsid w:val="00796012"/>
    <w:rsid w:val="0079605F"/>
    <w:rsid w:val="007961A6"/>
    <w:rsid w:val="007961E2"/>
    <w:rsid w:val="00796320"/>
    <w:rsid w:val="00796372"/>
    <w:rsid w:val="007964EC"/>
    <w:rsid w:val="007965F9"/>
    <w:rsid w:val="0079686C"/>
    <w:rsid w:val="00796A5A"/>
    <w:rsid w:val="00796FB9"/>
    <w:rsid w:val="0079708F"/>
    <w:rsid w:val="007970B5"/>
    <w:rsid w:val="00797173"/>
    <w:rsid w:val="0079737A"/>
    <w:rsid w:val="007973EA"/>
    <w:rsid w:val="00797520"/>
    <w:rsid w:val="0079777A"/>
    <w:rsid w:val="007978C8"/>
    <w:rsid w:val="00797912"/>
    <w:rsid w:val="0079795F"/>
    <w:rsid w:val="00797A64"/>
    <w:rsid w:val="00797A6C"/>
    <w:rsid w:val="007A0088"/>
    <w:rsid w:val="007A00EF"/>
    <w:rsid w:val="007A0144"/>
    <w:rsid w:val="007A030B"/>
    <w:rsid w:val="007A03D3"/>
    <w:rsid w:val="007A081D"/>
    <w:rsid w:val="007A0AB7"/>
    <w:rsid w:val="007A0AFA"/>
    <w:rsid w:val="007A0B9A"/>
    <w:rsid w:val="007A0EEF"/>
    <w:rsid w:val="007A0FD9"/>
    <w:rsid w:val="007A1042"/>
    <w:rsid w:val="007A1090"/>
    <w:rsid w:val="007A1356"/>
    <w:rsid w:val="007A14EF"/>
    <w:rsid w:val="007A157F"/>
    <w:rsid w:val="007A1ACE"/>
    <w:rsid w:val="007A1B28"/>
    <w:rsid w:val="007A1BF7"/>
    <w:rsid w:val="007A1C06"/>
    <w:rsid w:val="007A1D5F"/>
    <w:rsid w:val="007A1EFC"/>
    <w:rsid w:val="007A1FA3"/>
    <w:rsid w:val="007A1FD0"/>
    <w:rsid w:val="007A200D"/>
    <w:rsid w:val="007A22FA"/>
    <w:rsid w:val="007A2323"/>
    <w:rsid w:val="007A2395"/>
    <w:rsid w:val="007A2480"/>
    <w:rsid w:val="007A282F"/>
    <w:rsid w:val="007A2A6A"/>
    <w:rsid w:val="007A2DAC"/>
    <w:rsid w:val="007A3075"/>
    <w:rsid w:val="007A3087"/>
    <w:rsid w:val="007A31DB"/>
    <w:rsid w:val="007A323E"/>
    <w:rsid w:val="007A325A"/>
    <w:rsid w:val="007A32D5"/>
    <w:rsid w:val="007A33E2"/>
    <w:rsid w:val="007A34BA"/>
    <w:rsid w:val="007A35DD"/>
    <w:rsid w:val="007A3602"/>
    <w:rsid w:val="007A360E"/>
    <w:rsid w:val="007A38E7"/>
    <w:rsid w:val="007A38ED"/>
    <w:rsid w:val="007A3A54"/>
    <w:rsid w:val="007A3D0A"/>
    <w:rsid w:val="007A3E59"/>
    <w:rsid w:val="007A3FE4"/>
    <w:rsid w:val="007A3FFA"/>
    <w:rsid w:val="007A41D3"/>
    <w:rsid w:val="007A42DA"/>
    <w:rsid w:val="007A4466"/>
    <w:rsid w:val="007A46DC"/>
    <w:rsid w:val="007A4885"/>
    <w:rsid w:val="007A4902"/>
    <w:rsid w:val="007A497D"/>
    <w:rsid w:val="007A4A0D"/>
    <w:rsid w:val="007A4A5A"/>
    <w:rsid w:val="007A4B84"/>
    <w:rsid w:val="007A4BB5"/>
    <w:rsid w:val="007A4BE6"/>
    <w:rsid w:val="007A4F2F"/>
    <w:rsid w:val="007A4FB1"/>
    <w:rsid w:val="007A4FBE"/>
    <w:rsid w:val="007A5013"/>
    <w:rsid w:val="007A5059"/>
    <w:rsid w:val="007A50E2"/>
    <w:rsid w:val="007A52B9"/>
    <w:rsid w:val="007A554C"/>
    <w:rsid w:val="007A5560"/>
    <w:rsid w:val="007A55A4"/>
    <w:rsid w:val="007A55E1"/>
    <w:rsid w:val="007A567C"/>
    <w:rsid w:val="007A58C4"/>
    <w:rsid w:val="007A59AB"/>
    <w:rsid w:val="007A5B84"/>
    <w:rsid w:val="007A5D7F"/>
    <w:rsid w:val="007A5EB4"/>
    <w:rsid w:val="007A5F4A"/>
    <w:rsid w:val="007A61CD"/>
    <w:rsid w:val="007A61EC"/>
    <w:rsid w:val="007A63CD"/>
    <w:rsid w:val="007A6452"/>
    <w:rsid w:val="007A65DA"/>
    <w:rsid w:val="007A6641"/>
    <w:rsid w:val="007A672B"/>
    <w:rsid w:val="007A68DB"/>
    <w:rsid w:val="007A68E8"/>
    <w:rsid w:val="007A6A7B"/>
    <w:rsid w:val="007A6B59"/>
    <w:rsid w:val="007A6CB1"/>
    <w:rsid w:val="007A6CFE"/>
    <w:rsid w:val="007A6D3B"/>
    <w:rsid w:val="007A71BC"/>
    <w:rsid w:val="007A7396"/>
    <w:rsid w:val="007A7463"/>
    <w:rsid w:val="007A75E5"/>
    <w:rsid w:val="007A760C"/>
    <w:rsid w:val="007A762E"/>
    <w:rsid w:val="007A770D"/>
    <w:rsid w:val="007A7783"/>
    <w:rsid w:val="007A7866"/>
    <w:rsid w:val="007A7884"/>
    <w:rsid w:val="007A7952"/>
    <w:rsid w:val="007A7A0D"/>
    <w:rsid w:val="007A7AD7"/>
    <w:rsid w:val="007A7CC6"/>
    <w:rsid w:val="007A7CFC"/>
    <w:rsid w:val="007A7E2D"/>
    <w:rsid w:val="007A7FEA"/>
    <w:rsid w:val="007B0028"/>
    <w:rsid w:val="007B011C"/>
    <w:rsid w:val="007B01B1"/>
    <w:rsid w:val="007B01BE"/>
    <w:rsid w:val="007B0298"/>
    <w:rsid w:val="007B0393"/>
    <w:rsid w:val="007B0402"/>
    <w:rsid w:val="007B05AC"/>
    <w:rsid w:val="007B0856"/>
    <w:rsid w:val="007B0957"/>
    <w:rsid w:val="007B0A0B"/>
    <w:rsid w:val="007B0B6D"/>
    <w:rsid w:val="007B0B8C"/>
    <w:rsid w:val="007B0E6F"/>
    <w:rsid w:val="007B0E85"/>
    <w:rsid w:val="007B0E95"/>
    <w:rsid w:val="007B0F2C"/>
    <w:rsid w:val="007B100D"/>
    <w:rsid w:val="007B10F3"/>
    <w:rsid w:val="007B113B"/>
    <w:rsid w:val="007B1322"/>
    <w:rsid w:val="007B13CC"/>
    <w:rsid w:val="007B1638"/>
    <w:rsid w:val="007B167E"/>
    <w:rsid w:val="007B1897"/>
    <w:rsid w:val="007B19BC"/>
    <w:rsid w:val="007B1DBB"/>
    <w:rsid w:val="007B1E1D"/>
    <w:rsid w:val="007B21A4"/>
    <w:rsid w:val="007B22B0"/>
    <w:rsid w:val="007B22B3"/>
    <w:rsid w:val="007B22BD"/>
    <w:rsid w:val="007B23B5"/>
    <w:rsid w:val="007B246A"/>
    <w:rsid w:val="007B2549"/>
    <w:rsid w:val="007B256C"/>
    <w:rsid w:val="007B25BD"/>
    <w:rsid w:val="007B25D5"/>
    <w:rsid w:val="007B260E"/>
    <w:rsid w:val="007B270D"/>
    <w:rsid w:val="007B2965"/>
    <w:rsid w:val="007B298B"/>
    <w:rsid w:val="007B2D01"/>
    <w:rsid w:val="007B2E69"/>
    <w:rsid w:val="007B2F5A"/>
    <w:rsid w:val="007B2F8D"/>
    <w:rsid w:val="007B30A3"/>
    <w:rsid w:val="007B312B"/>
    <w:rsid w:val="007B3206"/>
    <w:rsid w:val="007B3292"/>
    <w:rsid w:val="007B332E"/>
    <w:rsid w:val="007B33B5"/>
    <w:rsid w:val="007B3619"/>
    <w:rsid w:val="007B365A"/>
    <w:rsid w:val="007B36E7"/>
    <w:rsid w:val="007B36E8"/>
    <w:rsid w:val="007B3762"/>
    <w:rsid w:val="007B37D7"/>
    <w:rsid w:val="007B38CD"/>
    <w:rsid w:val="007B398B"/>
    <w:rsid w:val="007B3B3F"/>
    <w:rsid w:val="007B3C41"/>
    <w:rsid w:val="007B3C43"/>
    <w:rsid w:val="007B3CB8"/>
    <w:rsid w:val="007B3CEB"/>
    <w:rsid w:val="007B3FBA"/>
    <w:rsid w:val="007B4088"/>
    <w:rsid w:val="007B40B2"/>
    <w:rsid w:val="007B420C"/>
    <w:rsid w:val="007B455C"/>
    <w:rsid w:val="007B45DD"/>
    <w:rsid w:val="007B46EA"/>
    <w:rsid w:val="007B49F3"/>
    <w:rsid w:val="007B4A70"/>
    <w:rsid w:val="007B4AE0"/>
    <w:rsid w:val="007B4C44"/>
    <w:rsid w:val="007B4DC1"/>
    <w:rsid w:val="007B505E"/>
    <w:rsid w:val="007B50FE"/>
    <w:rsid w:val="007B51C3"/>
    <w:rsid w:val="007B5208"/>
    <w:rsid w:val="007B538E"/>
    <w:rsid w:val="007B541F"/>
    <w:rsid w:val="007B5439"/>
    <w:rsid w:val="007B56DA"/>
    <w:rsid w:val="007B570C"/>
    <w:rsid w:val="007B5772"/>
    <w:rsid w:val="007B5A27"/>
    <w:rsid w:val="007B5A32"/>
    <w:rsid w:val="007B5B1E"/>
    <w:rsid w:val="007B5BA4"/>
    <w:rsid w:val="007B5C11"/>
    <w:rsid w:val="007B5C65"/>
    <w:rsid w:val="007B5FD9"/>
    <w:rsid w:val="007B6205"/>
    <w:rsid w:val="007B6283"/>
    <w:rsid w:val="007B63AE"/>
    <w:rsid w:val="007B63ED"/>
    <w:rsid w:val="007B6597"/>
    <w:rsid w:val="007B6ECE"/>
    <w:rsid w:val="007B71F4"/>
    <w:rsid w:val="007B7334"/>
    <w:rsid w:val="007B7424"/>
    <w:rsid w:val="007B7566"/>
    <w:rsid w:val="007B7594"/>
    <w:rsid w:val="007B7612"/>
    <w:rsid w:val="007B7680"/>
    <w:rsid w:val="007B78FC"/>
    <w:rsid w:val="007B7999"/>
    <w:rsid w:val="007B7A5F"/>
    <w:rsid w:val="007B7C8C"/>
    <w:rsid w:val="007B7EA3"/>
    <w:rsid w:val="007C00EA"/>
    <w:rsid w:val="007C015B"/>
    <w:rsid w:val="007C0333"/>
    <w:rsid w:val="007C04A3"/>
    <w:rsid w:val="007C062C"/>
    <w:rsid w:val="007C0807"/>
    <w:rsid w:val="007C0894"/>
    <w:rsid w:val="007C08E6"/>
    <w:rsid w:val="007C0B62"/>
    <w:rsid w:val="007C0FAD"/>
    <w:rsid w:val="007C1099"/>
    <w:rsid w:val="007C112C"/>
    <w:rsid w:val="007C113D"/>
    <w:rsid w:val="007C116F"/>
    <w:rsid w:val="007C1414"/>
    <w:rsid w:val="007C1440"/>
    <w:rsid w:val="007C176D"/>
    <w:rsid w:val="007C19CC"/>
    <w:rsid w:val="007C1AAD"/>
    <w:rsid w:val="007C1BDC"/>
    <w:rsid w:val="007C1EE6"/>
    <w:rsid w:val="007C2363"/>
    <w:rsid w:val="007C23E4"/>
    <w:rsid w:val="007C25C7"/>
    <w:rsid w:val="007C28C3"/>
    <w:rsid w:val="007C2BBF"/>
    <w:rsid w:val="007C3029"/>
    <w:rsid w:val="007C320D"/>
    <w:rsid w:val="007C3297"/>
    <w:rsid w:val="007C35AA"/>
    <w:rsid w:val="007C37F3"/>
    <w:rsid w:val="007C3837"/>
    <w:rsid w:val="007C385D"/>
    <w:rsid w:val="007C38E1"/>
    <w:rsid w:val="007C3B94"/>
    <w:rsid w:val="007C3BBA"/>
    <w:rsid w:val="007C3CDF"/>
    <w:rsid w:val="007C3E3D"/>
    <w:rsid w:val="007C3EF7"/>
    <w:rsid w:val="007C3F72"/>
    <w:rsid w:val="007C4258"/>
    <w:rsid w:val="007C4281"/>
    <w:rsid w:val="007C461E"/>
    <w:rsid w:val="007C4C4B"/>
    <w:rsid w:val="007C4D7B"/>
    <w:rsid w:val="007C4E13"/>
    <w:rsid w:val="007C4F04"/>
    <w:rsid w:val="007C4F26"/>
    <w:rsid w:val="007C543B"/>
    <w:rsid w:val="007C54EF"/>
    <w:rsid w:val="007C577E"/>
    <w:rsid w:val="007C5898"/>
    <w:rsid w:val="007C58F6"/>
    <w:rsid w:val="007C5ADE"/>
    <w:rsid w:val="007C5D35"/>
    <w:rsid w:val="007C5D5E"/>
    <w:rsid w:val="007C5E14"/>
    <w:rsid w:val="007C5FF7"/>
    <w:rsid w:val="007C60F5"/>
    <w:rsid w:val="007C61F9"/>
    <w:rsid w:val="007C61FA"/>
    <w:rsid w:val="007C639B"/>
    <w:rsid w:val="007C65CB"/>
    <w:rsid w:val="007C662D"/>
    <w:rsid w:val="007C67B9"/>
    <w:rsid w:val="007C67D8"/>
    <w:rsid w:val="007C691F"/>
    <w:rsid w:val="007C6FAD"/>
    <w:rsid w:val="007C6FD3"/>
    <w:rsid w:val="007C705B"/>
    <w:rsid w:val="007C71CA"/>
    <w:rsid w:val="007C7241"/>
    <w:rsid w:val="007C7564"/>
    <w:rsid w:val="007C75BF"/>
    <w:rsid w:val="007C76C1"/>
    <w:rsid w:val="007C775A"/>
    <w:rsid w:val="007C77C7"/>
    <w:rsid w:val="007C7887"/>
    <w:rsid w:val="007C7A8C"/>
    <w:rsid w:val="007C7FDF"/>
    <w:rsid w:val="007D006B"/>
    <w:rsid w:val="007D0266"/>
    <w:rsid w:val="007D0403"/>
    <w:rsid w:val="007D04E3"/>
    <w:rsid w:val="007D095E"/>
    <w:rsid w:val="007D0B00"/>
    <w:rsid w:val="007D0BFA"/>
    <w:rsid w:val="007D0C36"/>
    <w:rsid w:val="007D0D25"/>
    <w:rsid w:val="007D0DAE"/>
    <w:rsid w:val="007D0ECD"/>
    <w:rsid w:val="007D1026"/>
    <w:rsid w:val="007D11BF"/>
    <w:rsid w:val="007D11ED"/>
    <w:rsid w:val="007D149E"/>
    <w:rsid w:val="007D16D8"/>
    <w:rsid w:val="007D196B"/>
    <w:rsid w:val="007D1CF2"/>
    <w:rsid w:val="007D1D5C"/>
    <w:rsid w:val="007D254A"/>
    <w:rsid w:val="007D2736"/>
    <w:rsid w:val="007D273F"/>
    <w:rsid w:val="007D2CBB"/>
    <w:rsid w:val="007D2EA7"/>
    <w:rsid w:val="007D2EC5"/>
    <w:rsid w:val="007D2ED3"/>
    <w:rsid w:val="007D2F9B"/>
    <w:rsid w:val="007D3028"/>
    <w:rsid w:val="007D30AD"/>
    <w:rsid w:val="007D33D7"/>
    <w:rsid w:val="007D33E2"/>
    <w:rsid w:val="007D3408"/>
    <w:rsid w:val="007D369E"/>
    <w:rsid w:val="007D36F0"/>
    <w:rsid w:val="007D3706"/>
    <w:rsid w:val="007D37C3"/>
    <w:rsid w:val="007D3982"/>
    <w:rsid w:val="007D3C72"/>
    <w:rsid w:val="007D3DC5"/>
    <w:rsid w:val="007D3E40"/>
    <w:rsid w:val="007D4090"/>
    <w:rsid w:val="007D4173"/>
    <w:rsid w:val="007D4261"/>
    <w:rsid w:val="007D434D"/>
    <w:rsid w:val="007D4475"/>
    <w:rsid w:val="007D4698"/>
    <w:rsid w:val="007D47AF"/>
    <w:rsid w:val="007D4833"/>
    <w:rsid w:val="007D492E"/>
    <w:rsid w:val="007D4A91"/>
    <w:rsid w:val="007D4CA0"/>
    <w:rsid w:val="007D4CEB"/>
    <w:rsid w:val="007D4E65"/>
    <w:rsid w:val="007D4EFB"/>
    <w:rsid w:val="007D52F2"/>
    <w:rsid w:val="007D54CE"/>
    <w:rsid w:val="007D5628"/>
    <w:rsid w:val="007D5821"/>
    <w:rsid w:val="007D5B03"/>
    <w:rsid w:val="007D5B59"/>
    <w:rsid w:val="007D5C3B"/>
    <w:rsid w:val="007D5EE6"/>
    <w:rsid w:val="007D6100"/>
    <w:rsid w:val="007D625E"/>
    <w:rsid w:val="007D6271"/>
    <w:rsid w:val="007D63B0"/>
    <w:rsid w:val="007D6440"/>
    <w:rsid w:val="007D6485"/>
    <w:rsid w:val="007D6539"/>
    <w:rsid w:val="007D6552"/>
    <w:rsid w:val="007D6901"/>
    <w:rsid w:val="007D69DF"/>
    <w:rsid w:val="007D6D60"/>
    <w:rsid w:val="007D6EEC"/>
    <w:rsid w:val="007D6F43"/>
    <w:rsid w:val="007D7645"/>
    <w:rsid w:val="007D776A"/>
    <w:rsid w:val="007D77ED"/>
    <w:rsid w:val="007D797E"/>
    <w:rsid w:val="007D7BC8"/>
    <w:rsid w:val="007D7D0D"/>
    <w:rsid w:val="007D7F08"/>
    <w:rsid w:val="007E00C2"/>
    <w:rsid w:val="007E0445"/>
    <w:rsid w:val="007E050D"/>
    <w:rsid w:val="007E055E"/>
    <w:rsid w:val="007E067F"/>
    <w:rsid w:val="007E085B"/>
    <w:rsid w:val="007E0BA6"/>
    <w:rsid w:val="007E0BD5"/>
    <w:rsid w:val="007E0C1A"/>
    <w:rsid w:val="007E0C53"/>
    <w:rsid w:val="007E0FCC"/>
    <w:rsid w:val="007E11F8"/>
    <w:rsid w:val="007E161A"/>
    <w:rsid w:val="007E170F"/>
    <w:rsid w:val="007E173A"/>
    <w:rsid w:val="007E1858"/>
    <w:rsid w:val="007E18EA"/>
    <w:rsid w:val="007E19DE"/>
    <w:rsid w:val="007E1B2A"/>
    <w:rsid w:val="007E1BAD"/>
    <w:rsid w:val="007E1BD0"/>
    <w:rsid w:val="007E1BEA"/>
    <w:rsid w:val="007E1D43"/>
    <w:rsid w:val="007E1E8A"/>
    <w:rsid w:val="007E2370"/>
    <w:rsid w:val="007E2426"/>
    <w:rsid w:val="007E2587"/>
    <w:rsid w:val="007E26B3"/>
    <w:rsid w:val="007E2C16"/>
    <w:rsid w:val="007E2E01"/>
    <w:rsid w:val="007E300D"/>
    <w:rsid w:val="007E310A"/>
    <w:rsid w:val="007E32FC"/>
    <w:rsid w:val="007E331F"/>
    <w:rsid w:val="007E346A"/>
    <w:rsid w:val="007E35A1"/>
    <w:rsid w:val="007E35B8"/>
    <w:rsid w:val="007E3621"/>
    <w:rsid w:val="007E36AC"/>
    <w:rsid w:val="007E4140"/>
    <w:rsid w:val="007E41D2"/>
    <w:rsid w:val="007E41F6"/>
    <w:rsid w:val="007E44A5"/>
    <w:rsid w:val="007E4521"/>
    <w:rsid w:val="007E4538"/>
    <w:rsid w:val="007E453F"/>
    <w:rsid w:val="007E45DE"/>
    <w:rsid w:val="007E4B10"/>
    <w:rsid w:val="007E4B7B"/>
    <w:rsid w:val="007E4D07"/>
    <w:rsid w:val="007E4F3F"/>
    <w:rsid w:val="007E535A"/>
    <w:rsid w:val="007E53EC"/>
    <w:rsid w:val="007E54D6"/>
    <w:rsid w:val="007E553C"/>
    <w:rsid w:val="007E55C5"/>
    <w:rsid w:val="007E57BF"/>
    <w:rsid w:val="007E59E2"/>
    <w:rsid w:val="007E59EA"/>
    <w:rsid w:val="007E5AF5"/>
    <w:rsid w:val="007E5E49"/>
    <w:rsid w:val="007E6147"/>
    <w:rsid w:val="007E62ED"/>
    <w:rsid w:val="007E6697"/>
    <w:rsid w:val="007E6735"/>
    <w:rsid w:val="007E6787"/>
    <w:rsid w:val="007E6962"/>
    <w:rsid w:val="007E6B50"/>
    <w:rsid w:val="007E7017"/>
    <w:rsid w:val="007E715B"/>
    <w:rsid w:val="007E72CE"/>
    <w:rsid w:val="007E73F6"/>
    <w:rsid w:val="007E7465"/>
    <w:rsid w:val="007E7544"/>
    <w:rsid w:val="007E75D5"/>
    <w:rsid w:val="007E7675"/>
    <w:rsid w:val="007E777C"/>
    <w:rsid w:val="007E7BF8"/>
    <w:rsid w:val="007F005C"/>
    <w:rsid w:val="007F0072"/>
    <w:rsid w:val="007F0205"/>
    <w:rsid w:val="007F023D"/>
    <w:rsid w:val="007F046E"/>
    <w:rsid w:val="007F04E0"/>
    <w:rsid w:val="007F050F"/>
    <w:rsid w:val="007F0523"/>
    <w:rsid w:val="007F0639"/>
    <w:rsid w:val="007F0892"/>
    <w:rsid w:val="007F0896"/>
    <w:rsid w:val="007F0C1A"/>
    <w:rsid w:val="007F0C4A"/>
    <w:rsid w:val="007F0D76"/>
    <w:rsid w:val="007F0E62"/>
    <w:rsid w:val="007F0FD2"/>
    <w:rsid w:val="007F1009"/>
    <w:rsid w:val="007F1196"/>
    <w:rsid w:val="007F1403"/>
    <w:rsid w:val="007F1552"/>
    <w:rsid w:val="007F1680"/>
    <w:rsid w:val="007F16F1"/>
    <w:rsid w:val="007F176C"/>
    <w:rsid w:val="007F1972"/>
    <w:rsid w:val="007F1C9E"/>
    <w:rsid w:val="007F1E3F"/>
    <w:rsid w:val="007F1F9A"/>
    <w:rsid w:val="007F1FD3"/>
    <w:rsid w:val="007F2097"/>
    <w:rsid w:val="007F20A8"/>
    <w:rsid w:val="007F2173"/>
    <w:rsid w:val="007F2278"/>
    <w:rsid w:val="007F2282"/>
    <w:rsid w:val="007F24BC"/>
    <w:rsid w:val="007F2594"/>
    <w:rsid w:val="007F2609"/>
    <w:rsid w:val="007F289E"/>
    <w:rsid w:val="007F28E1"/>
    <w:rsid w:val="007F2A65"/>
    <w:rsid w:val="007F2DD3"/>
    <w:rsid w:val="007F2E5F"/>
    <w:rsid w:val="007F2F42"/>
    <w:rsid w:val="007F3322"/>
    <w:rsid w:val="007F3408"/>
    <w:rsid w:val="007F3708"/>
    <w:rsid w:val="007F39C9"/>
    <w:rsid w:val="007F3B18"/>
    <w:rsid w:val="007F3B3B"/>
    <w:rsid w:val="007F3B4B"/>
    <w:rsid w:val="007F3BDC"/>
    <w:rsid w:val="007F3C3B"/>
    <w:rsid w:val="007F3C89"/>
    <w:rsid w:val="007F3E84"/>
    <w:rsid w:val="007F4050"/>
    <w:rsid w:val="007F4053"/>
    <w:rsid w:val="007F415B"/>
    <w:rsid w:val="007F4163"/>
    <w:rsid w:val="007F4194"/>
    <w:rsid w:val="007F4420"/>
    <w:rsid w:val="007F4469"/>
    <w:rsid w:val="007F45A3"/>
    <w:rsid w:val="007F46CD"/>
    <w:rsid w:val="007F4784"/>
    <w:rsid w:val="007F4811"/>
    <w:rsid w:val="007F4846"/>
    <w:rsid w:val="007F4854"/>
    <w:rsid w:val="007F4C2C"/>
    <w:rsid w:val="007F5093"/>
    <w:rsid w:val="007F5162"/>
    <w:rsid w:val="007F5181"/>
    <w:rsid w:val="007F52F3"/>
    <w:rsid w:val="007F5309"/>
    <w:rsid w:val="007F53AD"/>
    <w:rsid w:val="007F5638"/>
    <w:rsid w:val="007F5694"/>
    <w:rsid w:val="007F599F"/>
    <w:rsid w:val="007F5ACC"/>
    <w:rsid w:val="007F5B43"/>
    <w:rsid w:val="007F5C55"/>
    <w:rsid w:val="007F5C59"/>
    <w:rsid w:val="007F5E71"/>
    <w:rsid w:val="007F5EDD"/>
    <w:rsid w:val="007F602C"/>
    <w:rsid w:val="007F63C8"/>
    <w:rsid w:val="007F6676"/>
    <w:rsid w:val="007F66D5"/>
    <w:rsid w:val="007F66EF"/>
    <w:rsid w:val="007F67DE"/>
    <w:rsid w:val="007F6CBA"/>
    <w:rsid w:val="007F6DB4"/>
    <w:rsid w:val="007F6EB6"/>
    <w:rsid w:val="007F7059"/>
    <w:rsid w:val="007F7162"/>
    <w:rsid w:val="007F7228"/>
    <w:rsid w:val="007F7278"/>
    <w:rsid w:val="007F7372"/>
    <w:rsid w:val="007F73C2"/>
    <w:rsid w:val="007F762F"/>
    <w:rsid w:val="007F7650"/>
    <w:rsid w:val="007F78FC"/>
    <w:rsid w:val="007F792A"/>
    <w:rsid w:val="007F79B6"/>
    <w:rsid w:val="0080010F"/>
    <w:rsid w:val="00800192"/>
    <w:rsid w:val="008001A3"/>
    <w:rsid w:val="008001D3"/>
    <w:rsid w:val="0080045F"/>
    <w:rsid w:val="0080046D"/>
    <w:rsid w:val="0080079B"/>
    <w:rsid w:val="008007BF"/>
    <w:rsid w:val="00800873"/>
    <w:rsid w:val="0080098C"/>
    <w:rsid w:val="008009A5"/>
    <w:rsid w:val="008009F8"/>
    <w:rsid w:val="00800A16"/>
    <w:rsid w:val="00800C06"/>
    <w:rsid w:val="00800C5B"/>
    <w:rsid w:val="00800F9E"/>
    <w:rsid w:val="00801053"/>
    <w:rsid w:val="008011A1"/>
    <w:rsid w:val="00801294"/>
    <w:rsid w:val="0080145F"/>
    <w:rsid w:val="00801959"/>
    <w:rsid w:val="00801ACC"/>
    <w:rsid w:val="00801AF3"/>
    <w:rsid w:val="00801DAF"/>
    <w:rsid w:val="00801F09"/>
    <w:rsid w:val="00802013"/>
    <w:rsid w:val="00802283"/>
    <w:rsid w:val="008025E4"/>
    <w:rsid w:val="00802650"/>
    <w:rsid w:val="0080289D"/>
    <w:rsid w:val="00802A00"/>
    <w:rsid w:val="00802AAB"/>
    <w:rsid w:val="00802B02"/>
    <w:rsid w:val="00802EF2"/>
    <w:rsid w:val="00802F33"/>
    <w:rsid w:val="00802FBB"/>
    <w:rsid w:val="00803087"/>
    <w:rsid w:val="008032F5"/>
    <w:rsid w:val="00803433"/>
    <w:rsid w:val="008034A8"/>
    <w:rsid w:val="00803758"/>
    <w:rsid w:val="0080385F"/>
    <w:rsid w:val="0080387E"/>
    <w:rsid w:val="00803898"/>
    <w:rsid w:val="00803C76"/>
    <w:rsid w:val="00804090"/>
    <w:rsid w:val="0080423C"/>
    <w:rsid w:val="00804280"/>
    <w:rsid w:val="00804328"/>
    <w:rsid w:val="0080459E"/>
    <w:rsid w:val="0080469D"/>
    <w:rsid w:val="00804A44"/>
    <w:rsid w:val="00804A99"/>
    <w:rsid w:val="00804AF7"/>
    <w:rsid w:val="00804BE5"/>
    <w:rsid w:val="00804D7F"/>
    <w:rsid w:val="00804DF6"/>
    <w:rsid w:val="008050EA"/>
    <w:rsid w:val="00805383"/>
    <w:rsid w:val="0080538E"/>
    <w:rsid w:val="008053A6"/>
    <w:rsid w:val="0080548F"/>
    <w:rsid w:val="008057D0"/>
    <w:rsid w:val="00805910"/>
    <w:rsid w:val="008059B5"/>
    <w:rsid w:val="00805D26"/>
    <w:rsid w:val="0080623C"/>
    <w:rsid w:val="00806264"/>
    <w:rsid w:val="00806275"/>
    <w:rsid w:val="00806277"/>
    <w:rsid w:val="00806394"/>
    <w:rsid w:val="00806545"/>
    <w:rsid w:val="008068E1"/>
    <w:rsid w:val="00806918"/>
    <w:rsid w:val="008069ED"/>
    <w:rsid w:val="00806A1F"/>
    <w:rsid w:val="00806C3F"/>
    <w:rsid w:val="00806DB5"/>
    <w:rsid w:val="00806E84"/>
    <w:rsid w:val="00806F40"/>
    <w:rsid w:val="00806FA4"/>
    <w:rsid w:val="008072B4"/>
    <w:rsid w:val="008075E0"/>
    <w:rsid w:val="00807619"/>
    <w:rsid w:val="0080765B"/>
    <w:rsid w:val="008076A0"/>
    <w:rsid w:val="0080776E"/>
    <w:rsid w:val="00807A06"/>
    <w:rsid w:val="00807A18"/>
    <w:rsid w:val="00807B57"/>
    <w:rsid w:val="00807ED1"/>
    <w:rsid w:val="00807EE2"/>
    <w:rsid w:val="00807F41"/>
    <w:rsid w:val="00807FB2"/>
    <w:rsid w:val="0081045B"/>
    <w:rsid w:val="008104AE"/>
    <w:rsid w:val="008107DD"/>
    <w:rsid w:val="0081086E"/>
    <w:rsid w:val="008108FD"/>
    <w:rsid w:val="00810985"/>
    <w:rsid w:val="00810C5B"/>
    <w:rsid w:val="00810D53"/>
    <w:rsid w:val="00810DCB"/>
    <w:rsid w:val="00810E2E"/>
    <w:rsid w:val="00810F2C"/>
    <w:rsid w:val="00810F71"/>
    <w:rsid w:val="00811029"/>
    <w:rsid w:val="008110E1"/>
    <w:rsid w:val="00811456"/>
    <w:rsid w:val="008115AD"/>
    <w:rsid w:val="008115B9"/>
    <w:rsid w:val="0081164C"/>
    <w:rsid w:val="00811776"/>
    <w:rsid w:val="00811862"/>
    <w:rsid w:val="00811A00"/>
    <w:rsid w:val="00811A68"/>
    <w:rsid w:val="00811AAD"/>
    <w:rsid w:val="00811ADC"/>
    <w:rsid w:val="00811B53"/>
    <w:rsid w:val="00811D18"/>
    <w:rsid w:val="00811DCB"/>
    <w:rsid w:val="00811EAC"/>
    <w:rsid w:val="00811EDB"/>
    <w:rsid w:val="0081219D"/>
    <w:rsid w:val="00812265"/>
    <w:rsid w:val="008122C4"/>
    <w:rsid w:val="00812332"/>
    <w:rsid w:val="0081236A"/>
    <w:rsid w:val="008123C9"/>
    <w:rsid w:val="008125D0"/>
    <w:rsid w:val="008126D6"/>
    <w:rsid w:val="00812701"/>
    <w:rsid w:val="00812862"/>
    <w:rsid w:val="00812877"/>
    <w:rsid w:val="008128E4"/>
    <w:rsid w:val="00812DCD"/>
    <w:rsid w:val="00812E2C"/>
    <w:rsid w:val="00812ED6"/>
    <w:rsid w:val="00812F25"/>
    <w:rsid w:val="008132DA"/>
    <w:rsid w:val="00813379"/>
    <w:rsid w:val="00813412"/>
    <w:rsid w:val="00813746"/>
    <w:rsid w:val="0081374B"/>
    <w:rsid w:val="0081384B"/>
    <w:rsid w:val="00813895"/>
    <w:rsid w:val="008138F3"/>
    <w:rsid w:val="00813910"/>
    <w:rsid w:val="00813948"/>
    <w:rsid w:val="00813958"/>
    <w:rsid w:val="00813A20"/>
    <w:rsid w:val="00813A43"/>
    <w:rsid w:val="00813B94"/>
    <w:rsid w:val="00813D97"/>
    <w:rsid w:val="00813FB6"/>
    <w:rsid w:val="0081410B"/>
    <w:rsid w:val="0081411B"/>
    <w:rsid w:val="00814408"/>
    <w:rsid w:val="00814512"/>
    <w:rsid w:val="00814687"/>
    <w:rsid w:val="008146AF"/>
    <w:rsid w:val="00814B64"/>
    <w:rsid w:val="00814C3C"/>
    <w:rsid w:val="00814D13"/>
    <w:rsid w:val="00814DA4"/>
    <w:rsid w:val="00814E51"/>
    <w:rsid w:val="00815066"/>
    <w:rsid w:val="008150AF"/>
    <w:rsid w:val="0081563A"/>
    <w:rsid w:val="00815754"/>
    <w:rsid w:val="00815831"/>
    <w:rsid w:val="00815985"/>
    <w:rsid w:val="008159E7"/>
    <w:rsid w:val="008159F7"/>
    <w:rsid w:val="00815B8E"/>
    <w:rsid w:val="00815C15"/>
    <w:rsid w:val="00815D66"/>
    <w:rsid w:val="00815DE5"/>
    <w:rsid w:val="00815ECB"/>
    <w:rsid w:val="00815F8D"/>
    <w:rsid w:val="00816559"/>
    <w:rsid w:val="008165BD"/>
    <w:rsid w:val="00816B01"/>
    <w:rsid w:val="00816B36"/>
    <w:rsid w:val="00816B51"/>
    <w:rsid w:val="00816B58"/>
    <w:rsid w:val="00816C1C"/>
    <w:rsid w:val="00816C48"/>
    <w:rsid w:val="00816CE2"/>
    <w:rsid w:val="00816D4E"/>
    <w:rsid w:val="00816DA7"/>
    <w:rsid w:val="00816E4C"/>
    <w:rsid w:val="0081705B"/>
    <w:rsid w:val="00817148"/>
    <w:rsid w:val="0081726A"/>
    <w:rsid w:val="00817463"/>
    <w:rsid w:val="00817BE4"/>
    <w:rsid w:val="00817D96"/>
    <w:rsid w:val="00817DCC"/>
    <w:rsid w:val="008202F0"/>
    <w:rsid w:val="00820575"/>
    <w:rsid w:val="008205C5"/>
    <w:rsid w:val="00820823"/>
    <w:rsid w:val="00820B16"/>
    <w:rsid w:val="00820E39"/>
    <w:rsid w:val="00820E56"/>
    <w:rsid w:val="00821188"/>
    <w:rsid w:val="008211C2"/>
    <w:rsid w:val="00821500"/>
    <w:rsid w:val="00821667"/>
    <w:rsid w:val="0082169B"/>
    <w:rsid w:val="008216F9"/>
    <w:rsid w:val="00821706"/>
    <w:rsid w:val="0082170E"/>
    <w:rsid w:val="00821716"/>
    <w:rsid w:val="008217DE"/>
    <w:rsid w:val="00821874"/>
    <w:rsid w:val="00821BD0"/>
    <w:rsid w:val="00821CF0"/>
    <w:rsid w:val="00821F38"/>
    <w:rsid w:val="008220C9"/>
    <w:rsid w:val="008220F2"/>
    <w:rsid w:val="008222C1"/>
    <w:rsid w:val="00822604"/>
    <w:rsid w:val="00822706"/>
    <w:rsid w:val="008228CF"/>
    <w:rsid w:val="00822919"/>
    <w:rsid w:val="008229BC"/>
    <w:rsid w:val="00822A48"/>
    <w:rsid w:val="00822A7D"/>
    <w:rsid w:val="00822C3E"/>
    <w:rsid w:val="00822C4B"/>
    <w:rsid w:val="00822D02"/>
    <w:rsid w:val="00822D2E"/>
    <w:rsid w:val="00822D53"/>
    <w:rsid w:val="00822E0F"/>
    <w:rsid w:val="00822E50"/>
    <w:rsid w:val="00822FAC"/>
    <w:rsid w:val="008230A6"/>
    <w:rsid w:val="008230C8"/>
    <w:rsid w:val="008231C4"/>
    <w:rsid w:val="00823203"/>
    <w:rsid w:val="00823328"/>
    <w:rsid w:val="0082352D"/>
    <w:rsid w:val="00823717"/>
    <w:rsid w:val="0082377C"/>
    <w:rsid w:val="0082390F"/>
    <w:rsid w:val="00823BB8"/>
    <w:rsid w:val="00823CAE"/>
    <w:rsid w:val="00823E06"/>
    <w:rsid w:val="00823F31"/>
    <w:rsid w:val="00824114"/>
    <w:rsid w:val="00824131"/>
    <w:rsid w:val="008241ED"/>
    <w:rsid w:val="008242BC"/>
    <w:rsid w:val="008245EF"/>
    <w:rsid w:val="008246F8"/>
    <w:rsid w:val="008247F0"/>
    <w:rsid w:val="00824960"/>
    <w:rsid w:val="008249D1"/>
    <w:rsid w:val="008249E1"/>
    <w:rsid w:val="00824AE0"/>
    <w:rsid w:val="00824DCF"/>
    <w:rsid w:val="00824E7E"/>
    <w:rsid w:val="00824FE9"/>
    <w:rsid w:val="00825011"/>
    <w:rsid w:val="0082518F"/>
    <w:rsid w:val="008251D6"/>
    <w:rsid w:val="0082520E"/>
    <w:rsid w:val="00825266"/>
    <w:rsid w:val="00825279"/>
    <w:rsid w:val="00825439"/>
    <w:rsid w:val="00825752"/>
    <w:rsid w:val="00825775"/>
    <w:rsid w:val="008259CA"/>
    <w:rsid w:val="00825A36"/>
    <w:rsid w:val="00825B24"/>
    <w:rsid w:val="00825D7F"/>
    <w:rsid w:val="00825E5B"/>
    <w:rsid w:val="0082626E"/>
    <w:rsid w:val="008263A5"/>
    <w:rsid w:val="0082666D"/>
    <w:rsid w:val="00826855"/>
    <w:rsid w:val="00826931"/>
    <w:rsid w:val="008269C6"/>
    <w:rsid w:val="00826B32"/>
    <w:rsid w:val="00826BAD"/>
    <w:rsid w:val="00826BB4"/>
    <w:rsid w:val="00826C78"/>
    <w:rsid w:val="00826D00"/>
    <w:rsid w:val="00827162"/>
    <w:rsid w:val="008272C1"/>
    <w:rsid w:val="00827468"/>
    <w:rsid w:val="0082751F"/>
    <w:rsid w:val="0082758C"/>
    <w:rsid w:val="008275D6"/>
    <w:rsid w:val="00827668"/>
    <w:rsid w:val="008276DF"/>
    <w:rsid w:val="008278F2"/>
    <w:rsid w:val="00827A5C"/>
    <w:rsid w:val="00827D78"/>
    <w:rsid w:val="00827DF0"/>
    <w:rsid w:val="00827F6C"/>
    <w:rsid w:val="008302EB"/>
    <w:rsid w:val="008302F8"/>
    <w:rsid w:val="00830488"/>
    <w:rsid w:val="008306CF"/>
    <w:rsid w:val="008307C9"/>
    <w:rsid w:val="00830980"/>
    <w:rsid w:val="008309E2"/>
    <w:rsid w:val="00830B3A"/>
    <w:rsid w:val="00830BAD"/>
    <w:rsid w:val="00830C9B"/>
    <w:rsid w:val="00830CC5"/>
    <w:rsid w:val="00830F79"/>
    <w:rsid w:val="0083100B"/>
    <w:rsid w:val="00831037"/>
    <w:rsid w:val="008310C5"/>
    <w:rsid w:val="0083139E"/>
    <w:rsid w:val="0083146A"/>
    <w:rsid w:val="008314D3"/>
    <w:rsid w:val="00831583"/>
    <w:rsid w:val="00831744"/>
    <w:rsid w:val="00831852"/>
    <w:rsid w:val="00831A71"/>
    <w:rsid w:val="00831AD4"/>
    <w:rsid w:val="00831B3A"/>
    <w:rsid w:val="00831DE9"/>
    <w:rsid w:val="00831E90"/>
    <w:rsid w:val="00831FED"/>
    <w:rsid w:val="0083203B"/>
    <w:rsid w:val="00832058"/>
    <w:rsid w:val="008322AC"/>
    <w:rsid w:val="008324B6"/>
    <w:rsid w:val="008327FE"/>
    <w:rsid w:val="008328A0"/>
    <w:rsid w:val="008328C7"/>
    <w:rsid w:val="008328E0"/>
    <w:rsid w:val="00832925"/>
    <w:rsid w:val="00832BCA"/>
    <w:rsid w:val="00832D4E"/>
    <w:rsid w:val="0083321E"/>
    <w:rsid w:val="00833285"/>
    <w:rsid w:val="008334DA"/>
    <w:rsid w:val="008334DB"/>
    <w:rsid w:val="008335B4"/>
    <w:rsid w:val="00833740"/>
    <w:rsid w:val="008337A7"/>
    <w:rsid w:val="008337CF"/>
    <w:rsid w:val="00833A76"/>
    <w:rsid w:val="00833A8B"/>
    <w:rsid w:val="00833D4F"/>
    <w:rsid w:val="00833E0D"/>
    <w:rsid w:val="00833F7C"/>
    <w:rsid w:val="0083426E"/>
    <w:rsid w:val="008342B7"/>
    <w:rsid w:val="00834326"/>
    <w:rsid w:val="00834517"/>
    <w:rsid w:val="008349FF"/>
    <w:rsid w:val="00834D63"/>
    <w:rsid w:val="00834DF5"/>
    <w:rsid w:val="00834E00"/>
    <w:rsid w:val="00834E26"/>
    <w:rsid w:val="00834E8D"/>
    <w:rsid w:val="00835096"/>
    <w:rsid w:val="00835349"/>
    <w:rsid w:val="0083541B"/>
    <w:rsid w:val="008354D3"/>
    <w:rsid w:val="008355C3"/>
    <w:rsid w:val="00835666"/>
    <w:rsid w:val="008356A3"/>
    <w:rsid w:val="008357BA"/>
    <w:rsid w:val="0083584D"/>
    <w:rsid w:val="00835F00"/>
    <w:rsid w:val="00835FE2"/>
    <w:rsid w:val="0083604D"/>
    <w:rsid w:val="00836071"/>
    <w:rsid w:val="00836310"/>
    <w:rsid w:val="008364A4"/>
    <w:rsid w:val="00836829"/>
    <w:rsid w:val="0083691C"/>
    <w:rsid w:val="00836FC4"/>
    <w:rsid w:val="0083703A"/>
    <w:rsid w:val="008371D2"/>
    <w:rsid w:val="008372F8"/>
    <w:rsid w:val="0083730D"/>
    <w:rsid w:val="00837423"/>
    <w:rsid w:val="00837435"/>
    <w:rsid w:val="0083776D"/>
    <w:rsid w:val="00837810"/>
    <w:rsid w:val="0083D5E4"/>
    <w:rsid w:val="0084050E"/>
    <w:rsid w:val="0084052E"/>
    <w:rsid w:val="00840926"/>
    <w:rsid w:val="00840996"/>
    <w:rsid w:val="00840AB6"/>
    <w:rsid w:val="00840B6B"/>
    <w:rsid w:val="00840BF0"/>
    <w:rsid w:val="00840BF6"/>
    <w:rsid w:val="00840C8D"/>
    <w:rsid w:val="00840D48"/>
    <w:rsid w:val="00840D82"/>
    <w:rsid w:val="00840DE9"/>
    <w:rsid w:val="00840EEC"/>
    <w:rsid w:val="00841080"/>
    <w:rsid w:val="00841299"/>
    <w:rsid w:val="00841673"/>
    <w:rsid w:val="00841B03"/>
    <w:rsid w:val="00841C11"/>
    <w:rsid w:val="00841C34"/>
    <w:rsid w:val="00841F61"/>
    <w:rsid w:val="00842226"/>
    <w:rsid w:val="008423CD"/>
    <w:rsid w:val="008423D8"/>
    <w:rsid w:val="00842479"/>
    <w:rsid w:val="0084253B"/>
    <w:rsid w:val="00842778"/>
    <w:rsid w:val="00842A43"/>
    <w:rsid w:val="00842A5D"/>
    <w:rsid w:val="00842AB8"/>
    <w:rsid w:val="00842BC5"/>
    <w:rsid w:val="00842E70"/>
    <w:rsid w:val="00842ECF"/>
    <w:rsid w:val="00842F7B"/>
    <w:rsid w:val="00842FB4"/>
    <w:rsid w:val="00842FC9"/>
    <w:rsid w:val="008431B2"/>
    <w:rsid w:val="0084327B"/>
    <w:rsid w:val="00843355"/>
    <w:rsid w:val="008433A3"/>
    <w:rsid w:val="0084354E"/>
    <w:rsid w:val="00843632"/>
    <w:rsid w:val="00843869"/>
    <w:rsid w:val="00843944"/>
    <w:rsid w:val="00843B9C"/>
    <w:rsid w:val="00843C9B"/>
    <w:rsid w:val="00843CDA"/>
    <w:rsid w:val="00843D7F"/>
    <w:rsid w:val="00843DE9"/>
    <w:rsid w:val="00843F21"/>
    <w:rsid w:val="00844086"/>
    <w:rsid w:val="00844123"/>
    <w:rsid w:val="00844184"/>
    <w:rsid w:val="008443D1"/>
    <w:rsid w:val="0084441C"/>
    <w:rsid w:val="0084447D"/>
    <w:rsid w:val="0084453E"/>
    <w:rsid w:val="00844581"/>
    <w:rsid w:val="00844646"/>
    <w:rsid w:val="00844668"/>
    <w:rsid w:val="008446A5"/>
    <w:rsid w:val="00844898"/>
    <w:rsid w:val="00844980"/>
    <w:rsid w:val="008449A4"/>
    <w:rsid w:val="00844B12"/>
    <w:rsid w:val="00844B61"/>
    <w:rsid w:val="00844F97"/>
    <w:rsid w:val="00845505"/>
    <w:rsid w:val="00845599"/>
    <w:rsid w:val="008455CE"/>
    <w:rsid w:val="00845643"/>
    <w:rsid w:val="0084572E"/>
    <w:rsid w:val="008457F1"/>
    <w:rsid w:val="00845AEB"/>
    <w:rsid w:val="00845AF2"/>
    <w:rsid w:val="00845C85"/>
    <w:rsid w:val="00845CCD"/>
    <w:rsid w:val="00845E6C"/>
    <w:rsid w:val="00845E8A"/>
    <w:rsid w:val="0084600D"/>
    <w:rsid w:val="00846122"/>
    <w:rsid w:val="00846156"/>
    <w:rsid w:val="008462DA"/>
    <w:rsid w:val="008465A3"/>
    <w:rsid w:val="00846848"/>
    <w:rsid w:val="00846A4A"/>
    <w:rsid w:val="00846ADF"/>
    <w:rsid w:val="00846D1B"/>
    <w:rsid w:val="00846DF2"/>
    <w:rsid w:val="00847006"/>
    <w:rsid w:val="0084701A"/>
    <w:rsid w:val="008473C5"/>
    <w:rsid w:val="0084741C"/>
    <w:rsid w:val="008474B9"/>
    <w:rsid w:val="00847613"/>
    <w:rsid w:val="00847A04"/>
    <w:rsid w:val="00847B5A"/>
    <w:rsid w:val="00847DCC"/>
    <w:rsid w:val="0085022A"/>
    <w:rsid w:val="00850235"/>
    <w:rsid w:val="00850335"/>
    <w:rsid w:val="008504EA"/>
    <w:rsid w:val="00850884"/>
    <w:rsid w:val="008508F9"/>
    <w:rsid w:val="00850AFC"/>
    <w:rsid w:val="00850B05"/>
    <w:rsid w:val="00850BCD"/>
    <w:rsid w:val="00850C1F"/>
    <w:rsid w:val="00850CD3"/>
    <w:rsid w:val="0085108F"/>
    <w:rsid w:val="008511E7"/>
    <w:rsid w:val="0085152B"/>
    <w:rsid w:val="00851678"/>
    <w:rsid w:val="00851707"/>
    <w:rsid w:val="00851A3D"/>
    <w:rsid w:val="00851AF5"/>
    <w:rsid w:val="00851B84"/>
    <w:rsid w:val="00851DED"/>
    <w:rsid w:val="00851EE3"/>
    <w:rsid w:val="008521B5"/>
    <w:rsid w:val="00852B14"/>
    <w:rsid w:val="00852B42"/>
    <w:rsid w:val="00852B9F"/>
    <w:rsid w:val="00852C2E"/>
    <w:rsid w:val="00852D79"/>
    <w:rsid w:val="00852DF2"/>
    <w:rsid w:val="00852E00"/>
    <w:rsid w:val="00852E41"/>
    <w:rsid w:val="008530B5"/>
    <w:rsid w:val="00853258"/>
    <w:rsid w:val="008532A8"/>
    <w:rsid w:val="00853665"/>
    <w:rsid w:val="0085367B"/>
    <w:rsid w:val="00853885"/>
    <w:rsid w:val="00853A89"/>
    <w:rsid w:val="00853B9F"/>
    <w:rsid w:val="00853BDB"/>
    <w:rsid w:val="00853CB0"/>
    <w:rsid w:val="00853CD7"/>
    <w:rsid w:val="00853F14"/>
    <w:rsid w:val="00854031"/>
    <w:rsid w:val="0085418A"/>
    <w:rsid w:val="00854205"/>
    <w:rsid w:val="008544BE"/>
    <w:rsid w:val="008544D0"/>
    <w:rsid w:val="008545D7"/>
    <w:rsid w:val="008549AB"/>
    <w:rsid w:val="00854B40"/>
    <w:rsid w:val="00854DB4"/>
    <w:rsid w:val="00854F11"/>
    <w:rsid w:val="00854FE4"/>
    <w:rsid w:val="00855306"/>
    <w:rsid w:val="0085543E"/>
    <w:rsid w:val="00855867"/>
    <w:rsid w:val="00855904"/>
    <w:rsid w:val="00855A48"/>
    <w:rsid w:val="00855D63"/>
    <w:rsid w:val="00856082"/>
    <w:rsid w:val="00856094"/>
    <w:rsid w:val="00856185"/>
    <w:rsid w:val="00856288"/>
    <w:rsid w:val="00856459"/>
    <w:rsid w:val="00856899"/>
    <w:rsid w:val="00856B7C"/>
    <w:rsid w:val="00856BA2"/>
    <w:rsid w:val="00856E1C"/>
    <w:rsid w:val="00857126"/>
    <w:rsid w:val="00857418"/>
    <w:rsid w:val="0085742B"/>
    <w:rsid w:val="00857489"/>
    <w:rsid w:val="008575B7"/>
    <w:rsid w:val="008575E7"/>
    <w:rsid w:val="008577F4"/>
    <w:rsid w:val="00857957"/>
    <w:rsid w:val="008579A3"/>
    <w:rsid w:val="00857A43"/>
    <w:rsid w:val="00857A67"/>
    <w:rsid w:val="00857B42"/>
    <w:rsid w:val="00857B6F"/>
    <w:rsid w:val="00857C9B"/>
    <w:rsid w:val="00857E4E"/>
    <w:rsid w:val="00857EB5"/>
    <w:rsid w:val="00857EB6"/>
    <w:rsid w:val="00857ECB"/>
    <w:rsid w:val="0086006A"/>
    <w:rsid w:val="00860090"/>
    <w:rsid w:val="008601DA"/>
    <w:rsid w:val="00860243"/>
    <w:rsid w:val="0086037D"/>
    <w:rsid w:val="0086039F"/>
    <w:rsid w:val="008606EE"/>
    <w:rsid w:val="00860727"/>
    <w:rsid w:val="00860CB6"/>
    <w:rsid w:val="00860DB7"/>
    <w:rsid w:val="00860F9D"/>
    <w:rsid w:val="008611A5"/>
    <w:rsid w:val="00861246"/>
    <w:rsid w:val="0086127F"/>
    <w:rsid w:val="00861338"/>
    <w:rsid w:val="00861368"/>
    <w:rsid w:val="008613B4"/>
    <w:rsid w:val="008613CA"/>
    <w:rsid w:val="00861765"/>
    <w:rsid w:val="0086186B"/>
    <w:rsid w:val="00861B1F"/>
    <w:rsid w:val="00861CFC"/>
    <w:rsid w:val="00861D2F"/>
    <w:rsid w:val="0086202A"/>
    <w:rsid w:val="0086238A"/>
    <w:rsid w:val="00862543"/>
    <w:rsid w:val="0086258F"/>
    <w:rsid w:val="0086263B"/>
    <w:rsid w:val="00862691"/>
    <w:rsid w:val="008626F9"/>
    <w:rsid w:val="0086275B"/>
    <w:rsid w:val="008627D4"/>
    <w:rsid w:val="008628FE"/>
    <w:rsid w:val="00862A0E"/>
    <w:rsid w:val="00862A29"/>
    <w:rsid w:val="00862AE4"/>
    <w:rsid w:val="00862D47"/>
    <w:rsid w:val="00862D6E"/>
    <w:rsid w:val="00862D9C"/>
    <w:rsid w:val="00862DB7"/>
    <w:rsid w:val="00862F83"/>
    <w:rsid w:val="00863090"/>
    <w:rsid w:val="00863270"/>
    <w:rsid w:val="008633AF"/>
    <w:rsid w:val="008634F1"/>
    <w:rsid w:val="00863552"/>
    <w:rsid w:val="008636B2"/>
    <w:rsid w:val="008636DF"/>
    <w:rsid w:val="00863772"/>
    <w:rsid w:val="00863858"/>
    <w:rsid w:val="00863A1E"/>
    <w:rsid w:val="00863A5E"/>
    <w:rsid w:val="00863B6D"/>
    <w:rsid w:val="00863C65"/>
    <w:rsid w:val="00863F92"/>
    <w:rsid w:val="008640D1"/>
    <w:rsid w:val="00864156"/>
    <w:rsid w:val="0086417A"/>
    <w:rsid w:val="008645A1"/>
    <w:rsid w:val="008645BB"/>
    <w:rsid w:val="0086464F"/>
    <w:rsid w:val="008646FE"/>
    <w:rsid w:val="008647A9"/>
    <w:rsid w:val="008647E3"/>
    <w:rsid w:val="008647E7"/>
    <w:rsid w:val="00864880"/>
    <w:rsid w:val="008649ED"/>
    <w:rsid w:val="00864AD9"/>
    <w:rsid w:val="00864BF8"/>
    <w:rsid w:val="00864E3C"/>
    <w:rsid w:val="00864F07"/>
    <w:rsid w:val="00865394"/>
    <w:rsid w:val="008653F1"/>
    <w:rsid w:val="00865576"/>
    <w:rsid w:val="00865682"/>
    <w:rsid w:val="008657FC"/>
    <w:rsid w:val="00865813"/>
    <w:rsid w:val="00865880"/>
    <w:rsid w:val="00865A1C"/>
    <w:rsid w:val="00865B3A"/>
    <w:rsid w:val="00865BD5"/>
    <w:rsid w:val="00865CC2"/>
    <w:rsid w:val="00865D70"/>
    <w:rsid w:val="00865E3D"/>
    <w:rsid w:val="00865E7B"/>
    <w:rsid w:val="00865F0C"/>
    <w:rsid w:val="00865F71"/>
    <w:rsid w:val="0086620A"/>
    <w:rsid w:val="008664F4"/>
    <w:rsid w:val="008665EC"/>
    <w:rsid w:val="00866647"/>
    <w:rsid w:val="008668B8"/>
    <w:rsid w:val="008668EB"/>
    <w:rsid w:val="00866A05"/>
    <w:rsid w:val="00866C43"/>
    <w:rsid w:val="00866C68"/>
    <w:rsid w:val="00866D60"/>
    <w:rsid w:val="008672C4"/>
    <w:rsid w:val="008673D9"/>
    <w:rsid w:val="00867545"/>
    <w:rsid w:val="008675FD"/>
    <w:rsid w:val="00867CAD"/>
    <w:rsid w:val="0087006C"/>
    <w:rsid w:val="008700B6"/>
    <w:rsid w:val="008700EF"/>
    <w:rsid w:val="008702AF"/>
    <w:rsid w:val="00870373"/>
    <w:rsid w:val="008704A8"/>
    <w:rsid w:val="0087089A"/>
    <w:rsid w:val="00870A62"/>
    <w:rsid w:val="00870B56"/>
    <w:rsid w:val="00870CC9"/>
    <w:rsid w:val="00870EF7"/>
    <w:rsid w:val="00870FBF"/>
    <w:rsid w:val="00870FC0"/>
    <w:rsid w:val="0087106F"/>
    <w:rsid w:val="00871071"/>
    <w:rsid w:val="0087112C"/>
    <w:rsid w:val="008712B5"/>
    <w:rsid w:val="008712F1"/>
    <w:rsid w:val="008713AD"/>
    <w:rsid w:val="0087144C"/>
    <w:rsid w:val="00871552"/>
    <w:rsid w:val="00871751"/>
    <w:rsid w:val="0087175D"/>
    <w:rsid w:val="00871C7B"/>
    <w:rsid w:val="00872000"/>
    <w:rsid w:val="0087209F"/>
    <w:rsid w:val="0087211B"/>
    <w:rsid w:val="00872181"/>
    <w:rsid w:val="00872231"/>
    <w:rsid w:val="00872395"/>
    <w:rsid w:val="008724B5"/>
    <w:rsid w:val="00872506"/>
    <w:rsid w:val="00872556"/>
    <w:rsid w:val="00872687"/>
    <w:rsid w:val="008726A0"/>
    <w:rsid w:val="0087277F"/>
    <w:rsid w:val="00872912"/>
    <w:rsid w:val="00872929"/>
    <w:rsid w:val="0087299D"/>
    <w:rsid w:val="008729C6"/>
    <w:rsid w:val="00872A0D"/>
    <w:rsid w:val="00872B58"/>
    <w:rsid w:val="00872B61"/>
    <w:rsid w:val="00872B6E"/>
    <w:rsid w:val="00872E30"/>
    <w:rsid w:val="00872FC2"/>
    <w:rsid w:val="00872FFF"/>
    <w:rsid w:val="00873099"/>
    <w:rsid w:val="008730CA"/>
    <w:rsid w:val="00873373"/>
    <w:rsid w:val="00873511"/>
    <w:rsid w:val="00873701"/>
    <w:rsid w:val="00873702"/>
    <w:rsid w:val="008737E0"/>
    <w:rsid w:val="00873832"/>
    <w:rsid w:val="0087397B"/>
    <w:rsid w:val="00873CA7"/>
    <w:rsid w:val="00873D58"/>
    <w:rsid w:val="0087405E"/>
    <w:rsid w:val="00874581"/>
    <w:rsid w:val="00874686"/>
    <w:rsid w:val="008747F4"/>
    <w:rsid w:val="008749C0"/>
    <w:rsid w:val="00874C23"/>
    <w:rsid w:val="00874D6D"/>
    <w:rsid w:val="0087514B"/>
    <w:rsid w:val="008751D4"/>
    <w:rsid w:val="008751FE"/>
    <w:rsid w:val="008752E6"/>
    <w:rsid w:val="00875370"/>
    <w:rsid w:val="008756F2"/>
    <w:rsid w:val="008757E8"/>
    <w:rsid w:val="00875832"/>
    <w:rsid w:val="008758F9"/>
    <w:rsid w:val="00875A26"/>
    <w:rsid w:val="00875C07"/>
    <w:rsid w:val="00875D99"/>
    <w:rsid w:val="00875F57"/>
    <w:rsid w:val="008760AB"/>
    <w:rsid w:val="008760EC"/>
    <w:rsid w:val="00876397"/>
    <w:rsid w:val="00876425"/>
    <w:rsid w:val="008766FC"/>
    <w:rsid w:val="0087683E"/>
    <w:rsid w:val="008768B2"/>
    <w:rsid w:val="00876A42"/>
    <w:rsid w:val="00876A63"/>
    <w:rsid w:val="00876ABF"/>
    <w:rsid w:val="00876CF8"/>
    <w:rsid w:val="00876E47"/>
    <w:rsid w:val="00876FBB"/>
    <w:rsid w:val="0087710F"/>
    <w:rsid w:val="00877222"/>
    <w:rsid w:val="00877308"/>
    <w:rsid w:val="008774FA"/>
    <w:rsid w:val="0087760D"/>
    <w:rsid w:val="008776AF"/>
    <w:rsid w:val="00877749"/>
    <w:rsid w:val="008778D9"/>
    <w:rsid w:val="00877A3E"/>
    <w:rsid w:val="00877B7D"/>
    <w:rsid w:val="00877C77"/>
    <w:rsid w:val="00877C97"/>
    <w:rsid w:val="00877D22"/>
    <w:rsid w:val="00877D35"/>
    <w:rsid w:val="00877F2E"/>
    <w:rsid w:val="0088036C"/>
    <w:rsid w:val="00880875"/>
    <w:rsid w:val="00880978"/>
    <w:rsid w:val="00880A1A"/>
    <w:rsid w:val="00880B48"/>
    <w:rsid w:val="00880F44"/>
    <w:rsid w:val="00880FF5"/>
    <w:rsid w:val="0088122F"/>
    <w:rsid w:val="008812CD"/>
    <w:rsid w:val="008813F8"/>
    <w:rsid w:val="00881745"/>
    <w:rsid w:val="008817E8"/>
    <w:rsid w:val="0088194B"/>
    <w:rsid w:val="00881A52"/>
    <w:rsid w:val="00881AE5"/>
    <w:rsid w:val="00881CC1"/>
    <w:rsid w:val="00881DEA"/>
    <w:rsid w:val="00881E6A"/>
    <w:rsid w:val="00881E74"/>
    <w:rsid w:val="00881FB9"/>
    <w:rsid w:val="00881FDA"/>
    <w:rsid w:val="008824B4"/>
    <w:rsid w:val="008824BC"/>
    <w:rsid w:val="008824CB"/>
    <w:rsid w:val="0088260B"/>
    <w:rsid w:val="008827FD"/>
    <w:rsid w:val="008828B4"/>
    <w:rsid w:val="008828E8"/>
    <w:rsid w:val="00882980"/>
    <w:rsid w:val="008829D9"/>
    <w:rsid w:val="00882A1B"/>
    <w:rsid w:val="00882B6D"/>
    <w:rsid w:val="00882F06"/>
    <w:rsid w:val="0088310C"/>
    <w:rsid w:val="008831C8"/>
    <w:rsid w:val="008832C3"/>
    <w:rsid w:val="00883310"/>
    <w:rsid w:val="008833E2"/>
    <w:rsid w:val="008835B5"/>
    <w:rsid w:val="00883634"/>
    <w:rsid w:val="00883671"/>
    <w:rsid w:val="00883719"/>
    <w:rsid w:val="008837E6"/>
    <w:rsid w:val="00883870"/>
    <w:rsid w:val="00883A65"/>
    <w:rsid w:val="00883C53"/>
    <w:rsid w:val="00883D91"/>
    <w:rsid w:val="0088411A"/>
    <w:rsid w:val="00884238"/>
    <w:rsid w:val="008843C0"/>
    <w:rsid w:val="008844BA"/>
    <w:rsid w:val="00884546"/>
    <w:rsid w:val="008846F5"/>
    <w:rsid w:val="00884B38"/>
    <w:rsid w:val="00884B8A"/>
    <w:rsid w:val="00884B9B"/>
    <w:rsid w:val="00884D71"/>
    <w:rsid w:val="00884E1A"/>
    <w:rsid w:val="00884FEA"/>
    <w:rsid w:val="0088512B"/>
    <w:rsid w:val="00885281"/>
    <w:rsid w:val="0088535D"/>
    <w:rsid w:val="00885531"/>
    <w:rsid w:val="00885721"/>
    <w:rsid w:val="00885723"/>
    <w:rsid w:val="00885784"/>
    <w:rsid w:val="008858C7"/>
    <w:rsid w:val="008858EB"/>
    <w:rsid w:val="00885CEA"/>
    <w:rsid w:val="00885EE4"/>
    <w:rsid w:val="00885FC9"/>
    <w:rsid w:val="00886079"/>
    <w:rsid w:val="0088614E"/>
    <w:rsid w:val="008862B5"/>
    <w:rsid w:val="008863BF"/>
    <w:rsid w:val="008863DF"/>
    <w:rsid w:val="00886410"/>
    <w:rsid w:val="00886423"/>
    <w:rsid w:val="0088645A"/>
    <w:rsid w:val="008864C0"/>
    <w:rsid w:val="008865A6"/>
    <w:rsid w:val="008867EE"/>
    <w:rsid w:val="00886807"/>
    <w:rsid w:val="00886B66"/>
    <w:rsid w:val="00886B84"/>
    <w:rsid w:val="00886EFA"/>
    <w:rsid w:val="00886F5D"/>
    <w:rsid w:val="00887109"/>
    <w:rsid w:val="008871D6"/>
    <w:rsid w:val="008871DA"/>
    <w:rsid w:val="00887232"/>
    <w:rsid w:val="008872F0"/>
    <w:rsid w:val="008872FF"/>
    <w:rsid w:val="0088734D"/>
    <w:rsid w:val="00887463"/>
    <w:rsid w:val="008876FA"/>
    <w:rsid w:val="00887821"/>
    <w:rsid w:val="0088786D"/>
    <w:rsid w:val="008879B5"/>
    <w:rsid w:val="00887A18"/>
    <w:rsid w:val="00887A32"/>
    <w:rsid w:val="00887A37"/>
    <w:rsid w:val="00887A93"/>
    <w:rsid w:val="00887BE2"/>
    <w:rsid w:val="00887BFC"/>
    <w:rsid w:val="00887CF2"/>
    <w:rsid w:val="00887F0C"/>
    <w:rsid w:val="00887F32"/>
    <w:rsid w:val="00887F74"/>
    <w:rsid w:val="008900D0"/>
    <w:rsid w:val="008903E8"/>
    <w:rsid w:val="0089045E"/>
    <w:rsid w:val="008904BE"/>
    <w:rsid w:val="008906DA"/>
    <w:rsid w:val="00890743"/>
    <w:rsid w:val="008908F0"/>
    <w:rsid w:val="00890A4E"/>
    <w:rsid w:val="00890BAF"/>
    <w:rsid w:val="00890C1F"/>
    <w:rsid w:val="00890D11"/>
    <w:rsid w:val="00890D87"/>
    <w:rsid w:val="00890EA2"/>
    <w:rsid w:val="00891179"/>
    <w:rsid w:val="0089127D"/>
    <w:rsid w:val="0089132F"/>
    <w:rsid w:val="0089138F"/>
    <w:rsid w:val="008914C6"/>
    <w:rsid w:val="00891647"/>
    <w:rsid w:val="008916D6"/>
    <w:rsid w:val="0089172D"/>
    <w:rsid w:val="008919A9"/>
    <w:rsid w:val="00891A04"/>
    <w:rsid w:val="00891B29"/>
    <w:rsid w:val="00891DC2"/>
    <w:rsid w:val="00891EB8"/>
    <w:rsid w:val="00892469"/>
    <w:rsid w:val="008924C7"/>
    <w:rsid w:val="008925E0"/>
    <w:rsid w:val="008925E7"/>
    <w:rsid w:val="0089271B"/>
    <w:rsid w:val="00892759"/>
    <w:rsid w:val="00892793"/>
    <w:rsid w:val="00892921"/>
    <w:rsid w:val="00892B54"/>
    <w:rsid w:val="00892D85"/>
    <w:rsid w:val="00892DC2"/>
    <w:rsid w:val="00892E6F"/>
    <w:rsid w:val="00892F9A"/>
    <w:rsid w:val="00893014"/>
    <w:rsid w:val="00893019"/>
    <w:rsid w:val="00893489"/>
    <w:rsid w:val="00893630"/>
    <w:rsid w:val="00893634"/>
    <w:rsid w:val="0089369D"/>
    <w:rsid w:val="008936C7"/>
    <w:rsid w:val="008936D5"/>
    <w:rsid w:val="008936DE"/>
    <w:rsid w:val="0089377F"/>
    <w:rsid w:val="008939E2"/>
    <w:rsid w:val="00893B50"/>
    <w:rsid w:val="00893B77"/>
    <w:rsid w:val="00893CB5"/>
    <w:rsid w:val="00893D87"/>
    <w:rsid w:val="00893E30"/>
    <w:rsid w:val="00893F29"/>
    <w:rsid w:val="00894078"/>
    <w:rsid w:val="00894392"/>
    <w:rsid w:val="00894443"/>
    <w:rsid w:val="008944CE"/>
    <w:rsid w:val="00894569"/>
    <w:rsid w:val="008945C5"/>
    <w:rsid w:val="008946EC"/>
    <w:rsid w:val="00894813"/>
    <w:rsid w:val="008948A9"/>
    <w:rsid w:val="008948CE"/>
    <w:rsid w:val="00894957"/>
    <w:rsid w:val="0089496F"/>
    <w:rsid w:val="00894B02"/>
    <w:rsid w:val="00894B6C"/>
    <w:rsid w:val="00894C8E"/>
    <w:rsid w:val="00894D60"/>
    <w:rsid w:val="00894ECB"/>
    <w:rsid w:val="00895105"/>
    <w:rsid w:val="008951C1"/>
    <w:rsid w:val="00895200"/>
    <w:rsid w:val="008953CB"/>
    <w:rsid w:val="00895614"/>
    <w:rsid w:val="008958FA"/>
    <w:rsid w:val="00895902"/>
    <w:rsid w:val="008959B9"/>
    <w:rsid w:val="00895BDD"/>
    <w:rsid w:val="00895BFA"/>
    <w:rsid w:val="00895DD6"/>
    <w:rsid w:val="00895EBA"/>
    <w:rsid w:val="00895F8B"/>
    <w:rsid w:val="00896250"/>
    <w:rsid w:val="0089631A"/>
    <w:rsid w:val="0089634F"/>
    <w:rsid w:val="00896579"/>
    <w:rsid w:val="0089661A"/>
    <w:rsid w:val="00896803"/>
    <w:rsid w:val="008968B3"/>
    <w:rsid w:val="008969D5"/>
    <w:rsid w:val="00896BA3"/>
    <w:rsid w:val="00896C4B"/>
    <w:rsid w:val="00896EA6"/>
    <w:rsid w:val="00896FB2"/>
    <w:rsid w:val="00896FD6"/>
    <w:rsid w:val="00897090"/>
    <w:rsid w:val="0089720D"/>
    <w:rsid w:val="008973AA"/>
    <w:rsid w:val="008973EB"/>
    <w:rsid w:val="0089769E"/>
    <w:rsid w:val="00897955"/>
    <w:rsid w:val="00897A69"/>
    <w:rsid w:val="00897BF1"/>
    <w:rsid w:val="00897C5C"/>
    <w:rsid w:val="00897C94"/>
    <w:rsid w:val="00897D77"/>
    <w:rsid w:val="00897E1A"/>
    <w:rsid w:val="008A0405"/>
    <w:rsid w:val="008A054C"/>
    <w:rsid w:val="008A088D"/>
    <w:rsid w:val="008A0B0D"/>
    <w:rsid w:val="008A0C74"/>
    <w:rsid w:val="008A0DB0"/>
    <w:rsid w:val="008A1015"/>
    <w:rsid w:val="008A1269"/>
    <w:rsid w:val="008A1303"/>
    <w:rsid w:val="008A13C7"/>
    <w:rsid w:val="008A1542"/>
    <w:rsid w:val="008A1543"/>
    <w:rsid w:val="008A1627"/>
    <w:rsid w:val="008A162E"/>
    <w:rsid w:val="008A1637"/>
    <w:rsid w:val="008A16F0"/>
    <w:rsid w:val="008A196D"/>
    <w:rsid w:val="008A1A51"/>
    <w:rsid w:val="008A1B68"/>
    <w:rsid w:val="008A1DC4"/>
    <w:rsid w:val="008A1F3E"/>
    <w:rsid w:val="008A1FCD"/>
    <w:rsid w:val="008A1FD3"/>
    <w:rsid w:val="008A20FD"/>
    <w:rsid w:val="008A21C5"/>
    <w:rsid w:val="008A2244"/>
    <w:rsid w:val="008A230D"/>
    <w:rsid w:val="008A23F3"/>
    <w:rsid w:val="008A247F"/>
    <w:rsid w:val="008A24BB"/>
    <w:rsid w:val="008A2AC6"/>
    <w:rsid w:val="008A2B15"/>
    <w:rsid w:val="008A2E59"/>
    <w:rsid w:val="008A339A"/>
    <w:rsid w:val="008A3497"/>
    <w:rsid w:val="008A36C6"/>
    <w:rsid w:val="008A3867"/>
    <w:rsid w:val="008A390D"/>
    <w:rsid w:val="008A3E80"/>
    <w:rsid w:val="008A401D"/>
    <w:rsid w:val="008A4289"/>
    <w:rsid w:val="008A4295"/>
    <w:rsid w:val="008A4415"/>
    <w:rsid w:val="008A443C"/>
    <w:rsid w:val="008A4499"/>
    <w:rsid w:val="008A49AD"/>
    <w:rsid w:val="008A4B09"/>
    <w:rsid w:val="008A4B33"/>
    <w:rsid w:val="008A4D4B"/>
    <w:rsid w:val="008A4D53"/>
    <w:rsid w:val="008A4F4B"/>
    <w:rsid w:val="008A4FCC"/>
    <w:rsid w:val="008A4FF8"/>
    <w:rsid w:val="008A5032"/>
    <w:rsid w:val="008A50F1"/>
    <w:rsid w:val="008A5377"/>
    <w:rsid w:val="008A54EF"/>
    <w:rsid w:val="008A55C6"/>
    <w:rsid w:val="008A55D2"/>
    <w:rsid w:val="008A56AF"/>
    <w:rsid w:val="008A5727"/>
    <w:rsid w:val="008A576C"/>
    <w:rsid w:val="008A58D5"/>
    <w:rsid w:val="008A5A3C"/>
    <w:rsid w:val="008A5A9C"/>
    <w:rsid w:val="008A5C54"/>
    <w:rsid w:val="008A5DE6"/>
    <w:rsid w:val="008A5DF0"/>
    <w:rsid w:val="008A5E4C"/>
    <w:rsid w:val="008A5E6A"/>
    <w:rsid w:val="008A5FAE"/>
    <w:rsid w:val="008A608D"/>
    <w:rsid w:val="008A6295"/>
    <w:rsid w:val="008A6330"/>
    <w:rsid w:val="008A63E3"/>
    <w:rsid w:val="008A63FF"/>
    <w:rsid w:val="008A6A0A"/>
    <w:rsid w:val="008A6B3D"/>
    <w:rsid w:val="008A6BF4"/>
    <w:rsid w:val="008A6F7C"/>
    <w:rsid w:val="008A7005"/>
    <w:rsid w:val="008A7084"/>
    <w:rsid w:val="008A7135"/>
    <w:rsid w:val="008A761C"/>
    <w:rsid w:val="008A7688"/>
    <w:rsid w:val="008A76F5"/>
    <w:rsid w:val="008A79A6"/>
    <w:rsid w:val="008A79B1"/>
    <w:rsid w:val="008A7C78"/>
    <w:rsid w:val="008A7D5C"/>
    <w:rsid w:val="008A7DB7"/>
    <w:rsid w:val="008A7E16"/>
    <w:rsid w:val="008B04EE"/>
    <w:rsid w:val="008B058D"/>
    <w:rsid w:val="008B05CA"/>
    <w:rsid w:val="008B0675"/>
    <w:rsid w:val="008B0729"/>
    <w:rsid w:val="008B0807"/>
    <w:rsid w:val="008B080F"/>
    <w:rsid w:val="008B0AF4"/>
    <w:rsid w:val="008B0BD4"/>
    <w:rsid w:val="008B0CF2"/>
    <w:rsid w:val="008B0DD5"/>
    <w:rsid w:val="008B104D"/>
    <w:rsid w:val="008B10F0"/>
    <w:rsid w:val="008B1258"/>
    <w:rsid w:val="008B13DD"/>
    <w:rsid w:val="008B176A"/>
    <w:rsid w:val="008B18F8"/>
    <w:rsid w:val="008B1991"/>
    <w:rsid w:val="008B1C76"/>
    <w:rsid w:val="008B1DDD"/>
    <w:rsid w:val="008B1DEC"/>
    <w:rsid w:val="008B1DF2"/>
    <w:rsid w:val="008B1E7B"/>
    <w:rsid w:val="008B1E91"/>
    <w:rsid w:val="008B20B0"/>
    <w:rsid w:val="008B2151"/>
    <w:rsid w:val="008B23AB"/>
    <w:rsid w:val="008B247B"/>
    <w:rsid w:val="008B2508"/>
    <w:rsid w:val="008B2513"/>
    <w:rsid w:val="008B25F7"/>
    <w:rsid w:val="008B282A"/>
    <w:rsid w:val="008B2856"/>
    <w:rsid w:val="008B28AC"/>
    <w:rsid w:val="008B2979"/>
    <w:rsid w:val="008B2A57"/>
    <w:rsid w:val="008B2BC2"/>
    <w:rsid w:val="008B2BD7"/>
    <w:rsid w:val="008B2C9D"/>
    <w:rsid w:val="008B2D80"/>
    <w:rsid w:val="008B2DC6"/>
    <w:rsid w:val="008B2F29"/>
    <w:rsid w:val="008B2F4E"/>
    <w:rsid w:val="008B3247"/>
    <w:rsid w:val="008B3445"/>
    <w:rsid w:val="008B34D7"/>
    <w:rsid w:val="008B358E"/>
    <w:rsid w:val="008B3638"/>
    <w:rsid w:val="008B3A4B"/>
    <w:rsid w:val="008B3D2D"/>
    <w:rsid w:val="008B3E52"/>
    <w:rsid w:val="008B3FA7"/>
    <w:rsid w:val="008B4037"/>
    <w:rsid w:val="008B4385"/>
    <w:rsid w:val="008B464D"/>
    <w:rsid w:val="008B46E2"/>
    <w:rsid w:val="008B47B5"/>
    <w:rsid w:val="008B47F9"/>
    <w:rsid w:val="008B4941"/>
    <w:rsid w:val="008B4C7D"/>
    <w:rsid w:val="008B4E3D"/>
    <w:rsid w:val="008B4E43"/>
    <w:rsid w:val="008B4EA0"/>
    <w:rsid w:val="008B5119"/>
    <w:rsid w:val="008B5124"/>
    <w:rsid w:val="008B5276"/>
    <w:rsid w:val="008B532B"/>
    <w:rsid w:val="008B5544"/>
    <w:rsid w:val="008B55B7"/>
    <w:rsid w:val="008B55D2"/>
    <w:rsid w:val="008B599E"/>
    <w:rsid w:val="008B59CE"/>
    <w:rsid w:val="008B59DF"/>
    <w:rsid w:val="008B5A0C"/>
    <w:rsid w:val="008B5B12"/>
    <w:rsid w:val="008B5B27"/>
    <w:rsid w:val="008B5BC8"/>
    <w:rsid w:val="008B5F25"/>
    <w:rsid w:val="008B60CF"/>
    <w:rsid w:val="008B633C"/>
    <w:rsid w:val="008B6399"/>
    <w:rsid w:val="008B63B3"/>
    <w:rsid w:val="008B64EA"/>
    <w:rsid w:val="008B6853"/>
    <w:rsid w:val="008B6988"/>
    <w:rsid w:val="008B6A1A"/>
    <w:rsid w:val="008B6A3E"/>
    <w:rsid w:val="008B6A7C"/>
    <w:rsid w:val="008B6BA7"/>
    <w:rsid w:val="008B6D01"/>
    <w:rsid w:val="008B6F1B"/>
    <w:rsid w:val="008B6FAE"/>
    <w:rsid w:val="008B6FD4"/>
    <w:rsid w:val="008B700A"/>
    <w:rsid w:val="008B7025"/>
    <w:rsid w:val="008B75D6"/>
    <w:rsid w:val="008B79F1"/>
    <w:rsid w:val="008B7AFC"/>
    <w:rsid w:val="008B7C5A"/>
    <w:rsid w:val="008B7CD7"/>
    <w:rsid w:val="008B7F9C"/>
    <w:rsid w:val="008C00B0"/>
    <w:rsid w:val="008C01AA"/>
    <w:rsid w:val="008C0223"/>
    <w:rsid w:val="008C03D0"/>
    <w:rsid w:val="008C05BF"/>
    <w:rsid w:val="008C078C"/>
    <w:rsid w:val="008C0848"/>
    <w:rsid w:val="008C0A83"/>
    <w:rsid w:val="008C0B85"/>
    <w:rsid w:val="008C0C58"/>
    <w:rsid w:val="008C0D32"/>
    <w:rsid w:val="008C0FB4"/>
    <w:rsid w:val="008C100F"/>
    <w:rsid w:val="008C1175"/>
    <w:rsid w:val="008C12A0"/>
    <w:rsid w:val="008C1357"/>
    <w:rsid w:val="008C1464"/>
    <w:rsid w:val="008C14A2"/>
    <w:rsid w:val="008C14C2"/>
    <w:rsid w:val="008C16B2"/>
    <w:rsid w:val="008C1719"/>
    <w:rsid w:val="008C1C01"/>
    <w:rsid w:val="008C1F84"/>
    <w:rsid w:val="008C1FEB"/>
    <w:rsid w:val="008C2098"/>
    <w:rsid w:val="008C2224"/>
    <w:rsid w:val="008C2270"/>
    <w:rsid w:val="008C250F"/>
    <w:rsid w:val="008C2591"/>
    <w:rsid w:val="008C26DA"/>
    <w:rsid w:val="008C26E8"/>
    <w:rsid w:val="008C27C1"/>
    <w:rsid w:val="008C27F0"/>
    <w:rsid w:val="008C2A6C"/>
    <w:rsid w:val="008C2B31"/>
    <w:rsid w:val="008C2BE9"/>
    <w:rsid w:val="008C2CC3"/>
    <w:rsid w:val="008C2FE8"/>
    <w:rsid w:val="008C30C6"/>
    <w:rsid w:val="008C3161"/>
    <w:rsid w:val="008C3164"/>
    <w:rsid w:val="008C31B2"/>
    <w:rsid w:val="008C3255"/>
    <w:rsid w:val="008C33DE"/>
    <w:rsid w:val="008C36C8"/>
    <w:rsid w:val="008C3822"/>
    <w:rsid w:val="008C38A5"/>
    <w:rsid w:val="008C394D"/>
    <w:rsid w:val="008C39E4"/>
    <w:rsid w:val="008C3A47"/>
    <w:rsid w:val="008C3A85"/>
    <w:rsid w:val="008C3C21"/>
    <w:rsid w:val="008C3C58"/>
    <w:rsid w:val="008C3D76"/>
    <w:rsid w:val="008C3F0E"/>
    <w:rsid w:val="008C3F9D"/>
    <w:rsid w:val="008C4053"/>
    <w:rsid w:val="008C40D1"/>
    <w:rsid w:val="008C44C7"/>
    <w:rsid w:val="008C44F3"/>
    <w:rsid w:val="008C47C3"/>
    <w:rsid w:val="008C47F8"/>
    <w:rsid w:val="008C48B1"/>
    <w:rsid w:val="008C490F"/>
    <w:rsid w:val="008C4965"/>
    <w:rsid w:val="008C4B3C"/>
    <w:rsid w:val="008C4E48"/>
    <w:rsid w:val="008C4F46"/>
    <w:rsid w:val="008C4FB9"/>
    <w:rsid w:val="008C537D"/>
    <w:rsid w:val="008C563E"/>
    <w:rsid w:val="008C568C"/>
    <w:rsid w:val="008C573B"/>
    <w:rsid w:val="008C5B32"/>
    <w:rsid w:val="008C5C86"/>
    <w:rsid w:val="008C5CB1"/>
    <w:rsid w:val="008C5D9C"/>
    <w:rsid w:val="008C5E5D"/>
    <w:rsid w:val="008C5E84"/>
    <w:rsid w:val="008C5FAC"/>
    <w:rsid w:val="008C6132"/>
    <w:rsid w:val="008C6185"/>
    <w:rsid w:val="008C61DB"/>
    <w:rsid w:val="008C62B2"/>
    <w:rsid w:val="008C62CF"/>
    <w:rsid w:val="008C63B9"/>
    <w:rsid w:val="008C64EB"/>
    <w:rsid w:val="008C6563"/>
    <w:rsid w:val="008C688F"/>
    <w:rsid w:val="008C693D"/>
    <w:rsid w:val="008C6B72"/>
    <w:rsid w:val="008C6E26"/>
    <w:rsid w:val="008C6EBC"/>
    <w:rsid w:val="008C6FD4"/>
    <w:rsid w:val="008C729A"/>
    <w:rsid w:val="008C73F5"/>
    <w:rsid w:val="008C73FD"/>
    <w:rsid w:val="008C74C8"/>
    <w:rsid w:val="008C75E4"/>
    <w:rsid w:val="008C772C"/>
    <w:rsid w:val="008D004F"/>
    <w:rsid w:val="008D013F"/>
    <w:rsid w:val="008D015A"/>
    <w:rsid w:val="008D0176"/>
    <w:rsid w:val="008D0622"/>
    <w:rsid w:val="008D0661"/>
    <w:rsid w:val="008D0691"/>
    <w:rsid w:val="008D0749"/>
    <w:rsid w:val="008D08CC"/>
    <w:rsid w:val="008D0928"/>
    <w:rsid w:val="008D0D17"/>
    <w:rsid w:val="008D0DD2"/>
    <w:rsid w:val="008D103B"/>
    <w:rsid w:val="008D117B"/>
    <w:rsid w:val="008D11B8"/>
    <w:rsid w:val="008D11FF"/>
    <w:rsid w:val="008D1249"/>
    <w:rsid w:val="008D125F"/>
    <w:rsid w:val="008D1271"/>
    <w:rsid w:val="008D12A0"/>
    <w:rsid w:val="008D1407"/>
    <w:rsid w:val="008D142E"/>
    <w:rsid w:val="008D1544"/>
    <w:rsid w:val="008D17B0"/>
    <w:rsid w:val="008D17E9"/>
    <w:rsid w:val="008D1B1C"/>
    <w:rsid w:val="008D21C0"/>
    <w:rsid w:val="008D2316"/>
    <w:rsid w:val="008D2321"/>
    <w:rsid w:val="008D2535"/>
    <w:rsid w:val="008D276A"/>
    <w:rsid w:val="008D27C9"/>
    <w:rsid w:val="008D2CEA"/>
    <w:rsid w:val="008D3362"/>
    <w:rsid w:val="008D3554"/>
    <w:rsid w:val="008D36FC"/>
    <w:rsid w:val="008D374D"/>
    <w:rsid w:val="008D3762"/>
    <w:rsid w:val="008D37CF"/>
    <w:rsid w:val="008D3A6E"/>
    <w:rsid w:val="008D3C45"/>
    <w:rsid w:val="008D3C86"/>
    <w:rsid w:val="008D3D7F"/>
    <w:rsid w:val="008D3F36"/>
    <w:rsid w:val="008D4530"/>
    <w:rsid w:val="008D4810"/>
    <w:rsid w:val="008D4A3D"/>
    <w:rsid w:val="008D4A71"/>
    <w:rsid w:val="008D4A73"/>
    <w:rsid w:val="008D4ABB"/>
    <w:rsid w:val="008D4D5C"/>
    <w:rsid w:val="008D4F0A"/>
    <w:rsid w:val="008D4F38"/>
    <w:rsid w:val="008D5208"/>
    <w:rsid w:val="008D52A9"/>
    <w:rsid w:val="008D538A"/>
    <w:rsid w:val="008D53E1"/>
    <w:rsid w:val="008D551B"/>
    <w:rsid w:val="008D56DA"/>
    <w:rsid w:val="008D577A"/>
    <w:rsid w:val="008D57D3"/>
    <w:rsid w:val="008D58BE"/>
    <w:rsid w:val="008D59F2"/>
    <w:rsid w:val="008D5ADF"/>
    <w:rsid w:val="008D5F83"/>
    <w:rsid w:val="008D6247"/>
    <w:rsid w:val="008D6487"/>
    <w:rsid w:val="008D64CD"/>
    <w:rsid w:val="008D6502"/>
    <w:rsid w:val="008D6569"/>
    <w:rsid w:val="008D6661"/>
    <w:rsid w:val="008D675C"/>
    <w:rsid w:val="008D677F"/>
    <w:rsid w:val="008D6A5C"/>
    <w:rsid w:val="008D6B01"/>
    <w:rsid w:val="008D6C3E"/>
    <w:rsid w:val="008D6FE9"/>
    <w:rsid w:val="008D72CF"/>
    <w:rsid w:val="008D731B"/>
    <w:rsid w:val="008D73FF"/>
    <w:rsid w:val="008D755A"/>
    <w:rsid w:val="008D756F"/>
    <w:rsid w:val="008D7698"/>
    <w:rsid w:val="008D76DD"/>
    <w:rsid w:val="008D7847"/>
    <w:rsid w:val="008D7856"/>
    <w:rsid w:val="008D7993"/>
    <w:rsid w:val="008D7BC7"/>
    <w:rsid w:val="008D7D63"/>
    <w:rsid w:val="008D7DCD"/>
    <w:rsid w:val="008D7F0E"/>
    <w:rsid w:val="008E00AD"/>
    <w:rsid w:val="008E08B3"/>
    <w:rsid w:val="008E08F3"/>
    <w:rsid w:val="008E0F2C"/>
    <w:rsid w:val="008E0FED"/>
    <w:rsid w:val="008E106F"/>
    <w:rsid w:val="008E1382"/>
    <w:rsid w:val="008E14CC"/>
    <w:rsid w:val="008E1882"/>
    <w:rsid w:val="008E18AB"/>
    <w:rsid w:val="008E1950"/>
    <w:rsid w:val="008E1980"/>
    <w:rsid w:val="008E1A2F"/>
    <w:rsid w:val="008E206A"/>
    <w:rsid w:val="008E21B0"/>
    <w:rsid w:val="008E21D0"/>
    <w:rsid w:val="008E238A"/>
    <w:rsid w:val="008E241E"/>
    <w:rsid w:val="008E29A2"/>
    <w:rsid w:val="008E2A06"/>
    <w:rsid w:val="008E2A9A"/>
    <w:rsid w:val="008E2BA0"/>
    <w:rsid w:val="008E2DF2"/>
    <w:rsid w:val="008E2F7B"/>
    <w:rsid w:val="008E2FBA"/>
    <w:rsid w:val="008E304A"/>
    <w:rsid w:val="008E3074"/>
    <w:rsid w:val="008E30A9"/>
    <w:rsid w:val="008E32C0"/>
    <w:rsid w:val="008E34D8"/>
    <w:rsid w:val="008E3507"/>
    <w:rsid w:val="008E3860"/>
    <w:rsid w:val="008E3A73"/>
    <w:rsid w:val="008E3A8F"/>
    <w:rsid w:val="008E3B37"/>
    <w:rsid w:val="008E3DA1"/>
    <w:rsid w:val="008E3DCF"/>
    <w:rsid w:val="008E3DD9"/>
    <w:rsid w:val="008E3F9D"/>
    <w:rsid w:val="008E422D"/>
    <w:rsid w:val="008E4317"/>
    <w:rsid w:val="008E4332"/>
    <w:rsid w:val="008E43F0"/>
    <w:rsid w:val="008E43F9"/>
    <w:rsid w:val="008E4556"/>
    <w:rsid w:val="008E4713"/>
    <w:rsid w:val="008E4822"/>
    <w:rsid w:val="008E4A4B"/>
    <w:rsid w:val="008E4A72"/>
    <w:rsid w:val="008E4B3F"/>
    <w:rsid w:val="008E4DAA"/>
    <w:rsid w:val="008E4EB9"/>
    <w:rsid w:val="008E4F26"/>
    <w:rsid w:val="008E4FED"/>
    <w:rsid w:val="008E512F"/>
    <w:rsid w:val="008E5484"/>
    <w:rsid w:val="008E564C"/>
    <w:rsid w:val="008E5861"/>
    <w:rsid w:val="008E5888"/>
    <w:rsid w:val="008E59B3"/>
    <w:rsid w:val="008E59CA"/>
    <w:rsid w:val="008E5A37"/>
    <w:rsid w:val="008E5A4B"/>
    <w:rsid w:val="008E5A75"/>
    <w:rsid w:val="008E5DCA"/>
    <w:rsid w:val="008E5E28"/>
    <w:rsid w:val="008E622E"/>
    <w:rsid w:val="008E6237"/>
    <w:rsid w:val="008E6389"/>
    <w:rsid w:val="008E64E6"/>
    <w:rsid w:val="008E6727"/>
    <w:rsid w:val="008E6882"/>
    <w:rsid w:val="008E689F"/>
    <w:rsid w:val="008E693D"/>
    <w:rsid w:val="008E6CF7"/>
    <w:rsid w:val="008E6DFD"/>
    <w:rsid w:val="008E6E1D"/>
    <w:rsid w:val="008E7148"/>
    <w:rsid w:val="008E7325"/>
    <w:rsid w:val="008E75FD"/>
    <w:rsid w:val="008E770F"/>
    <w:rsid w:val="008E78C5"/>
    <w:rsid w:val="008E7941"/>
    <w:rsid w:val="008E7AE6"/>
    <w:rsid w:val="008E7F17"/>
    <w:rsid w:val="008F0059"/>
    <w:rsid w:val="008F01A0"/>
    <w:rsid w:val="008F0567"/>
    <w:rsid w:val="008F0595"/>
    <w:rsid w:val="008F0920"/>
    <w:rsid w:val="008F0A2B"/>
    <w:rsid w:val="008F0BC5"/>
    <w:rsid w:val="008F0C41"/>
    <w:rsid w:val="008F11B2"/>
    <w:rsid w:val="008F1633"/>
    <w:rsid w:val="008F1699"/>
    <w:rsid w:val="008F16A8"/>
    <w:rsid w:val="008F16C3"/>
    <w:rsid w:val="008F19BB"/>
    <w:rsid w:val="008F1AD1"/>
    <w:rsid w:val="008F1D49"/>
    <w:rsid w:val="008F1FFD"/>
    <w:rsid w:val="008F200A"/>
    <w:rsid w:val="008F204F"/>
    <w:rsid w:val="008F2198"/>
    <w:rsid w:val="008F21BE"/>
    <w:rsid w:val="008F2373"/>
    <w:rsid w:val="008F2418"/>
    <w:rsid w:val="008F2433"/>
    <w:rsid w:val="008F2486"/>
    <w:rsid w:val="008F252F"/>
    <w:rsid w:val="008F2586"/>
    <w:rsid w:val="008F2665"/>
    <w:rsid w:val="008F26AB"/>
    <w:rsid w:val="008F26B4"/>
    <w:rsid w:val="008F2758"/>
    <w:rsid w:val="008F2802"/>
    <w:rsid w:val="008F2977"/>
    <w:rsid w:val="008F2A51"/>
    <w:rsid w:val="008F2AA7"/>
    <w:rsid w:val="008F2B50"/>
    <w:rsid w:val="008F2C34"/>
    <w:rsid w:val="008F2D43"/>
    <w:rsid w:val="008F3069"/>
    <w:rsid w:val="008F308B"/>
    <w:rsid w:val="008F35C3"/>
    <w:rsid w:val="008F35CF"/>
    <w:rsid w:val="008F3671"/>
    <w:rsid w:val="008F3683"/>
    <w:rsid w:val="008F36D0"/>
    <w:rsid w:val="008F389B"/>
    <w:rsid w:val="008F392D"/>
    <w:rsid w:val="008F3C5D"/>
    <w:rsid w:val="008F3CB6"/>
    <w:rsid w:val="008F3ED3"/>
    <w:rsid w:val="008F3F46"/>
    <w:rsid w:val="008F4025"/>
    <w:rsid w:val="008F4118"/>
    <w:rsid w:val="008F41D2"/>
    <w:rsid w:val="008F4227"/>
    <w:rsid w:val="008F453C"/>
    <w:rsid w:val="008F45E3"/>
    <w:rsid w:val="008F49E5"/>
    <w:rsid w:val="008F4BFB"/>
    <w:rsid w:val="008F4D80"/>
    <w:rsid w:val="008F5243"/>
    <w:rsid w:val="008F5345"/>
    <w:rsid w:val="008F5354"/>
    <w:rsid w:val="008F548A"/>
    <w:rsid w:val="008F56AE"/>
    <w:rsid w:val="008F5787"/>
    <w:rsid w:val="008F59DC"/>
    <w:rsid w:val="008F5AF1"/>
    <w:rsid w:val="008F5B48"/>
    <w:rsid w:val="008F5B5E"/>
    <w:rsid w:val="008F601D"/>
    <w:rsid w:val="008F6034"/>
    <w:rsid w:val="008F60F8"/>
    <w:rsid w:val="008F621F"/>
    <w:rsid w:val="008F629A"/>
    <w:rsid w:val="008F6412"/>
    <w:rsid w:val="008F6488"/>
    <w:rsid w:val="008F652C"/>
    <w:rsid w:val="008F675F"/>
    <w:rsid w:val="008F683A"/>
    <w:rsid w:val="008F6892"/>
    <w:rsid w:val="008F68B7"/>
    <w:rsid w:val="008F68DB"/>
    <w:rsid w:val="008F6948"/>
    <w:rsid w:val="008F6C71"/>
    <w:rsid w:val="008F6D92"/>
    <w:rsid w:val="008F6D99"/>
    <w:rsid w:val="008F6DB8"/>
    <w:rsid w:val="008F7032"/>
    <w:rsid w:val="008F7145"/>
    <w:rsid w:val="008F721A"/>
    <w:rsid w:val="008F726F"/>
    <w:rsid w:val="008F72A4"/>
    <w:rsid w:val="008F7313"/>
    <w:rsid w:val="008F736C"/>
    <w:rsid w:val="008F772E"/>
    <w:rsid w:val="008F78C8"/>
    <w:rsid w:val="008F7B97"/>
    <w:rsid w:val="008F7CAE"/>
    <w:rsid w:val="009003F8"/>
    <w:rsid w:val="009004BB"/>
    <w:rsid w:val="00900508"/>
    <w:rsid w:val="0090075C"/>
    <w:rsid w:val="00900773"/>
    <w:rsid w:val="009008D2"/>
    <w:rsid w:val="0090094C"/>
    <w:rsid w:val="00900989"/>
    <w:rsid w:val="009009B4"/>
    <w:rsid w:val="00900D8B"/>
    <w:rsid w:val="00900F93"/>
    <w:rsid w:val="009010C1"/>
    <w:rsid w:val="009011F6"/>
    <w:rsid w:val="009014C2"/>
    <w:rsid w:val="009019B8"/>
    <w:rsid w:val="00901A83"/>
    <w:rsid w:val="00901E14"/>
    <w:rsid w:val="00901E54"/>
    <w:rsid w:val="00901F60"/>
    <w:rsid w:val="00902086"/>
    <w:rsid w:val="0090212B"/>
    <w:rsid w:val="00902488"/>
    <w:rsid w:val="009025FC"/>
    <w:rsid w:val="009029DE"/>
    <w:rsid w:val="00902A37"/>
    <w:rsid w:val="00902A4D"/>
    <w:rsid w:val="00902B79"/>
    <w:rsid w:val="00902C92"/>
    <w:rsid w:val="00902D90"/>
    <w:rsid w:val="00902E7E"/>
    <w:rsid w:val="00903189"/>
    <w:rsid w:val="0090346A"/>
    <w:rsid w:val="009038C5"/>
    <w:rsid w:val="009038F6"/>
    <w:rsid w:val="0090392E"/>
    <w:rsid w:val="00903D0E"/>
    <w:rsid w:val="00903D7B"/>
    <w:rsid w:val="00903D80"/>
    <w:rsid w:val="00903EB3"/>
    <w:rsid w:val="00903F40"/>
    <w:rsid w:val="00903FEC"/>
    <w:rsid w:val="0090421E"/>
    <w:rsid w:val="009043A6"/>
    <w:rsid w:val="009044FE"/>
    <w:rsid w:val="00904504"/>
    <w:rsid w:val="009045C9"/>
    <w:rsid w:val="00904601"/>
    <w:rsid w:val="00904805"/>
    <w:rsid w:val="00904FA7"/>
    <w:rsid w:val="0090558F"/>
    <w:rsid w:val="009056CA"/>
    <w:rsid w:val="00905892"/>
    <w:rsid w:val="00905A09"/>
    <w:rsid w:val="00905AC0"/>
    <w:rsid w:val="00905C0D"/>
    <w:rsid w:val="00905D17"/>
    <w:rsid w:val="00905DC8"/>
    <w:rsid w:val="00905F6B"/>
    <w:rsid w:val="009060B8"/>
    <w:rsid w:val="009060C7"/>
    <w:rsid w:val="0090623B"/>
    <w:rsid w:val="00906422"/>
    <w:rsid w:val="0090643C"/>
    <w:rsid w:val="009065E0"/>
    <w:rsid w:val="0090666D"/>
    <w:rsid w:val="00906809"/>
    <w:rsid w:val="0090688D"/>
    <w:rsid w:val="009069FD"/>
    <w:rsid w:val="00906A20"/>
    <w:rsid w:val="00906B6F"/>
    <w:rsid w:val="00906BD1"/>
    <w:rsid w:val="00906D47"/>
    <w:rsid w:val="00906F9B"/>
    <w:rsid w:val="009072C9"/>
    <w:rsid w:val="0090735F"/>
    <w:rsid w:val="009075BD"/>
    <w:rsid w:val="009075FE"/>
    <w:rsid w:val="00907707"/>
    <w:rsid w:val="009077AC"/>
    <w:rsid w:val="00907D6B"/>
    <w:rsid w:val="00907D70"/>
    <w:rsid w:val="00907E2A"/>
    <w:rsid w:val="00907E5F"/>
    <w:rsid w:val="00910259"/>
    <w:rsid w:val="00910411"/>
    <w:rsid w:val="00910819"/>
    <w:rsid w:val="00910861"/>
    <w:rsid w:val="009108C3"/>
    <w:rsid w:val="009108E3"/>
    <w:rsid w:val="009109D8"/>
    <w:rsid w:val="00910D22"/>
    <w:rsid w:val="00910F13"/>
    <w:rsid w:val="00910F17"/>
    <w:rsid w:val="00911034"/>
    <w:rsid w:val="0091125B"/>
    <w:rsid w:val="009115D6"/>
    <w:rsid w:val="009115DD"/>
    <w:rsid w:val="00911811"/>
    <w:rsid w:val="00911A70"/>
    <w:rsid w:val="00911A86"/>
    <w:rsid w:val="00911B23"/>
    <w:rsid w:val="00911DFC"/>
    <w:rsid w:val="00911E15"/>
    <w:rsid w:val="00911EFC"/>
    <w:rsid w:val="0091205E"/>
    <w:rsid w:val="009120CA"/>
    <w:rsid w:val="009126CE"/>
    <w:rsid w:val="009127AF"/>
    <w:rsid w:val="00912819"/>
    <w:rsid w:val="00912831"/>
    <w:rsid w:val="00912A89"/>
    <w:rsid w:val="00912CCB"/>
    <w:rsid w:val="00912DFC"/>
    <w:rsid w:val="00913173"/>
    <w:rsid w:val="00913210"/>
    <w:rsid w:val="00913311"/>
    <w:rsid w:val="00913317"/>
    <w:rsid w:val="00913498"/>
    <w:rsid w:val="00913635"/>
    <w:rsid w:val="0091373A"/>
    <w:rsid w:val="00913860"/>
    <w:rsid w:val="009138CD"/>
    <w:rsid w:val="00913935"/>
    <w:rsid w:val="00913C5D"/>
    <w:rsid w:val="00913DB7"/>
    <w:rsid w:val="0091401A"/>
    <w:rsid w:val="009140C4"/>
    <w:rsid w:val="00914110"/>
    <w:rsid w:val="009141FE"/>
    <w:rsid w:val="0091420E"/>
    <w:rsid w:val="00914224"/>
    <w:rsid w:val="009142C6"/>
    <w:rsid w:val="009142D5"/>
    <w:rsid w:val="009144A8"/>
    <w:rsid w:val="009145EB"/>
    <w:rsid w:val="0091463F"/>
    <w:rsid w:val="009147C7"/>
    <w:rsid w:val="00914A6C"/>
    <w:rsid w:val="00914C2E"/>
    <w:rsid w:val="00914CF2"/>
    <w:rsid w:val="009151AE"/>
    <w:rsid w:val="00915200"/>
    <w:rsid w:val="00915456"/>
    <w:rsid w:val="00915460"/>
    <w:rsid w:val="0091558C"/>
    <w:rsid w:val="00915655"/>
    <w:rsid w:val="00915698"/>
    <w:rsid w:val="009159FF"/>
    <w:rsid w:val="00915B3E"/>
    <w:rsid w:val="00915B3F"/>
    <w:rsid w:val="00915BAD"/>
    <w:rsid w:val="00915CC2"/>
    <w:rsid w:val="00916060"/>
    <w:rsid w:val="0091608A"/>
    <w:rsid w:val="00916092"/>
    <w:rsid w:val="00916178"/>
    <w:rsid w:val="009162F7"/>
    <w:rsid w:val="009163AA"/>
    <w:rsid w:val="00916495"/>
    <w:rsid w:val="00916665"/>
    <w:rsid w:val="0091672E"/>
    <w:rsid w:val="009168FB"/>
    <w:rsid w:val="00916999"/>
    <w:rsid w:val="00916A77"/>
    <w:rsid w:val="00916ABB"/>
    <w:rsid w:val="00916D32"/>
    <w:rsid w:val="00916D85"/>
    <w:rsid w:val="00916F0B"/>
    <w:rsid w:val="00916F88"/>
    <w:rsid w:val="00917207"/>
    <w:rsid w:val="0091737F"/>
    <w:rsid w:val="0091749F"/>
    <w:rsid w:val="00917602"/>
    <w:rsid w:val="009176AE"/>
    <w:rsid w:val="00917855"/>
    <w:rsid w:val="00917901"/>
    <w:rsid w:val="00917A6A"/>
    <w:rsid w:val="00917B94"/>
    <w:rsid w:val="00917BB1"/>
    <w:rsid w:val="00917DF2"/>
    <w:rsid w:val="00917EB6"/>
    <w:rsid w:val="00917F74"/>
    <w:rsid w:val="00920094"/>
    <w:rsid w:val="009201E6"/>
    <w:rsid w:val="0092021E"/>
    <w:rsid w:val="00920261"/>
    <w:rsid w:val="009203DA"/>
    <w:rsid w:val="009203EB"/>
    <w:rsid w:val="009205A6"/>
    <w:rsid w:val="009206CF"/>
    <w:rsid w:val="009207AA"/>
    <w:rsid w:val="009207CD"/>
    <w:rsid w:val="0092096A"/>
    <w:rsid w:val="00920A09"/>
    <w:rsid w:val="00920A88"/>
    <w:rsid w:val="00920B23"/>
    <w:rsid w:val="00920C28"/>
    <w:rsid w:val="00920C46"/>
    <w:rsid w:val="00920D75"/>
    <w:rsid w:val="00920DA4"/>
    <w:rsid w:val="00921042"/>
    <w:rsid w:val="00921081"/>
    <w:rsid w:val="00921464"/>
    <w:rsid w:val="0092166F"/>
    <w:rsid w:val="00921B02"/>
    <w:rsid w:val="00921BFE"/>
    <w:rsid w:val="00921D8D"/>
    <w:rsid w:val="00921E4E"/>
    <w:rsid w:val="00921F93"/>
    <w:rsid w:val="00922057"/>
    <w:rsid w:val="009221FF"/>
    <w:rsid w:val="00922247"/>
    <w:rsid w:val="00922417"/>
    <w:rsid w:val="00922483"/>
    <w:rsid w:val="009224DB"/>
    <w:rsid w:val="0092259C"/>
    <w:rsid w:val="009228F0"/>
    <w:rsid w:val="00922E64"/>
    <w:rsid w:val="00922FC0"/>
    <w:rsid w:val="00923107"/>
    <w:rsid w:val="009231DB"/>
    <w:rsid w:val="00923475"/>
    <w:rsid w:val="009234E0"/>
    <w:rsid w:val="009234E2"/>
    <w:rsid w:val="009235B3"/>
    <w:rsid w:val="00923682"/>
    <w:rsid w:val="00923874"/>
    <w:rsid w:val="009238A2"/>
    <w:rsid w:val="00923B55"/>
    <w:rsid w:val="00923B92"/>
    <w:rsid w:val="00923D8C"/>
    <w:rsid w:val="00923DD1"/>
    <w:rsid w:val="00924017"/>
    <w:rsid w:val="009244BA"/>
    <w:rsid w:val="0092487C"/>
    <w:rsid w:val="0092498B"/>
    <w:rsid w:val="00924BDE"/>
    <w:rsid w:val="00924C3E"/>
    <w:rsid w:val="009252F2"/>
    <w:rsid w:val="009253BA"/>
    <w:rsid w:val="00925437"/>
    <w:rsid w:val="0092560D"/>
    <w:rsid w:val="00925826"/>
    <w:rsid w:val="00925AB5"/>
    <w:rsid w:val="00925C2F"/>
    <w:rsid w:val="00925E2C"/>
    <w:rsid w:val="00925FD6"/>
    <w:rsid w:val="00925FEF"/>
    <w:rsid w:val="00926179"/>
    <w:rsid w:val="0092634E"/>
    <w:rsid w:val="009263BB"/>
    <w:rsid w:val="00926434"/>
    <w:rsid w:val="00926C46"/>
    <w:rsid w:val="00926F24"/>
    <w:rsid w:val="00926F73"/>
    <w:rsid w:val="00927119"/>
    <w:rsid w:val="0092731C"/>
    <w:rsid w:val="009273B7"/>
    <w:rsid w:val="009274FA"/>
    <w:rsid w:val="00927592"/>
    <w:rsid w:val="0092759C"/>
    <w:rsid w:val="009275A1"/>
    <w:rsid w:val="009275E6"/>
    <w:rsid w:val="00927612"/>
    <w:rsid w:val="0092761C"/>
    <w:rsid w:val="00927865"/>
    <w:rsid w:val="00927AE6"/>
    <w:rsid w:val="00927C76"/>
    <w:rsid w:val="00927DE2"/>
    <w:rsid w:val="00927E0E"/>
    <w:rsid w:val="00927E15"/>
    <w:rsid w:val="00927F15"/>
    <w:rsid w:val="00930011"/>
    <w:rsid w:val="0093009F"/>
    <w:rsid w:val="00930170"/>
    <w:rsid w:val="009301EB"/>
    <w:rsid w:val="00930214"/>
    <w:rsid w:val="009305FA"/>
    <w:rsid w:val="009307C1"/>
    <w:rsid w:val="0093084D"/>
    <w:rsid w:val="0093093F"/>
    <w:rsid w:val="00930E89"/>
    <w:rsid w:val="00930EA4"/>
    <w:rsid w:val="009311E4"/>
    <w:rsid w:val="00931285"/>
    <w:rsid w:val="009312D4"/>
    <w:rsid w:val="00931406"/>
    <w:rsid w:val="00931497"/>
    <w:rsid w:val="0093183C"/>
    <w:rsid w:val="00931881"/>
    <w:rsid w:val="009318A5"/>
    <w:rsid w:val="00931935"/>
    <w:rsid w:val="00931A16"/>
    <w:rsid w:val="00931A5C"/>
    <w:rsid w:val="00931A60"/>
    <w:rsid w:val="00931AB3"/>
    <w:rsid w:val="00931C7F"/>
    <w:rsid w:val="00931F73"/>
    <w:rsid w:val="0093200E"/>
    <w:rsid w:val="0093214F"/>
    <w:rsid w:val="00932188"/>
    <w:rsid w:val="00932454"/>
    <w:rsid w:val="00932597"/>
    <w:rsid w:val="00932626"/>
    <w:rsid w:val="00932BE3"/>
    <w:rsid w:val="00932BED"/>
    <w:rsid w:val="00932CC5"/>
    <w:rsid w:val="00932D09"/>
    <w:rsid w:val="00932D59"/>
    <w:rsid w:val="00932DBE"/>
    <w:rsid w:val="00932E0C"/>
    <w:rsid w:val="00933025"/>
    <w:rsid w:val="009331C9"/>
    <w:rsid w:val="0093320D"/>
    <w:rsid w:val="0093324C"/>
    <w:rsid w:val="009332F0"/>
    <w:rsid w:val="0093335D"/>
    <w:rsid w:val="00933478"/>
    <w:rsid w:val="009334F3"/>
    <w:rsid w:val="009335A5"/>
    <w:rsid w:val="00933787"/>
    <w:rsid w:val="009337AC"/>
    <w:rsid w:val="0093395B"/>
    <w:rsid w:val="00933B9D"/>
    <w:rsid w:val="00933EDD"/>
    <w:rsid w:val="00933FBC"/>
    <w:rsid w:val="00933FE4"/>
    <w:rsid w:val="0093424C"/>
    <w:rsid w:val="00934441"/>
    <w:rsid w:val="00934448"/>
    <w:rsid w:val="009348E0"/>
    <w:rsid w:val="009349F9"/>
    <w:rsid w:val="00934FE2"/>
    <w:rsid w:val="00934FF2"/>
    <w:rsid w:val="0093541A"/>
    <w:rsid w:val="0093560C"/>
    <w:rsid w:val="009356A7"/>
    <w:rsid w:val="009357D4"/>
    <w:rsid w:val="00935852"/>
    <w:rsid w:val="009358EC"/>
    <w:rsid w:val="00935B4F"/>
    <w:rsid w:val="00935C2C"/>
    <w:rsid w:val="00935CE9"/>
    <w:rsid w:val="00935D46"/>
    <w:rsid w:val="00935E9C"/>
    <w:rsid w:val="00935F83"/>
    <w:rsid w:val="0093625B"/>
    <w:rsid w:val="0093629D"/>
    <w:rsid w:val="0093640A"/>
    <w:rsid w:val="0093656A"/>
    <w:rsid w:val="009365E2"/>
    <w:rsid w:val="00936AEF"/>
    <w:rsid w:val="00936F9A"/>
    <w:rsid w:val="009370B8"/>
    <w:rsid w:val="009370C5"/>
    <w:rsid w:val="00937262"/>
    <w:rsid w:val="0093736A"/>
    <w:rsid w:val="009373BC"/>
    <w:rsid w:val="00937409"/>
    <w:rsid w:val="009374AA"/>
    <w:rsid w:val="0093754E"/>
    <w:rsid w:val="0093764F"/>
    <w:rsid w:val="009376B2"/>
    <w:rsid w:val="00937714"/>
    <w:rsid w:val="0093773D"/>
    <w:rsid w:val="00937795"/>
    <w:rsid w:val="00937800"/>
    <w:rsid w:val="00937955"/>
    <w:rsid w:val="00937966"/>
    <w:rsid w:val="00937976"/>
    <w:rsid w:val="009379E2"/>
    <w:rsid w:val="00937AA6"/>
    <w:rsid w:val="00937AC0"/>
    <w:rsid w:val="00937B49"/>
    <w:rsid w:val="00937CFA"/>
    <w:rsid w:val="00937D79"/>
    <w:rsid w:val="00937F0A"/>
    <w:rsid w:val="00940112"/>
    <w:rsid w:val="00940117"/>
    <w:rsid w:val="00940218"/>
    <w:rsid w:val="00940325"/>
    <w:rsid w:val="0094096A"/>
    <w:rsid w:val="009409D2"/>
    <w:rsid w:val="00940AB8"/>
    <w:rsid w:val="00940C81"/>
    <w:rsid w:val="00940E2B"/>
    <w:rsid w:val="00941132"/>
    <w:rsid w:val="00941225"/>
    <w:rsid w:val="00941236"/>
    <w:rsid w:val="00941319"/>
    <w:rsid w:val="009413DE"/>
    <w:rsid w:val="0094141D"/>
    <w:rsid w:val="009414EE"/>
    <w:rsid w:val="00941587"/>
    <w:rsid w:val="00941594"/>
    <w:rsid w:val="00941727"/>
    <w:rsid w:val="0094174D"/>
    <w:rsid w:val="009417E8"/>
    <w:rsid w:val="00941B1B"/>
    <w:rsid w:val="00941D15"/>
    <w:rsid w:val="00941F88"/>
    <w:rsid w:val="00941F97"/>
    <w:rsid w:val="00942100"/>
    <w:rsid w:val="0094226E"/>
    <w:rsid w:val="009422B5"/>
    <w:rsid w:val="0094254C"/>
    <w:rsid w:val="0094257F"/>
    <w:rsid w:val="00942933"/>
    <w:rsid w:val="00942B06"/>
    <w:rsid w:val="00942C0E"/>
    <w:rsid w:val="00942CF3"/>
    <w:rsid w:val="00942D44"/>
    <w:rsid w:val="00942D9D"/>
    <w:rsid w:val="00942EB5"/>
    <w:rsid w:val="00943489"/>
    <w:rsid w:val="00943710"/>
    <w:rsid w:val="0094384F"/>
    <w:rsid w:val="00943AD7"/>
    <w:rsid w:val="00943B4B"/>
    <w:rsid w:val="00943D08"/>
    <w:rsid w:val="00943E4C"/>
    <w:rsid w:val="00944017"/>
    <w:rsid w:val="00944257"/>
    <w:rsid w:val="0094435D"/>
    <w:rsid w:val="0094437B"/>
    <w:rsid w:val="00944452"/>
    <w:rsid w:val="00944571"/>
    <w:rsid w:val="0094461B"/>
    <w:rsid w:val="0094469C"/>
    <w:rsid w:val="00944781"/>
    <w:rsid w:val="009449B5"/>
    <w:rsid w:val="00944B2E"/>
    <w:rsid w:val="00944C68"/>
    <w:rsid w:val="00944ED8"/>
    <w:rsid w:val="00944F2F"/>
    <w:rsid w:val="009452A7"/>
    <w:rsid w:val="00945740"/>
    <w:rsid w:val="00945852"/>
    <w:rsid w:val="00945A8C"/>
    <w:rsid w:val="00945B57"/>
    <w:rsid w:val="00945FED"/>
    <w:rsid w:val="00946117"/>
    <w:rsid w:val="009461BD"/>
    <w:rsid w:val="009461FD"/>
    <w:rsid w:val="00946223"/>
    <w:rsid w:val="00946243"/>
    <w:rsid w:val="009462D7"/>
    <w:rsid w:val="00946446"/>
    <w:rsid w:val="009465B9"/>
    <w:rsid w:val="0094664A"/>
    <w:rsid w:val="00946715"/>
    <w:rsid w:val="0094677C"/>
    <w:rsid w:val="00946CE2"/>
    <w:rsid w:val="00947138"/>
    <w:rsid w:val="009471EE"/>
    <w:rsid w:val="009472C8"/>
    <w:rsid w:val="009472DB"/>
    <w:rsid w:val="009473B2"/>
    <w:rsid w:val="009474C1"/>
    <w:rsid w:val="0094770D"/>
    <w:rsid w:val="00947811"/>
    <w:rsid w:val="0094784F"/>
    <w:rsid w:val="0094787B"/>
    <w:rsid w:val="009479BA"/>
    <w:rsid w:val="00947B0D"/>
    <w:rsid w:val="00947BAB"/>
    <w:rsid w:val="00947C72"/>
    <w:rsid w:val="00947E64"/>
    <w:rsid w:val="00947F27"/>
    <w:rsid w:val="0095026F"/>
    <w:rsid w:val="00950324"/>
    <w:rsid w:val="00950514"/>
    <w:rsid w:val="0095084C"/>
    <w:rsid w:val="009509FB"/>
    <w:rsid w:val="00950A1B"/>
    <w:rsid w:val="00950AB6"/>
    <w:rsid w:val="00950C12"/>
    <w:rsid w:val="00951011"/>
    <w:rsid w:val="00951110"/>
    <w:rsid w:val="00951179"/>
    <w:rsid w:val="00951243"/>
    <w:rsid w:val="00951335"/>
    <w:rsid w:val="0095148D"/>
    <w:rsid w:val="0095150B"/>
    <w:rsid w:val="0095182E"/>
    <w:rsid w:val="009518A0"/>
    <w:rsid w:val="00951E1E"/>
    <w:rsid w:val="00951F9F"/>
    <w:rsid w:val="00952150"/>
    <w:rsid w:val="009521CB"/>
    <w:rsid w:val="009522EB"/>
    <w:rsid w:val="0095231F"/>
    <w:rsid w:val="009524E2"/>
    <w:rsid w:val="0095256F"/>
    <w:rsid w:val="009526C3"/>
    <w:rsid w:val="009526FD"/>
    <w:rsid w:val="009527BA"/>
    <w:rsid w:val="0095295B"/>
    <w:rsid w:val="00952B29"/>
    <w:rsid w:val="00952C74"/>
    <w:rsid w:val="00952CB3"/>
    <w:rsid w:val="00952E58"/>
    <w:rsid w:val="00952FA3"/>
    <w:rsid w:val="0095327C"/>
    <w:rsid w:val="0095346A"/>
    <w:rsid w:val="0095370C"/>
    <w:rsid w:val="009537AD"/>
    <w:rsid w:val="00953A3B"/>
    <w:rsid w:val="00953B57"/>
    <w:rsid w:val="00953BF1"/>
    <w:rsid w:val="00953CF1"/>
    <w:rsid w:val="00953F1A"/>
    <w:rsid w:val="00953FBE"/>
    <w:rsid w:val="00953FC5"/>
    <w:rsid w:val="009543E9"/>
    <w:rsid w:val="0095440E"/>
    <w:rsid w:val="00954614"/>
    <w:rsid w:val="009547E2"/>
    <w:rsid w:val="009547F2"/>
    <w:rsid w:val="009547FB"/>
    <w:rsid w:val="0095480F"/>
    <w:rsid w:val="00954863"/>
    <w:rsid w:val="009548ED"/>
    <w:rsid w:val="00954BE7"/>
    <w:rsid w:val="00954D84"/>
    <w:rsid w:val="00954DD2"/>
    <w:rsid w:val="00955153"/>
    <w:rsid w:val="009552D0"/>
    <w:rsid w:val="009554F3"/>
    <w:rsid w:val="009557A7"/>
    <w:rsid w:val="00955983"/>
    <w:rsid w:val="00955984"/>
    <w:rsid w:val="009559EB"/>
    <w:rsid w:val="009559F1"/>
    <w:rsid w:val="00955A8F"/>
    <w:rsid w:val="00955BB6"/>
    <w:rsid w:val="00955BC6"/>
    <w:rsid w:val="00955BF6"/>
    <w:rsid w:val="00955C57"/>
    <w:rsid w:val="00955D51"/>
    <w:rsid w:val="00955F6D"/>
    <w:rsid w:val="0095601A"/>
    <w:rsid w:val="00956308"/>
    <w:rsid w:val="00956351"/>
    <w:rsid w:val="009563AA"/>
    <w:rsid w:val="0095654D"/>
    <w:rsid w:val="009567B2"/>
    <w:rsid w:val="009569A7"/>
    <w:rsid w:val="009569C9"/>
    <w:rsid w:val="00956DF2"/>
    <w:rsid w:val="00956E9C"/>
    <w:rsid w:val="00956EAD"/>
    <w:rsid w:val="00957027"/>
    <w:rsid w:val="0095757A"/>
    <w:rsid w:val="009575D5"/>
    <w:rsid w:val="0095761C"/>
    <w:rsid w:val="00957651"/>
    <w:rsid w:val="00957C0D"/>
    <w:rsid w:val="00957DE7"/>
    <w:rsid w:val="00960012"/>
    <w:rsid w:val="0096038F"/>
    <w:rsid w:val="009603E1"/>
    <w:rsid w:val="0096040C"/>
    <w:rsid w:val="009604F2"/>
    <w:rsid w:val="0096056D"/>
    <w:rsid w:val="009605F3"/>
    <w:rsid w:val="0096071B"/>
    <w:rsid w:val="00960795"/>
    <w:rsid w:val="00960838"/>
    <w:rsid w:val="00960849"/>
    <w:rsid w:val="009608EB"/>
    <w:rsid w:val="0096098B"/>
    <w:rsid w:val="00960B96"/>
    <w:rsid w:val="00960C68"/>
    <w:rsid w:val="00960CE1"/>
    <w:rsid w:val="00960D2E"/>
    <w:rsid w:val="00960E53"/>
    <w:rsid w:val="00960ED7"/>
    <w:rsid w:val="00960F69"/>
    <w:rsid w:val="00961166"/>
    <w:rsid w:val="009612D8"/>
    <w:rsid w:val="0096134F"/>
    <w:rsid w:val="009614C3"/>
    <w:rsid w:val="009616E6"/>
    <w:rsid w:val="009618C4"/>
    <w:rsid w:val="00961924"/>
    <w:rsid w:val="009619E8"/>
    <w:rsid w:val="00961C68"/>
    <w:rsid w:val="00961FEE"/>
    <w:rsid w:val="00962252"/>
    <w:rsid w:val="0096265B"/>
    <w:rsid w:val="00962798"/>
    <w:rsid w:val="00962865"/>
    <w:rsid w:val="009628CD"/>
    <w:rsid w:val="0096293C"/>
    <w:rsid w:val="009629B3"/>
    <w:rsid w:val="00962A30"/>
    <w:rsid w:val="00962B4A"/>
    <w:rsid w:val="00962B51"/>
    <w:rsid w:val="00962DFD"/>
    <w:rsid w:val="00962EF1"/>
    <w:rsid w:val="00963116"/>
    <w:rsid w:val="009631CD"/>
    <w:rsid w:val="009631F1"/>
    <w:rsid w:val="009632A9"/>
    <w:rsid w:val="0096379F"/>
    <w:rsid w:val="00963A7D"/>
    <w:rsid w:val="00963AA8"/>
    <w:rsid w:val="00963B2C"/>
    <w:rsid w:val="00963E95"/>
    <w:rsid w:val="00963F4E"/>
    <w:rsid w:val="00964090"/>
    <w:rsid w:val="009640BB"/>
    <w:rsid w:val="009641C6"/>
    <w:rsid w:val="00964209"/>
    <w:rsid w:val="00964261"/>
    <w:rsid w:val="009643D9"/>
    <w:rsid w:val="0096444C"/>
    <w:rsid w:val="00964486"/>
    <w:rsid w:val="009644C3"/>
    <w:rsid w:val="00964503"/>
    <w:rsid w:val="009645D7"/>
    <w:rsid w:val="00964636"/>
    <w:rsid w:val="0096466C"/>
    <w:rsid w:val="0096467D"/>
    <w:rsid w:val="0096475D"/>
    <w:rsid w:val="00964859"/>
    <w:rsid w:val="0096492F"/>
    <w:rsid w:val="00964944"/>
    <w:rsid w:val="00964A06"/>
    <w:rsid w:val="00964C33"/>
    <w:rsid w:val="00964D40"/>
    <w:rsid w:val="00964E81"/>
    <w:rsid w:val="00964E90"/>
    <w:rsid w:val="0096505E"/>
    <w:rsid w:val="009650B1"/>
    <w:rsid w:val="009650D4"/>
    <w:rsid w:val="009652FE"/>
    <w:rsid w:val="009656D0"/>
    <w:rsid w:val="00965730"/>
    <w:rsid w:val="00965980"/>
    <w:rsid w:val="009659E9"/>
    <w:rsid w:val="00965A20"/>
    <w:rsid w:val="00965FC1"/>
    <w:rsid w:val="009661A3"/>
    <w:rsid w:val="0096650A"/>
    <w:rsid w:val="009665F5"/>
    <w:rsid w:val="009666AD"/>
    <w:rsid w:val="009667D9"/>
    <w:rsid w:val="00966AC5"/>
    <w:rsid w:val="00966B26"/>
    <w:rsid w:val="00966BA0"/>
    <w:rsid w:val="00966CAD"/>
    <w:rsid w:val="00966D1A"/>
    <w:rsid w:val="00966DDB"/>
    <w:rsid w:val="00967265"/>
    <w:rsid w:val="009675FC"/>
    <w:rsid w:val="00967660"/>
    <w:rsid w:val="0096769A"/>
    <w:rsid w:val="00967811"/>
    <w:rsid w:val="0096787B"/>
    <w:rsid w:val="00967C84"/>
    <w:rsid w:val="00967E30"/>
    <w:rsid w:val="00967F39"/>
    <w:rsid w:val="00967F3F"/>
    <w:rsid w:val="00967FC3"/>
    <w:rsid w:val="00970180"/>
    <w:rsid w:val="009702D3"/>
    <w:rsid w:val="0097030C"/>
    <w:rsid w:val="009708BB"/>
    <w:rsid w:val="0097094B"/>
    <w:rsid w:val="00970A75"/>
    <w:rsid w:val="00970B30"/>
    <w:rsid w:val="00970C85"/>
    <w:rsid w:val="00970DDE"/>
    <w:rsid w:val="00970E16"/>
    <w:rsid w:val="00970E99"/>
    <w:rsid w:val="00970F77"/>
    <w:rsid w:val="009710A5"/>
    <w:rsid w:val="009711B3"/>
    <w:rsid w:val="00971290"/>
    <w:rsid w:val="009712A1"/>
    <w:rsid w:val="009713A7"/>
    <w:rsid w:val="00971450"/>
    <w:rsid w:val="009716AE"/>
    <w:rsid w:val="0097185D"/>
    <w:rsid w:val="0097193D"/>
    <w:rsid w:val="00971A59"/>
    <w:rsid w:val="00971CE8"/>
    <w:rsid w:val="0097231B"/>
    <w:rsid w:val="009723D5"/>
    <w:rsid w:val="009723DE"/>
    <w:rsid w:val="0097247A"/>
    <w:rsid w:val="00972498"/>
    <w:rsid w:val="0097253C"/>
    <w:rsid w:val="00972555"/>
    <w:rsid w:val="0097267E"/>
    <w:rsid w:val="00972739"/>
    <w:rsid w:val="00972896"/>
    <w:rsid w:val="00972A22"/>
    <w:rsid w:val="00972B03"/>
    <w:rsid w:val="00972BF7"/>
    <w:rsid w:val="00972CCC"/>
    <w:rsid w:val="00972E15"/>
    <w:rsid w:val="00972E65"/>
    <w:rsid w:val="00972EBF"/>
    <w:rsid w:val="00972F98"/>
    <w:rsid w:val="0097397D"/>
    <w:rsid w:val="009741F4"/>
    <w:rsid w:val="00974292"/>
    <w:rsid w:val="009745D9"/>
    <w:rsid w:val="009745FD"/>
    <w:rsid w:val="0097468D"/>
    <w:rsid w:val="00974712"/>
    <w:rsid w:val="00974871"/>
    <w:rsid w:val="0097487F"/>
    <w:rsid w:val="00974A34"/>
    <w:rsid w:val="00974A58"/>
    <w:rsid w:val="00974C49"/>
    <w:rsid w:val="00974CBD"/>
    <w:rsid w:val="0097503C"/>
    <w:rsid w:val="00975048"/>
    <w:rsid w:val="009752D5"/>
    <w:rsid w:val="00975306"/>
    <w:rsid w:val="00975353"/>
    <w:rsid w:val="0097535F"/>
    <w:rsid w:val="00975369"/>
    <w:rsid w:val="00975478"/>
    <w:rsid w:val="009757B1"/>
    <w:rsid w:val="009757FA"/>
    <w:rsid w:val="0097596A"/>
    <w:rsid w:val="009759C2"/>
    <w:rsid w:val="00975B37"/>
    <w:rsid w:val="00975B61"/>
    <w:rsid w:val="00975FBF"/>
    <w:rsid w:val="009762C1"/>
    <w:rsid w:val="009762DB"/>
    <w:rsid w:val="00976373"/>
    <w:rsid w:val="009763EB"/>
    <w:rsid w:val="0097643A"/>
    <w:rsid w:val="00976488"/>
    <w:rsid w:val="00976636"/>
    <w:rsid w:val="009767C6"/>
    <w:rsid w:val="00976CD2"/>
    <w:rsid w:val="00976D95"/>
    <w:rsid w:val="009770DB"/>
    <w:rsid w:val="00977430"/>
    <w:rsid w:val="00977460"/>
    <w:rsid w:val="00977570"/>
    <w:rsid w:val="00977757"/>
    <w:rsid w:val="00977814"/>
    <w:rsid w:val="009778BD"/>
    <w:rsid w:val="00977970"/>
    <w:rsid w:val="009779DB"/>
    <w:rsid w:val="00977D0E"/>
    <w:rsid w:val="00977D15"/>
    <w:rsid w:val="00977F89"/>
    <w:rsid w:val="00980197"/>
    <w:rsid w:val="00980239"/>
    <w:rsid w:val="0098024B"/>
    <w:rsid w:val="00980278"/>
    <w:rsid w:val="00980455"/>
    <w:rsid w:val="009807FB"/>
    <w:rsid w:val="00980895"/>
    <w:rsid w:val="00980903"/>
    <w:rsid w:val="00980AB7"/>
    <w:rsid w:val="00980B2C"/>
    <w:rsid w:val="00980CC7"/>
    <w:rsid w:val="00980F0A"/>
    <w:rsid w:val="00980F34"/>
    <w:rsid w:val="0098131A"/>
    <w:rsid w:val="00981520"/>
    <w:rsid w:val="00981789"/>
    <w:rsid w:val="00981816"/>
    <w:rsid w:val="009818FD"/>
    <w:rsid w:val="00981981"/>
    <w:rsid w:val="00981A6A"/>
    <w:rsid w:val="00981B65"/>
    <w:rsid w:val="00981BF4"/>
    <w:rsid w:val="00982184"/>
    <w:rsid w:val="00982559"/>
    <w:rsid w:val="00982586"/>
    <w:rsid w:val="00982737"/>
    <w:rsid w:val="00982836"/>
    <w:rsid w:val="00982E66"/>
    <w:rsid w:val="00982EC1"/>
    <w:rsid w:val="009831BA"/>
    <w:rsid w:val="00983279"/>
    <w:rsid w:val="0098341C"/>
    <w:rsid w:val="009834D5"/>
    <w:rsid w:val="0098353C"/>
    <w:rsid w:val="009836EC"/>
    <w:rsid w:val="009839B5"/>
    <w:rsid w:val="009839C1"/>
    <w:rsid w:val="00983C40"/>
    <w:rsid w:val="00983CAE"/>
    <w:rsid w:val="00983D52"/>
    <w:rsid w:val="00983D5E"/>
    <w:rsid w:val="00983DEE"/>
    <w:rsid w:val="00983DF6"/>
    <w:rsid w:val="00983FB8"/>
    <w:rsid w:val="009840D7"/>
    <w:rsid w:val="00984185"/>
    <w:rsid w:val="009844C1"/>
    <w:rsid w:val="00984A8B"/>
    <w:rsid w:val="00984AE5"/>
    <w:rsid w:val="00984E57"/>
    <w:rsid w:val="00984EA5"/>
    <w:rsid w:val="00984FC5"/>
    <w:rsid w:val="009853AC"/>
    <w:rsid w:val="0098560E"/>
    <w:rsid w:val="009858E6"/>
    <w:rsid w:val="00985A3D"/>
    <w:rsid w:val="00985AB7"/>
    <w:rsid w:val="00985AED"/>
    <w:rsid w:val="00985C0F"/>
    <w:rsid w:val="00985C9F"/>
    <w:rsid w:val="00985EC7"/>
    <w:rsid w:val="00986151"/>
    <w:rsid w:val="009862D2"/>
    <w:rsid w:val="00986374"/>
    <w:rsid w:val="009863F9"/>
    <w:rsid w:val="009864AA"/>
    <w:rsid w:val="009865D9"/>
    <w:rsid w:val="009866B0"/>
    <w:rsid w:val="00986706"/>
    <w:rsid w:val="00986824"/>
    <w:rsid w:val="0098695B"/>
    <w:rsid w:val="00986A6C"/>
    <w:rsid w:val="00986ABF"/>
    <w:rsid w:val="00986B46"/>
    <w:rsid w:val="00986CAF"/>
    <w:rsid w:val="00986EAC"/>
    <w:rsid w:val="00986FA8"/>
    <w:rsid w:val="009870FA"/>
    <w:rsid w:val="00987298"/>
    <w:rsid w:val="009873F3"/>
    <w:rsid w:val="009875E4"/>
    <w:rsid w:val="009876DF"/>
    <w:rsid w:val="00987790"/>
    <w:rsid w:val="009879B9"/>
    <w:rsid w:val="00987D8C"/>
    <w:rsid w:val="00987E1C"/>
    <w:rsid w:val="00987F75"/>
    <w:rsid w:val="00990048"/>
    <w:rsid w:val="009902F4"/>
    <w:rsid w:val="00990348"/>
    <w:rsid w:val="00990474"/>
    <w:rsid w:val="009905C5"/>
    <w:rsid w:val="00990702"/>
    <w:rsid w:val="00990761"/>
    <w:rsid w:val="00990913"/>
    <w:rsid w:val="0099099B"/>
    <w:rsid w:val="00990A4F"/>
    <w:rsid w:val="00990A9B"/>
    <w:rsid w:val="00990B0D"/>
    <w:rsid w:val="00990B85"/>
    <w:rsid w:val="00990BDB"/>
    <w:rsid w:val="00990C23"/>
    <w:rsid w:val="00990D10"/>
    <w:rsid w:val="00990D93"/>
    <w:rsid w:val="00990E50"/>
    <w:rsid w:val="00990ED5"/>
    <w:rsid w:val="00991242"/>
    <w:rsid w:val="00991344"/>
    <w:rsid w:val="00991398"/>
    <w:rsid w:val="009917D4"/>
    <w:rsid w:val="00991894"/>
    <w:rsid w:val="00991A8D"/>
    <w:rsid w:val="00991B5E"/>
    <w:rsid w:val="00991EBD"/>
    <w:rsid w:val="00992052"/>
    <w:rsid w:val="00992053"/>
    <w:rsid w:val="0099208F"/>
    <w:rsid w:val="00992426"/>
    <w:rsid w:val="00992698"/>
    <w:rsid w:val="009926ED"/>
    <w:rsid w:val="009927F0"/>
    <w:rsid w:val="00992BCF"/>
    <w:rsid w:val="00992DB5"/>
    <w:rsid w:val="00992F35"/>
    <w:rsid w:val="009931DA"/>
    <w:rsid w:val="00993228"/>
    <w:rsid w:val="009936DD"/>
    <w:rsid w:val="0099370A"/>
    <w:rsid w:val="0099390A"/>
    <w:rsid w:val="00993971"/>
    <w:rsid w:val="009939AC"/>
    <w:rsid w:val="00993A94"/>
    <w:rsid w:val="00993AE9"/>
    <w:rsid w:val="00993C02"/>
    <w:rsid w:val="00993C65"/>
    <w:rsid w:val="00993ED5"/>
    <w:rsid w:val="00993F41"/>
    <w:rsid w:val="00994070"/>
    <w:rsid w:val="0099407B"/>
    <w:rsid w:val="00994103"/>
    <w:rsid w:val="009944CA"/>
    <w:rsid w:val="009947C6"/>
    <w:rsid w:val="00994883"/>
    <w:rsid w:val="00994A1F"/>
    <w:rsid w:val="00994C32"/>
    <w:rsid w:val="00994EA9"/>
    <w:rsid w:val="00995070"/>
    <w:rsid w:val="009953B1"/>
    <w:rsid w:val="009955AC"/>
    <w:rsid w:val="009955C5"/>
    <w:rsid w:val="009957D6"/>
    <w:rsid w:val="0099586B"/>
    <w:rsid w:val="00995874"/>
    <w:rsid w:val="00995975"/>
    <w:rsid w:val="009959AE"/>
    <w:rsid w:val="009959C2"/>
    <w:rsid w:val="00995A3C"/>
    <w:rsid w:val="00995EAE"/>
    <w:rsid w:val="00995F2D"/>
    <w:rsid w:val="009961AC"/>
    <w:rsid w:val="009961D6"/>
    <w:rsid w:val="00996448"/>
    <w:rsid w:val="0099658B"/>
    <w:rsid w:val="009967C5"/>
    <w:rsid w:val="009967D2"/>
    <w:rsid w:val="009967FD"/>
    <w:rsid w:val="00996864"/>
    <w:rsid w:val="009969BD"/>
    <w:rsid w:val="00996AC5"/>
    <w:rsid w:val="00996B7C"/>
    <w:rsid w:val="00996BEA"/>
    <w:rsid w:val="00996CC1"/>
    <w:rsid w:val="00996CF5"/>
    <w:rsid w:val="00996DDE"/>
    <w:rsid w:val="00996F36"/>
    <w:rsid w:val="009970B4"/>
    <w:rsid w:val="009973CA"/>
    <w:rsid w:val="0099741F"/>
    <w:rsid w:val="00997448"/>
    <w:rsid w:val="00997455"/>
    <w:rsid w:val="009976B3"/>
    <w:rsid w:val="009976E9"/>
    <w:rsid w:val="00997751"/>
    <w:rsid w:val="00997A53"/>
    <w:rsid w:val="00997B26"/>
    <w:rsid w:val="00997B89"/>
    <w:rsid w:val="00997C36"/>
    <w:rsid w:val="00997F6B"/>
    <w:rsid w:val="009A0005"/>
    <w:rsid w:val="009A0081"/>
    <w:rsid w:val="009A012A"/>
    <w:rsid w:val="009A0133"/>
    <w:rsid w:val="009A038D"/>
    <w:rsid w:val="009A0498"/>
    <w:rsid w:val="009A05F8"/>
    <w:rsid w:val="009A0611"/>
    <w:rsid w:val="009A0809"/>
    <w:rsid w:val="009A082D"/>
    <w:rsid w:val="009A099A"/>
    <w:rsid w:val="009A0A9A"/>
    <w:rsid w:val="009A0B4C"/>
    <w:rsid w:val="009A0B91"/>
    <w:rsid w:val="009A0CAB"/>
    <w:rsid w:val="009A0EC7"/>
    <w:rsid w:val="009A0F3D"/>
    <w:rsid w:val="009A0F4B"/>
    <w:rsid w:val="009A0FDC"/>
    <w:rsid w:val="009A0FF8"/>
    <w:rsid w:val="009A11DB"/>
    <w:rsid w:val="009A132C"/>
    <w:rsid w:val="009A1465"/>
    <w:rsid w:val="009A1613"/>
    <w:rsid w:val="009A16F6"/>
    <w:rsid w:val="009A1B41"/>
    <w:rsid w:val="009A1C21"/>
    <w:rsid w:val="009A1FBF"/>
    <w:rsid w:val="009A2178"/>
    <w:rsid w:val="009A2397"/>
    <w:rsid w:val="009A25FB"/>
    <w:rsid w:val="009A264E"/>
    <w:rsid w:val="009A2995"/>
    <w:rsid w:val="009A2A65"/>
    <w:rsid w:val="009A2B72"/>
    <w:rsid w:val="009A2C28"/>
    <w:rsid w:val="009A2DB4"/>
    <w:rsid w:val="009A2DD6"/>
    <w:rsid w:val="009A346D"/>
    <w:rsid w:val="009A38EE"/>
    <w:rsid w:val="009A3A66"/>
    <w:rsid w:val="009A3B8D"/>
    <w:rsid w:val="009A3D28"/>
    <w:rsid w:val="009A3E08"/>
    <w:rsid w:val="009A3E3C"/>
    <w:rsid w:val="009A3E65"/>
    <w:rsid w:val="009A3ED8"/>
    <w:rsid w:val="009A3EF2"/>
    <w:rsid w:val="009A400E"/>
    <w:rsid w:val="009A45B3"/>
    <w:rsid w:val="009A4921"/>
    <w:rsid w:val="009A4A0F"/>
    <w:rsid w:val="009A4D16"/>
    <w:rsid w:val="009A4E43"/>
    <w:rsid w:val="009A51DA"/>
    <w:rsid w:val="009A5522"/>
    <w:rsid w:val="009A5572"/>
    <w:rsid w:val="009A559F"/>
    <w:rsid w:val="009A5B02"/>
    <w:rsid w:val="009A5BCA"/>
    <w:rsid w:val="009A5E0B"/>
    <w:rsid w:val="009A5F7D"/>
    <w:rsid w:val="009A608F"/>
    <w:rsid w:val="009A6333"/>
    <w:rsid w:val="009A63B1"/>
    <w:rsid w:val="009A645B"/>
    <w:rsid w:val="009A6558"/>
    <w:rsid w:val="009A6581"/>
    <w:rsid w:val="009A65A4"/>
    <w:rsid w:val="009A65F6"/>
    <w:rsid w:val="009A669C"/>
    <w:rsid w:val="009A677B"/>
    <w:rsid w:val="009A685C"/>
    <w:rsid w:val="009A697E"/>
    <w:rsid w:val="009A6C45"/>
    <w:rsid w:val="009A6D75"/>
    <w:rsid w:val="009A6F44"/>
    <w:rsid w:val="009A6FA1"/>
    <w:rsid w:val="009A722D"/>
    <w:rsid w:val="009A770D"/>
    <w:rsid w:val="009A7830"/>
    <w:rsid w:val="009A78F6"/>
    <w:rsid w:val="009A7C8D"/>
    <w:rsid w:val="009A7DBD"/>
    <w:rsid w:val="009B00B2"/>
    <w:rsid w:val="009B00C5"/>
    <w:rsid w:val="009B0147"/>
    <w:rsid w:val="009B0234"/>
    <w:rsid w:val="009B0301"/>
    <w:rsid w:val="009B035E"/>
    <w:rsid w:val="009B04CB"/>
    <w:rsid w:val="009B063F"/>
    <w:rsid w:val="009B0694"/>
    <w:rsid w:val="009B06AC"/>
    <w:rsid w:val="009B0A5B"/>
    <w:rsid w:val="009B0AC1"/>
    <w:rsid w:val="009B0CB4"/>
    <w:rsid w:val="009B0DF6"/>
    <w:rsid w:val="009B0EB1"/>
    <w:rsid w:val="009B0EC5"/>
    <w:rsid w:val="009B12B2"/>
    <w:rsid w:val="009B12C3"/>
    <w:rsid w:val="009B12C4"/>
    <w:rsid w:val="009B13F2"/>
    <w:rsid w:val="009B1560"/>
    <w:rsid w:val="009B16F4"/>
    <w:rsid w:val="009B176E"/>
    <w:rsid w:val="009B1804"/>
    <w:rsid w:val="009B1861"/>
    <w:rsid w:val="009B1903"/>
    <w:rsid w:val="009B1C22"/>
    <w:rsid w:val="009B1CF0"/>
    <w:rsid w:val="009B1D8D"/>
    <w:rsid w:val="009B23DB"/>
    <w:rsid w:val="009B24F1"/>
    <w:rsid w:val="009B2544"/>
    <w:rsid w:val="009B270A"/>
    <w:rsid w:val="009B27B5"/>
    <w:rsid w:val="009B2826"/>
    <w:rsid w:val="009B2B61"/>
    <w:rsid w:val="009B32E2"/>
    <w:rsid w:val="009B336C"/>
    <w:rsid w:val="009B3566"/>
    <w:rsid w:val="009B357B"/>
    <w:rsid w:val="009B3650"/>
    <w:rsid w:val="009B3EBB"/>
    <w:rsid w:val="009B40E4"/>
    <w:rsid w:val="009B4580"/>
    <w:rsid w:val="009B46FB"/>
    <w:rsid w:val="009B476A"/>
    <w:rsid w:val="009B4A18"/>
    <w:rsid w:val="009B4A62"/>
    <w:rsid w:val="009B4BA9"/>
    <w:rsid w:val="009B4BD1"/>
    <w:rsid w:val="009B4C8F"/>
    <w:rsid w:val="009B4F48"/>
    <w:rsid w:val="009B5672"/>
    <w:rsid w:val="009B56E0"/>
    <w:rsid w:val="009B570A"/>
    <w:rsid w:val="009B574A"/>
    <w:rsid w:val="009B582F"/>
    <w:rsid w:val="009B5900"/>
    <w:rsid w:val="009B59BA"/>
    <w:rsid w:val="009B5C3B"/>
    <w:rsid w:val="009B5C88"/>
    <w:rsid w:val="009B6281"/>
    <w:rsid w:val="009B63B0"/>
    <w:rsid w:val="009B64E7"/>
    <w:rsid w:val="009B6526"/>
    <w:rsid w:val="009B6527"/>
    <w:rsid w:val="009B6529"/>
    <w:rsid w:val="009B661F"/>
    <w:rsid w:val="009B68BE"/>
    <w:rsid w:val="009B6A44"/>
    <w:rsid w:val="009B6CEC"/>
    <w:rsid w:val="009B6CF0"/>
    <w:rsid w:val="009B6E50"/>
    <w:rsid w:val="009B6E89"/>
    <w:rsid w:val="009B7139"/>
    <w:rsid w:val="009B7182"/>
    <w:rsid w:val="009B73B6"/>
    <w:rsid w:val="009B76A1"/>
    <w:rsid w:val="009B76C8"/>
    <w:rsid w:val="009B76F4"/>
    <w:rsid w:val="009B76FD"/>
    <w:rsid w:val="009B7797"/>
    <w:rsid w:val="009B7826"/>
    <w:rsid w:val="009B793A"/>
    <w:rsid w:val="009B7970"/>
    <w:rsid w:val="009B7BF7"/>
    <w:rsid w:val="009B7FD6"/>
    <w:rsid w:val="009C0237"/>
    <w:rsid w:val="009C02FE"/>
    <w:rsid w:val="009C03C6"/>
    <w:rsid w:val="009C04E6"/>
    <w:rsid w:val="009C0547"/>
    <w:rsid w:val="009C05A9"/>
    <w:rsid w:val="009C06B0"/>
    <w:rsid w:val="009C0772"/>
    <w:rsid w:val="009C0865"/>
    <w:rsid w:val="009C093E"/>
    <w:rsid w:val="009C0AE1"/>
    <w:rsid w:val="009C0B55"/>
    <w:rsid w:val="009C0C7E"/>
    <w:rsid w:val="009C0DE4"/>
    <w:rsid w:val="009C0E38"/>
    <w:rsid w:val="009C11BF"/>
    <w:rsid w:val="009C1335"/>
    <w:rsid w:val="009C142A"/>
    <w:rsid w:val="009C14F1"/>
    <w:rsid w:val="009C16D4"/>
    <w:rsid w:val="009C174A"/>
    <w:rsid w:val="009C18C9"/>
    <w:rsid w:val="009C1944"/>
    <w:rsid w:val="009C1968"/>
    <w:rsid w:val="009C1973"/>
    <w:rsid w:val="009C1A16"/>
    <w:rsid w:val="009C1C64"/>
    <w:rsid w:val="009C1CB8"/>
    <w:rsid w:val="009C1CCD"/>
    <w:rsid w:val="009C1DBB"/>
    <w:rsid w:val="009C1DD5"/>
    <w:rsid w:val="009C1DE6"/>
    <w:rsid w:val="009C1EBD"/>
    <w:rsid w:val="009C204F"/>
    <w:rsid w:val="009C2356"/>
    <w:rsid w:val="009C2366"/>
    <w:rsid w:val="009C2421"/>
    <w:rsid w:val="009C258E"/>
    <w:rsid w:val="009C2658"/>
    <w:rsid w:val="009C268D"/>
    <w:rsid w:val="009C282E"/>
    <w:rsid w:val="009C2B2E"/>
    <w:rsid w:val="009C2B93"/>
    <w:rsid w:val="009C2B98"/>
    <w:rsid w:val="009C2D3E"/>
    <w:rsid w:val="009C2FA9"/>
    <w:rsid w:val="009C2FCC"/>
    <w:rsid w:val="009C3019"/>
    <w:rsid w:val="009C31F5"/>
    <w:rsid w:val="009C3279"/>
    <w:rsid w:val="009C32C5"/>
    <w:rsid w:val="009C34E5"/>
    <w:rsid w:val="009C3617"/>
    <w:rsid w:val="009C36F5"/>
    <w:rsid w:val="009C37A4"/>
    <w:rsid w:val="009C37DB"/>
    <w:rsid w:val="009C383E"/>
    <w:rsid w:val="009C3842"/>
    <w:rsid w:val="009C38C8"/>
    <w:rsid w:val="009C3A29"/>
    <w:rsid w:val="009C3AEB"/>
    <w:rsid w:val="009C3B45"/>
    <w:rsid w:val="009C3D90"/>
    <w:rsid w:val="009C3F0E"/>
    <w:rsid w:val="009C3FB5"/>
    <w:rsid w:val="009C40D4"/>
    <w:rsid w:val="009C44CF"/>
    <w:rsid w:val="009C478C"/>
    <w:rsid w:val="009C4860"/>
    <w:rsid w:val="009C4A02"/>
    <w:rsid w:val="009C4A09"/>
    <w:rsid w:val="009C4C1E"/>
    <w:rsid w:val="009C4CCD"/>
    <w:rsid w:val="009C4EC6"/>
    <w:rsid w:val="009C4FAB"/>
    <w:rsid w:val="009C50B6"/>
    <w:rsid w:val="009C51F3"/>
    <w:rsid w:val="009C520D"/>
    <w:rsid w:val="009C548C"/>
    <w:rsid w:val="009C5492"/>
    <w:rsid w:val="009C550A"/>
    <w:rsid w:val="009C5593"/>
    <w:rsid w:val="009C5701"/>
    <w:rsid w:val="009C57D4"/>
    <w:rsid w:val="009C5831"/>
    <w:rsid w:val="009C5937"/>
    <w:rsid w:val="009C5963"/>
    <w:rsid w:val="009C597D"/>
    <w:rsid w:val="009C59D9"/>
    <w:rsid w:val="009C5C5C"/>
    <w:rsid w:val="009C5C90"/>
    <w:rsid w:val="009C5E55"/>
    <w:rsid w:val="009C5F4B"/>
    <w:rsid w:val="009C5FED"/>
    <w:rsid w:val="009C6011"/>
    <w:rsid w:val="009C60A2"/>
    <w:rsid w:val="009C615A"/>
    <w:rsid w:val="009C61A8"/>
    <w:rsid w:val="009C632D"/>
    <w:rsid w:val="009C63C0"/>
    <w:rsid w:val="009C63DB"/>
    <w:rsid w:val="009C652F"/>
    <w:rsid w:val="009C660B"/>
    <w:rsid w:val="009C67B6"/>
    <w:rsid w:val="009C6A6B"/>
    <w:rsid w:val="009C6D75"/>
    <w:rsid w:val="009C6DB7"/>
    <w:rsid w:val="009C6E75"/>
    <w:rsid w:val="009C6F1F"/>
    <w:rsid w:val="009C6FA6"/>
    <w:rsid w:val="009C7243"/>
    <w:rsid w:val="009C7B5A"/>
    <w:rsid w:val="009C7BF9"/>
    <w:rsid w:val="009C7C0A"/>
    <w:rsid w:val="009C7C88"/>
    <w:rsid w:val="009C7F06"/>
    <w:rsid w:val="009D0306"/>
    <w:rsid w:val="009D031E"/>
    <w:rsid w:val="009D033D"/>
    <w:rsid w:val="009D0347"/>
    <w:rsid w:val="009D03F0"/>
    <w:rsid w:val="009D0613"/>
    <w:rsid w:val="009D089D"/>
    <w:rsid w:val="009D09BC"/>
    <w:rsid w:val="009D09E8"/>
    <w:rsid w:val="009D0A76"/>
    <w:rsid w:val="009D0D3E"/>
    <w:rsid w:val="009D0F61"/>
    <w:rsid w:val="009D101B"/>
    <w:rsid w:val="009D105E"/>
    <w:rsid w:val="009D111C"/>
    <w:rsid w:val="009D1218"/>
    <w:rsid w:val="009D1471"/>
    <w:rsid w:val="009D14E2"/>
    <w:rsid w:val="009D1744"/>
    <w:rsid w:val="009D17D1"/>
    <w:rsid w:val="009D18A1"/>
    <w:rsid w:val="009D1984"/>
    <w:rsid w:val="009D1AF3"/>
    <w:rsid w:val="009D1BDD"/>
    <w:rsid w:val="009D1EA8"/>
    <w:rsid w:val="009D216D"/>
    <w:rsid w:val="009D2209"/>
    <w:rsid w:val="009D22F9"/>
    <w:rsid w:val="009D2A1D"/>
    <w:rsid w:val="009D2A8B"/>
    <w:rsid w:val="009D2BED"/>
    <w:rsid w:val="009D2CCC"/>
    <w:rsid w:val="009D2E63"/>
    <w:rsid w:val="009D30A5"/>
    <w:rsid w:val="009D30A9"/>
    <w:rsid w:val="009D30E6"/>
    <w:rsid w:val="009D315D"/>
    <w:rsid w:val="009D315F"/>
    <w:rsid w:val="009D3213"/>
    <w:rsid w:val="009D3322"/>
    <w:rsid w:val="009D346D"/>
    <w:rsid w:val="009D34B1"/>
    <w:rsid w:val="009D383C"/>
    <w:rsid w:val="009D3CB7"/>
    <w:rsid w:val="009D3F34"/>
    <w:rsid w:val="009D4321"/>
    <w:rsid w:val="009D43B2"/>
    <w:rsid w:val="009D441A"/>
    <w:rsid w:val="009D4624"/>
    <w:rsid w:val="009D4A02"/>
    <w:rsid w:val="009D4C3A"/>
    <w:rsid w:val="009D4D38"/>
    <w:rsid w:val="009D5116"/>
    <w:rsid w:val="009D5149"/>
    <w:rsid w:val="009D5304"/>
    <w:rsid w:val="009D53FE"/>
    <w:rsid w:val="009D5526"/>
    <w:rsid w:val="009D5780"/>
    <w:rsid w:val="009D58EF"/>
    <w:rsid w:val="009D592E"/>
    <w:rsid w:val="009D5951"/>
    <w:rsid w:val="009D598F"/>
    <w:rsid w:val="009D5AE1"/>
    <w:rsid w:val="009D5B89"/>
    <w:rsid w:val="009D5C4D"/>
    <w:rsid w:val="009D5CB4"/>
    <w:rsid w:val="009D5D4B"/>
    <w:rsid w:val="009D5D4C"/>
    <w:rsid w:val="009D5E9F"/>
    <w:rsid w:val="009D5FB7"/>
    <w:rsid w:val="009D603B"/>
    <w:rsid w:val="009D63C1"/>
    <w:rsid w:val="009D63CD"/>
    <w:rsid w:val="009D650B"/>
    <w:rsid w:val="009D6877"/>
    <w:rsid w:val="009D694B"/>
    <w:rsid w:val="009D6AA3"/>
    <w:rsid w:val="009D6BB2"/>
    <w:rsid w:val="009D6BB8"/>
    <w:rsid w:val="009D6BCE"/>
    <w:rsid w:val="009D6CEB"/>
    <w:rsid w:val="009D6CF1"/>
    <w:rsid w:val="009D6DBA"/>
    <w:rsid w:val="009D70C3"/>
    <w:rsid w:val="009D7114"/>
    <w:rsid w:val="009D71AA"/>
    <w:rsid w:val="009D7243"/>
    <w:rsid w:val="009D7507"/>
    <w:rsid w:val="009D7682"/>
    <w:rsid w:val="009D7685"/>
    <w:rsid w:val="009D7841"/>
    <w:rsid w:val="009D7892"/>
    <w:rsid w:val="009D7A7D"/>
    <w:rsid w:val="009D7B2F"/>
    <w:rsid w:val="009D7BE5"/>
    <w:rsid w:val="009D7E5F"/>
    <w:rsid w:val="009E00DD"/>
    <w:rsid w:val="009E0114"/>
    <w:rsid w:val="009E01E8"/>
    <w:rsid w:val="009E01F3"/>
    <w:rsid w:val="009E02AC"/>
    <w:rsid w:val="009E03CB"/>
    <w:rsid w:val="009E05F0"/>
    <w:rsid w:val="009E06B0"/>
    <w:rsid w:val="009E0937"/>
    <w:rsid w:val="009E09D7"/>
    <w:rsid w:val="009E09D9"/>
    <w:rsid w:val="009E0A40"/>
    <w:rsid w:val="009E0C69"/>
    <w:rsid w:val="009E0DF9"/>
    <w:rsid w:val="009E0E96"/>
    <w:rsid w:val="009E0F99"/>
    <w:rsid w:val="009E1088"/>
    <w:rsid w:val="009E1168"/>
    <w:rsid w:val="009E1340"/>
    <w:rsid w:val="009E14B2"/>
    <w:rsid w:val="009E1609"/>
    <w:rsid w:val="009E163D"/>
    <w:rsid w:val="009E1670"/>
    <w:rsid w:val="009E16C2"/>
    <w:rsid w:val="009E16F2"/>
    <w:rsid w:val="009E17B3"/>
    <w:rsid w:val="009E1A40"/>
    <w:rsid w:val="009E1AB8"/>
    <w:rsid w:val="009E1C86"/>
    <w:rsid w:val="009E1FA1"/>
    <w:rsid w:val="009E1FBB"/>
    <w:rsid w:val="009E223C"/>
    <w:rsid w:val="009E2241"/>
    <w:rsid w:val="009E23C7"/>
    <w:rsid w:val="009E2425"/>
    <w:rsid w:val="009E2450"/>
    <w:rsid w:val="009E247F"/>
    <w:rsid w:val="009E24F0"/>
    <w:rsid w:val="009E2558"/>
    <w:rsid w:val="009E2641"/>
    <w:rsid w:val="009E27BA"/>
    <w:rsid w:val="009E27F0"/>
    <w:rsid w:val="009E2816"/>
    <w:rsid w:val="009E2874"/>
    <w:rsid w:val="009E28B9"/>
    <w:rsid w:val="009E29D3"/>
    <w:rsid w:val="009E2DD1"/>
    <w:rsid w:val="009E2FF3"/>
    <w:rsid w:val="009E306E"/>
    <w:rsid w:val="009E3091"/>
    <w:rsid w:val="009E3245"/>
    <w:rsid w:val="009E3495"/>
    <w:rsid w:val="009E350B"/>
    <w:rsid w:val="009E351F"/>
    <w:rsid w:val="009E3AC6"/>
    <w:rsid w:val="009E3B4D"/>
    <w:rsid w:val="009E3B69"/>
    <w:rsid w:val="009E3C0F"/>
    <w:rsid w:val="009E4005"/>
    <w:rsid w:val="009E4080"/>
    <w:rsid w:val="009E4276"/>
    <w:rsid w:val="009E4400"/>
    <w:rsid w:val="009E474F"/>
    <w:rsid w:val="009E4777"/>
    <w:rsid w:val="009E4984"/>
    <w:rsid w:val="009E4A43"/>
    <w:rsid w:val="009E4B0B"/>
    <w:rsid w:val="009E4BF0"/>
    <w:rsid w:val="009E4C3A"/>
    <w:rsid w:val="009E4C83"/>
    <w:rsid w:val="009E4C84"/>
    <w:rsid w:val="009E4FAA"/>
    <w:rsid w:val="009E502E"/>
    <w:rsid w:val="009E510C"/>
    <w:rsid w:val="009E5289"/>
    <w:rsid w:val="009E5296"/>
    <w:rsid w:val="009E5334"/>
    <w:rsid w:val="009E539D"/>
    <w:rsid w:val="009E5584"/>
    <w:rsid w:val="009E57CA"/>
    <w:rsid w:val="009E587D"/>
    <w:rsid w:val="009E5B90"/>
    <w:rsid w:val="009E5BDB"/>
    <w:rsid w:val="009E5C3B"/>
    <w:rsid w:val="009E5CD0"/>
    <w:rsid w:val="009E5DA5"/>
    <w:rsid w:val="009E5EC9"/>
    <w:rsid w:val="009E5EFB"/>
    <w:rsid w:val="009E5F22"/>
    <w:rsid w:val="009E61A6"/>
    <w:rsid w:val="009E62D4"/>
    <w:rsid w:val="009E6325"/>
    <w:rsid w:val="009E6338"/>
    <w:rsid w:val="009E635E"/>
    <w:rsid w:val="009E6475"/>
    <w:rsid w:val="009E6637"/>
    <w:rsid w:val="009E66B2"/>
    <w:rsid w:val="009E67FA"/>
    <w:rsid w:val="009E6DB2"/>
    <w:rsid w:val="009E6DC5"/>
    <w:rsid w:val="009E6E01"/>
    <w:rsid w:val="009E6E24"/>
    <w:rsid w:val="009E6F52"/>
    <w:rsid w:val="009E704B"/>
    <w:rsid w:val="009E7332"/>
    <w:rsid w:val="009E75FC"/>
    <w:rsid w:val="009E7801"/>
    <w:rsid w:val="009E788C"/>
    <w:rsid w:val="009E793A"/>
    <w:rsid w:val="009E7AC0"/>
    <w:rsid w:val="009E7CE0"/>
    <w:rsid w:val="009E7E22"/>
    <w:rsid w:val="009F0015"/>
    <w:rsid w:val="009F00B1"/>
    <w:rsid w:val="009F0155"/>
    <w:rsid w:val="009F01B8"/>
    <w:rsid w:val="009F01EF"/>
    <w:rsid w:val="009F0413"/>
    <w:rsid w:val="009F044E"/>
    <w:rsid w:val="009F04D6"/>
    <w:rsid w:val="009F08E4"/>
    <w:rsid w:val="009F0BCE"/>
    <w:rsid w:val="009F0FDD"/>
    <w:rsid w:val="009F1172"/>
    <w:rsid w:val="009F11B0"/>
    <w:rsid w:val="009F12B1"/>
    <w:rsid w:val="009F1329"/>
    <w:rsid w:val="009F1490"/>
    <w:rsid w:val="009F156D"/>
    <w:rsid w:val="009F15C7"/>
    <w:rsid w:val="009F18FE"/>
    <w:rsid w:val="009F19A5"/>
    <w:rsid w:val="009F1B20"/>
    <w:rsid w:val="009F1BDA"/>
    <w:rsid w:val="009F1C2E"/>
    <w:rsid w:val="009F1FCF"/>
    <w:rsid w:val="009F2379"/>
    <w:rsid w:val="009F23C2"/>
    <w:rsid w:val="009F2424"/>
    <w:rsid w:val="009F2432"/>
    <w:rsid w:val="009F24C0"/>
    <w:rsid w:val="009F251A"/>
    <w:rsid w:val="009F26D8"/>
    <w:rsid w:val="009F274C"/>
    <w:rsid w:val="009F27F7"/>
    <w:rsid w:val="009F2809"/>
    <w:rsid w:val="009F285A"/>
    <w:rsid w:val="009F2941"/>
    <w:rsid w:val="009F2A04"/>
    <w:rsid w:val="009F2C40"/>
    <w:rsid w:val="009F2D9F"/>
    <w:rsid w:val="009F2F09"/>
    <w:rsid w:val="009F30B5"/>
    <w:rsid w:val="009F31C6"/>
    <w:rsid w:val="009F345D"/>
    <w:rsid w:val="009F36D2"/>
    <w:rsid w:val="009F3704"/>
    <w:rsid w:val="009F3749"/>
    <w:rsid w:val="009F37B4"/>
    <w:rsid w:val="009F3861"/>
    <w:rsid w:val="009F39DF"/>
    <w:rsid w:val="009F3A88"/>
    <w:rsid w:val="009F3B77"/>
    <w:rsid w:val="009F3BF3"/>
    <w:rsid w:val="009F3C21"/>
    <w:rsid w:val="009F3DB9"/>
    <w:rsid w:val="009F3F05"/>
    <w:rsid w:val="009F40AD"/>
    <w:rsid w:val="009F417B"/>
    <w:rsid w:val="009F4433"/>
    <w:rsid w:val="009F455A"/>
    <w:rsid w:val="009F47B5"/>
    <w:rsid w:val="009F47CF"/>
    <w:rsid w:val="009F4838"/>
    <w:rsid w:val="009F491E"/>
    <w:rsid w:val="009F49AD"/>
    <w:rsid w:val="009F4B15"/>
    <w:rsid w:val="009F4B5D"/>
    <w:rsid w:val="009F4D30"/>
    <w:rsid w:val="009F4EDD"/>
    <w:rsid w:val="009F5070"/>
    <w:rsid w:val="009F5071"/>
    <w:rsid w:val="009F53B4"/>
    <w:rsid w:val="009F5538"/>
    <w:rsid w:val="009F5562"/>
    <w:rsid w:val="009F5914"/>
    <w:rsid w:val="009F5BCB"/>
    <w:rsid w:val="009F5D66"/>
    <w:rsid w:val="009F5DA8"/>
    <w:rsid w:val="009F5E6A"/>
    <w:rsid w:val="009F600B"/>
    <w:rsid w:val="009F6185"/>
    <w:rsid w:val="009F6205"/>
    <w:rsid w:val="009F620A"/>
    <w:rsid w:val="009F627A"/>
    <w:rsid w:val="009F63B2"/>
    <w:rsid w:val="009F650B"/>
    <w:rsid w:val="009F6517"/>
    <w:rsid w:val="009F67B9"/>
    <w:rsid w:val="009F6926"/>
    <w:rsid w:val="009F699C"/>
    <w:rsid w:val="009F6B2F"/>
    <w:rsid w:val="009F6C01"/>
    <w:rsid w:val="009F6CDC"/>
    <w:rsid w:val="009F6F72"/>
    <w:rsid w:val="009F7093"/>
    <w:rsid w:val="009F70AA"/>
    <w:rsid w:val="009F7280"/>
    <w:rsid w:val="009F72C6"/>
    <w:rsid w:val="009F72FE"/>
    <w:rsid w:val="009F7505"/>
    <w:rsid w:val="009F75C0"/>
    <w:rsid w:val="009F77B0"/>
    <w:rsid w:val="009F7C92"/>
    <w:rsid w:val="009F7E1E"/>
    <w:rsid w:val="009F7E42"/>
    <w:rsid w:val="009F7F7B"/>
    <w:rsid w:val="00A00022"/>
    <w:rsid w:val="00A00053"/>
    <w:rsid w:val="00A00085"/>
    <w:rsid w:val="00A00142"/>
    <w:rsid w:val="00A0021F"/>
    <w:rsid w:val="00A002E4"/>
    <w:rsid w:val="00A003F2"/>
    <w:rsid w:val="00A0072D"/>
    <w:rsid w:val="00A00A09"/>
    <w:rsid w:val="00A00A6D"/>
    <w:rsid w:val="00A00AA8"/>
    <w:rsid w:val="00A00ADA"/>
    <w:rsid w:val="00A00BA1"/>
    <w:rsid w:val="00A00C05"/>
    <w:rsid w:val="00A01098"/>
    <w:rsid w:val="00A01103"/>
    <w:rsid w:val="00A011A5"/>
    <w:rsid w:val="00A01225"/>
    <w:rsid w:val="00A0133D"/>
    <w:rsid w:val="00A0138E"/>
    <w:rsid w:val="00A015F7"/>
    <w:rsid w:val="00A01752"/>
    <w:rsid w:val="00A018E5"/>
    <w:rsid w:val="00A01931"/>
    <w:rsid w:val="00A01C62"/>
    <w:rsid w:val="00A01D23"/>
    <w:rsid w:val="00A01DDB"/>
    <w:rsid w:val="00A01F1F"/>
    <w:rsid w:val="00A020CF"/>
    <w:rsid w:val="00A020E1"/>
    <w:rsid w:val="00A020E8"/>
    <w:rsid w:val="00A02172"/>
    <w:rsid w:val="00A0219E"/>
    <w:rsid w:val="00A021CE"/>
    <w:rsid w:val="00A024AC"/>
    <w:rsid w:val="00A024D6"/>
    <w:rsid w:val="00A02566"/>
    <w:rsid w:val="00A0256A"/>
    <w:rsid w:val="00A025FA"/>
    <w:rsid w:val="00A02A73"/>
    <w:rsid w:val="00A02ABA"/>
    <w:rsid w:val="00A02D5A"/>
    <w:rsid w:val="00A02E77"/>
    <w:rsid w:val="00A02FAB"/>
    <w:rsid w:val="00A02FE6"/>
    <w:rsid w:val="00A0328B"/>
    <w:rsid w:val="00A032BF"/>
    <w:rsid w:val="00A033BB"/>
    <w:rsid w:val="00A0340D"/>
    <w:rsid w:val="00A03450"/>
    <w:rsid w:val="00A03470"/>
    <w:rsid w:val="00A037A1"/>
    <w:rsid w:val="00A0385F"/>
    <w:rsid w:val="00A03B10"/>
    <w:rsid w:val="00A03BB7"/>
    <w:rsid w:val="00A03BEE"/>
    <w:rsid w:val="00A03D4B"/>
    <w:rsid w:val="00A03DA3"/>
    <w:rsid w:val="00A03FC4"/>
    <w:rsid w:val="00A04268"/>
    <w:rsid w:val="00A0426F"/>
    <w:rsid w:val="00A04399"/>
    <w:rsid w:val="00A043A5"/>
    <w:rsid w:val="00A04509"/>
    <w:rsid w:val="00A04559"/>
    <w:rsid w:val="00A0494E"/>
    <w:rsid w:val="00A04A89"/>
    <w:rsid w:val="00A04CFE"/>
    <w:rsid w:val="00A04D73"/>
    <w:rsid w:val="00A05094"/>
    <w:rsid w:val="00A05231"/>
    <w:rsid w:val="00A054CD"/>
    <w:rsid w:val="00A0567D"/>
    <w:rsid w:val="00A057E4"/>
    <w:rsid w:val="00A057F5"/>
    <w:rsid w:val="00A0593D"/>
    <w:rsid w:val="00A05BB5"/>
    <w:rsid w:val="00A05BFD"/>
    <w:rsid w:val="00A05D37"/>
    <w:rsid w:val="00A05ED4"/>
    <w:rsid w:val="00A0612F"/>
    <w:rsid w:val="00A061CD"/>
    <w:rsid w:val="00A06216"/>
    <w:rsid w:val="00A06309"/>
    <w:rsid w:val="00A06843"/>
    <w:rsid w:val="00A06935"/>
    <w:rsid w:val="00A06D66"/>
    <w:rsid w:val="00A06F1B"/>
    <w:rsid w:val="00A06FEE"/>
    <w:rsid w:val="00A070BD"/>
    <w:rsid w:val="00A070C1"/>
    <w:rsid w:val="00A07160"/>
    <w:rsid w:val="00A071CF"/>
    <w:rsid w:val="00A072B5"/>
    <w:rsid w:val="00A0735B"/>
    <w:rsid w:val="00A0737A"/>
    <w:rsid w:val="00A073E6"/>
    <w:rsid w:val="00A07641"/>
    <w:rsid w:val="00A07666"/>
    <w:rsid w:val="00A07694"/>
    <w:rsid w:val="00A07776"/>
    <w:rsid w:val="00A0777B"/>
    <w:rsid w:val="00A0787B"/>
    <w:rsid w:val="00A07A98"/>
    <w:rsid w:val="00A07AFD"/>
    <w:rsid w:val="00A07BCE"/>
    <w:rsid w:val="00A07C42"/>
    <w:rsid w:val="00A07C9A"/>
    <w:rsid w:val="00A07E32"/>
    <w:rsid w:val="00A10153"/>
    <w:rsid w:val="00A1015B"/>
    <w:rsid w:val="00A101CD"/>
    <w:rsid w:val="00A10337"/>
    <w:rsid w:val="00A10357"/>
    <w:rsid w:val="00A103B1"/>
    <w:rsid w:val="00A104CF"/>
    <w:rsid w:val="00A10669"/>
    <w:rsid w:val="00A10847"/>
    <w:rsid w:val="00A10992"/>
    <w:rsid w:val="00A10B3D"/>
    <w:rsid w:val="00A10BAE"/>
    <w:rsid w:val="00A10D31"/>
    <w:rsid w:val="00A10D6E"/>
    <w:rsid w:val="00A10E33"/>
    <w:rsid w:val="00A10EA2"/>
    <w:rsid w:val="00A10FE9"/>
    <w:rsid w:val="00A110C3"/>
    <w:rsid w:val="00A110EB"/>
    <w:rsid w:val="00A11165"/>
    <w:rsid w:val="00A11240"/>
    <w:rsid w:val="00A112DD"/>
    <w:rsid w:val="00A1171F"/>
    <w:rsid w:val="00A11757"/>
    <w:rsid w:val="00A11A9F"/>
    <w:rsid w:val="00A11B73"/>
    <w:rsid w:val="00A11C09"/>
    <w:rsid w:val="00A11C9A"/>
    <w:rsid w:val="00A11E7A"/>
    <w:rsid w:val="00A11EB4"/>
    <w:rsid w:val="00A11ECF"/>
    <w:rsid w:val="00A11FD0"/>
    <w:rsid w:val="00A12024"/>
    <w:rsid w:val="00A12337"/>
    <w:rsid w:val="00A1234E"/>
    <w:rsid w:val="00A1238D"/>
    <w:rsid w:val="00A12418"/>
    <w:rsid w:val="00A12489"/>
    <w:rsid w:val="00A12627"/>
    <w:rsid w:val="00A12792"/>
    <w:rsid w:val="00A12A35"/>
    <w:rsid w:val="00A12ADB"/>
    <w:rsid w:val="00A12CE0"/>
    <w:rsid w:val="00A12D68"/>
    <w:rsid w:val="00A12DC1"/>
    <w:rsid w:val="00A12FE1"/>
    <w:rsid w:val="00A130B4"/>
    <w:rsid w:val="00A131E5"/>
    <w:rsid w:val="00A138FD"/>
    <w:rsid w:val="00A13901"/>
    <w:rsid w:val="00A139F1"/>
    <w:rsid w:val="00A13A93"/>
    <w:rsid w:val="00A13D4B"/>
    <w:rsid w:val="00A13DC1"/>
    <w:rsid w:val="00A13F49"/>
    <w:rsid w:val="00A13F59"/>
    <w:rsid w:val="00A13FB7"/>
    <w:rsid w:val="00A13FC2"/>
    <w:rsid w:val="00A14042"/>
    <w:rsid w:val="00A14158"/>
    <w:rsid w:val="00A1416D"/>
    <w:rsid w:val="00A1433D"/>
    <w:rsid w:val="00A1444F"/>
    <w:rsid w:val="00A145D9"/>
    <w:rsid w:val="00A146BB"/>
    <w:rsid w:val="00A146EB"/>
    <w:rsid w:val="00A14716"/>
    <w:rsid w:val="00A14807"/>
    <w:rsid w:val="00A14812"/>
    <w:rsid w:val="00A149B0"/>
    <w:rsid w:val="00A14A07"/>
    <w:rsid w:val="00A14A0A"/>
    <w:rsid w:val="00A14A18"/>
    <w:rsid w:val="00A14BF7"/>
    <w:rsid w:val="00A14C64"/>
    <w:rsid w:val="00A14E2F"/>
    <w:rsid w:val="00A150A5"/>
    <w:rsid w:val="00A150F0"/>
    <w:rsid w:val="00A15354"/>
    <w:rsid w:val="00A1535E"/>
    <w:rsid w:val="00A15474"/>
    <w:rsid w:val="00A15720"/>
    <w:rsid w:val="00A157DC"/>
    <w:rsid w:val="00A15826"/>
    <w:rsid w:val="00A158EE"/>
    <w:rsid w:val="00A1590D"/>
    <w:rsid w:val="00A15916"/>
    <w:rsid w:val="00A1595F"/>
    <w:rsid w:val="00A15985"/>
    <w:rsid w:val="00A159A5"/>
    <w:rsid w:val="00A159D0"/>
    <w:rsid w:val="00A15EEB"/>
    <w:rsid w:val="00A15F32"/>
    <w:rsid w:val="00A15F7E"/>
    <w:rsid w:val="00A15FC9"/>
    <w:rsid w:val="00A1601A"/>
    <w:rsid w:val="00A16058"/>
    <w:rsid w:val="00A1614E"/>
    <w:rsid w:val="00A163B6"/>
    <w:rsid w:val="00A163B8"/>
    <w:rsid w:val="00A16431"/>
    <w:rsid w:val="00A166B0"/>
    <w:rsid w:val="00A167DF"/>
    <w:rsid w:val="00A16BDC"/>
    <w:rsid w:val="00A16CB9"/>
    <w:rsid w:val="00A16CBF"/>
    <w:rsid w:val="00A16EF8"/>
    <w:rsid w:val="00A16FB2"/>
    <w:rsid w:val="00A171D5"/>
    <w:rsid w:val="00A1723B"/>
    <w:rsid w:val="00A172A5"/>
    <w:rsid w:val="00A1739D"/>
    <w:rsid w:val="00A1750A"/>
    <w:rsid w:val="00A1750F"/>
    <w:rsid w:val="00A1755A"/>
    <w:rsid w:val="00A177F2"/>
    <w:rsid w:val="00A1787E"/>
    <w:rsid w:val="00A17A30"/>
    <w:rsid w:val="00A17A8B"/>
    <w:rsid w:val="00A17CD8"/>
    <w:rsid w:val="00A17DCD"/>
    <w:rsid w:val="00A17FC6"/>
    <w:rsid w:val="00A20004"/>
    <w:rsid w:val="00A2006F"/>
    <w:rsid w:val="00A200DA"/>
    <w:rsid w:val="00A206ED"/>
    <w:rsid w:val="00A2073A"/>
    <w:rsid w:val="00A20944"/>
    <w:rsid w:val="00A20A15"/>
    <w:rsid w:val="00A20D85"/>
    <w:rsid w:val="00A20FC1"/>
    <w:rsid w:val="00A21051"/>
    <w:rsid w:val="00A2105B"/>
    <w:rsid w:val="00A2121C"/>
    <w:rsid w:val="00A21581"/>
    <w:rsid w:val="00A21678"/>
    <w:rsid w:val="00A21752"/>
    <w:rsid w:val="00A21A9B"/>
    <w:rsid w:val="00A21AF7"/>
    <w:rsid w:val="00A21B18"/>
    <w:rsid w:val="00A21D2F"/>
    <w:rsid w:val="00A21DDB"/>
    <w:rsid w:val="00A21EF6"/>
    <w:rsid w:val="00A220A2"/>
    <w:rsid w:val="00A220DF"/>
    <w:rsid w:val="00A2211E"/>
    <w:rsid w:val="00A2227E"/>
    <w:rsid w:val="00A22306"/>
    <w:rsid w:val="00A223DC"/>
    <w:rsid w:val="00A224B5"/>
    <w:rsid w:val="00A2250E"/>
    <w:rsid w:val="00A22808"/>
    <w:rsid w:val="00A22912"/>
    <w:rsid w:val="00A22A81"/>
    <w:rsid w:val="00A22C24"/>
    <w:rsid w:val="00A22C8D"/>
    <w:rsid w:val="00A22F24"/>
    <w:rsid w:val="00A22F6F"/>
    <w:rsid w:val="00A23026"/>
    <w:rsid w:val="00A23194"/>
    <w:rsid w:val="00A231DC"/>
    <w:rsid w:val="00A2322E"/>
    <w:rsid w:val="00A23332"/>
    <w:rsid w:val="00A2334F"/>
    <w:rsid w:val="00A2347C"/>
    <w:rsid w:val="00A23493"/>
    <w:rsid w:val="00A2372F"/>
    <w:rsid w:val="00A237AA"/>
    <w:rsid w:val="00A23D20"/>
    <w:rsid w:val="00A23F0E"/>
    <w:rsid w:val="00A2405F"/>
    <w:rsid w:val="00A24117"/>
    <w:rsid w:val="00A24217"/>
    <w:rsid w:val="00A2431D"/>
    <w:rsid w:val="00A243CB"/>
    <w:rsid w:val="00A24489"/>
    <w:rsid w:val="00A24513"/>
    <w:rsid w:val="00A24CCA"/>
    <w:rsid w:val="00A24E53"/>
    <w:rsid w:val="00A24F4E"/>
    <w:rsid w:val="00A25078"/>
    <w:rsid w:val="00A250A4"/>
    <w:rsid w:val="00A2514C"/>
    <w:rsid w:val="00A25175"/>
    <w:rsid w:val="00A252A9"/>
    <w:rsid w:val="00A252CB"/>
    <w:rsid w:val="00A25414"/>
    <w:rsid w:val="00A2544C"/>
    <w:rsid w:val="00A2545A"/>
    <w:rsid w:val="00A25629"/>
    <w:rsid w:val="00A256E5"/>
    <w:rsid w:val="00A25A28"/>
    <w:rsid w:val="00A25B97"/>
    <w:rsid w:val="00A25F34"/>
    <w:rsid w:val="00A25F51"/>
    <w:rsid w:val="00A25F97"/>
    <w:rsid w:val="00A264C9"/>
    <w:rsid w:val="00A264D4"/>
    <w:rsid w:val="00A2652F"/>
    <w:rsid w:val="00A26655"/>
    <w:rsid w:val="00A267BE"/>
    <w:rsid w:val="00A267F9"/>
    <w:rsid w:val="00A2695E"/>
    <w:rsid w:val="00A26B94"/>
    <w:rsid w:val="00A26DC3"/>
    <w:rsid w:val="00A26E7F"/>
    <w:rsid w:val="00A2702F"/>
    <w:rsid w:val="00A2707E"/>
    <w:rsid w:val="00A2718F"/>
    <w:rsid w:val="00A2733C"/>
    <w:rsid w:val="00A27428"/>
    <w:rsid w:val="00A27604"/>
    <w:rsid w:val="00A2766A"/>
    <w:rsid w:val="00A2771E"/>
    <w:rsid w:val="00A27774"/>
    <w:rsid w:val="00A27A1A"/>
    <w:rsid w:val="00A27AB4"/>
    <w:rsid w:val="00A27AFD"/>
    <w:rsid w:val="00A27B2E"/>
    <w:rsid w:val="00A27B4D"/>
    <w:rsid w:val="00A27B53"/>
    <w:rsid w:val="00A27D6D"/>
    <w:rsid w:val="00A27EE4"/>
    <w:rsid w:val="00A3007F"/>
    <w:rsid w:val="00A300F2"/>
    <w:rsid w:val="00A30148"/>
    <w:rsid w:val="00A30249"/>
    <w:rsid w:val="00A30443"/>
    <w:rsid w:val="00A304D9"/>
    <w:rsid w:val="00A3096B"/>
    <w:rsid w:val="00A30AB1"/>
    <w:rsid w:val="00A30BCB"/>
    <w:rsid w:val="00A30C2D"/>
    <w:rsid w:val="00A30C4F"/>
    <w:rsid w:val="00A30ED0"/>
    <w:rsid w:val="00A30F90"/>
    <w:rsid w:val="00A31095"/>
    <w:rsid w:val="00A310D3"/>
    <w:rsid w:val="00A3111E"/>
    <w:rsid w:val="00A311F9"/>
    <w:rsid w:val="00A3125B"/>
    <w:rsid w:val="00A312C9"/>
    <w:rsid w:val="00A3154D"/>
    <w:rsid w:val="00A316A0"/>
    <w:rsid w:val="00A31869"/>
    <w:rsid w:val="00A318B3"/>
    <w:rsid w:val="00A31912"/>
    <w:rsid w:val="00A31B4D"/>
    <w:rsid w:val="00A31BD7"/>
    <w:rsid w:val="00A31E21"/>
    <w:rsid w:val="00A31E7F"/>
    <w:rsid w:val="00A31E86"/>
    <w:rsid w:val="00A3280B"/>
    <w:rsid w:val="00A32888"/>
    <w:rsid w:val="00A328D1"/>
    <w:rsid w:val="00A32C2A"/>
    <w:rsid w:val="00A32E67"/>
    <w:rsid w:val="00A32F5E"/>
    <w:rsid w:val="00A3312C"/>
    <w:rsid w:val="00A33204"/>
    <w:rsid w:val="00A3324F"/>
    <w:rsid w:val="00A33294"/>
    <w:rsid w:val="00A332AA"/>
    <w:rsid w:val="00A335B3"/>
    <w:rsid w:val="00A33613"/>
    <w:rsid w:val="00A33627"/>
    <w:rsid w:val="00A336EF"/>
    <w:rsid w:val="00A337CB"/>
    <w:rsid w:val="00A33809"/>
    <w:rsid w:val="00A339FB"/>
    <w:rsid w:val="00A33A47"/>
    <w:rsid w:val="00A33BF2"/>
    <w:rsid w:val="00A33CFF"/>
    <w:rsid w:val="00A33DB5"/>
    <w:rsid w:val="00A33DD5"/>
    <w:rsid w:val="00A33EA6"/>
    <w:rsid w:val="00A33ECA"/>
    <w:rsid w:val="00A33F64"/>
    <w:rsid w:val="00A3406E"/>
    <w:rsid w:val="00A340DE"/>
    <w:rsid w:val="00A34171"/>
    <w:rsid w:val="00A345B9"/>
    <w:rsid w:val="00A34A62"/>
    <w:rsid w:val="00A34B3F"/>
    <w:rsid w:val="00A34B79"/>
    <w:rsid w:val="00A34BBC"/>
    <w:rsid w:val="00A34C83"/>
    <w:rsid w:val="00A34DCC"/>
    <w:rsid w:val="00A34ECD"/>
    <w:rsid w:val="00A35324"/>
    <w:rsid w:val="00A353D7"/>
    <w:rsid w:val="00A3548D"/>
    <w:rsid w:val="00A354E8"/>
    <w:rsid w:val="00A354EF"/>
    <w:rsid w:val="00A35802"/>
    <w:rsid w:val="00A35882"/>
    <w:rsid w:val="00A3589B"/>
    <w:rsid w:val="00A35907"/>
    <w:rsid w:val="00A3596A"/>
    <w:rsid w:val="00A35A73"/>
    <w:rsid w:val="00A35A7E"/>
    <w:rsid w:val="00A35DB3"/>
    <w:rsid w:val="00A35FF7"/>
    <w:rsid w:val="00A36233"/>
    <w:rsid w:val="00A362AE"/>
    <w:rsid w:val="00A36408"/>
    <w:rsid w:val="00A36420"/>
    <w:rsid w:val="00A364BA"/>
    <w:rsid w:val="00A3660F"/>
    <w:rsid w:val="00A3663F"/>
    <w:rsid w:val="00A36B56"/>
    <w:rsid w:val="00A36C33"/>
    <w:rsid w:val="00A36D70"/>
    <w:rsid w:val="00A36D87"/>
    <w:rsid w:val="00A36DAB"/>
    <w:rsid w:val="00A36E3E"/>
    <w:rsid w:val="00A370DF"/>
    <w:rsid w:val="00A37358"/>
    <w:rsid w:val="00A373D1"/>
    <w:rsid w:val="00A37465"/>
    <w:rsid w:val="00A3751E"/>
    <w:rsid w:val="00A3756A"/>
    <w:rsid w:val="00A376FD"/>
    <w:rsid w:val="00A377D0"/>
    <w:rsid w:val="00A37844"/>
    <w:rsid w:val="00A37C4C"/>
    <w:rsid w:val="00A37C87"/>
    <w:rsid w:val="00A4016A"/>
    <w:rsid w:val="00A402F5"/>
    <w:rsid w:val="00A402FE"/>
    <w:rsid w:val="00A4035F"/>
    <w:rsid w:val="00A403BA"/>
    <w:rsid w:val="00A40533"/>
    <w:rsid w:val="00A4065B"/>
    <w:rsid w:val="00A40689"/>
    <w:rsid w:val="00A4083D"/>
    <w:rsid w:val="00A40A03"/>
    <w:rsid w:val="00A40A90"/>
    <w:rsid w:val="00A40CAC"/>
    <w:rsid w:val="00A40D25"/>
    <w:rsid w:val="00A40DBB"/>
    <w:rsid w:val="00A4125C"/>
    <w:rsid w:val="00A41384"/>
    <w:rsid w:val="00A41591"/>
    <w:rsid w:val="00A4167C"/>
    <w:rsid w:val="00A41759"/>
    <w:rsid w:val="00A41A19"/>
    <w:rsid w:val="00A41AC2"/>
    <w:rsid w:val="00A41D02"/>
    <w:rsid w:val="00A41DA0"/>
    <w:rsid w:val="00A41F3B"/>
    <w:rsid w:val="00A41F44"/>
    <w:rsid w:val="00A424EA"/>
    <w:rsid w:val="00A425AA"/>
    <w:rsid w:val="00A429B2"/>
    <w:rsid w:val="00A429F0"/>
    <w:rsid w:val="00A42A7D"/>
    <w:rsid w:val="00A42B5F"/>
    <w:rsid w:val="00A42E15"/>
    <w:rsid w:val="00A42F41"/>
    <w:rsid w:val="00A42F57"/>
    <w:rsid w:val="00A43081"/>
    <w:rsid w:val="00A4329A"/>
    <w:rsid w:val="00A43369"/>
    <w:rsid w:val="00A4338E"/>
    <w:rsid w:val="00A43453"/>
    <w:rsid w:val="00A43550"/>
    <w:rsid w:val="00A436ED"/>
    <w:rsid w:val="00A436FB"/>
    <w:rsid w:val="00A43725"/>
    <w:rsid w:val="00A43779"/>
    <w:rsid w:val="00A437B2"/>
    <w:rsid w:val="00A43847"/>
    <w:rsid w:val="00A439A8"/>
    <w:rsid w:val="00A43A39"/>
    <w:rsid w:val="00A43B20"/>
    <w:rsid w:val="00A43BD3"/>
    <w:rsid w:val="00A43C58"/>
    <w:rsid w:val="00A43CBC"/>
    <w:rsid w:val="00A43D1F"/>
    <w:rsid w:val="00A43DB2"/>
    <w:rsid w:val="00A44029"/>
    <w:rsid w:val="00A440A7"/>
    <w:rsid w:val="00A44198"/>
    <w:rsid w:val="00A44387"/>
    <w:rsid w:val="00A44490"/>
    <w:rsid w:val="00A44624"/>
    <w:rsid w:val="00A44653"/>
    <w:rsid w:val="00A44A10"/>
    <w:rsid w:val="00A44B90"/>
    <w:rsid w:val="00A44C23"/>
    <w:rsid w:val="00A44D10"/>
    <w:rsid w:val="00A44EBE"/>
    <w:rsid w:val="00A450D9"/>
    <w:rsid w:val="00A451AF"/>
    <w:rsid w:val="00A454D9"/>
    <w:rsid w:val="00A455F2"/>
    <w:rsid w:val="00A45651"/>
    <w:rsid w:val="00A456A9"/>
    <w:rsid w:val="00A45779"/>
    <w:rsid w:val="00A457F2"/>
    <w:rsid w:val="00A45808"/>
    <w:rsid w:val="00A458D1"/>
    <w:rsid w:val="00A45934"/>
    <w:rsid w:val="00A45B41"/>
    <w:rsid w:val="00A45B71"/>
    <w:rsid w:val="00A45D52"/>
    <w:rsid w:val="00A45D7E"/>
    <w:rsid w:val="00A45DDA"/>
    <w:rsid w:val="00A45F45"/>
    <w:rsid w:val="00A45FF9"/>
    <w:rsid w:val="00A46063"/>
    <w:rsid w:val="00A4621C"/>
    <w:rsid w:val="00A46275"/>
    <w:rsid w:val="00A46321"/>
    <w:rsid w:val="00A46347"/>
    <w:rsid w:val="00A4639B"/>
    <w:rsid w:val="00A46735"/>
    <w:rsid w:val="00A4687E"/>
    <w:rsid w:val="00A46917"/>
    <w:rsid w:val="00A46A3A"/>
    <w:rsid w:val="00A46EFB"/>
    <w:rsid w:val="00A46F68"/>
    <w:rsid w:val="00A470B6"/>
    <w:rsid w:val="00A471CD"/>
    <w:rsid w:val="00A472C5"/>
    <w:rsid w:val="00A4759B"/>
    <w:rsid w:val="00A47692"/>
    <w:rsid w:val="00A479DD"/>
    <w:rsid w:val="00A47C39"/>
    <w:rsid w:val="00A47E6E"/>
    <w:rsid w:val="00A47EC1"/>
    <w:rsid w:val="00A47F40"/>
    <w:rsid w:val="00A50105"/>
    <w:rsid w:val="00A50461"/>
    <w:rsid w:val="00A50468"/>
    <w:rsid w:val="00A50497"/>
    <w:rsid w:val="00A504FE"/>
    <w:rsid w:val="00A505CE"/>
    <w:rsid w:val="00A506F6"/>
    <w:rsid w:val="00A508CD"/>
    <w:rsid w:val="00A509B4"/>
    <w:rsid w:val="00A50A4F"/>
    <w:rsid w:val="00A50B4C"/>
    <w:rsid w:val="00A50D3A"/>
    <w:rsid w:val="00A50D7C"/>
    <w:rsid w:val="00A51062"/>
    <w:rsid w:val="00A512A2"/>
    <w:rsid w:val="00A51617"/>
    <w:rsid w:val="00A5162A"/>
    <w:rsid w:val="00A5167E"/>
    <w:rsid w:val="00A51B0B"/>
    <w:rsid w:val="00A51BA6"/>
    <w:rsid w:val="00A5213A"/>
    <w:rsid w:val="00A5224D"/>
    <w:rsid w:val="00A52254"/>
    <w:rsid w:val="00A52315"/>
    <w:rsid w:val="00A5255D"/>
    <w:rsid w:val="00A525F9"/>
    <w:rsid w:val="00A52715"/>
    <w:rsid w:val="00A52941"/>
    <w:rsid w:val="00A5294C"/>
    <w:rsid w:val="00A52BFF"/>
    <w:rsid w:val="00A52EA3"/>
    <w:rsid w:val="00A52FC2"/>
    <w:rsid w:val="00A5309A"/>
    <w:rsid w:val="00A53171"/>
    <w:rsid w:val="00A53184"/>
    <w:rsid w:val="00A531F5"/>
    <w:rsid w:val="00A53357"/>
    <w:rsid w:val="00A5336E"/>
    <w:rsid w:val="00A535BD"/>
    <w:rsid w:val="00A53A9F"/>
    <w:rsid w:val="00A53B21"/>
    <w:rsid w:val="00A53B8F"/>
    <w:rsid w:val="00A53CC6"/>
    <w:rsid w:val="00A53D73"/>
    <w:rsid w:val="00A53DC0"/>
    <w:rsid w:val="00A53E96"/>
    <w:rsid w:val="00A5400A"/>
    <w:rsid w:val="00A5406D"/>
    <w:rsid w:val="00A54072"/>
    <w:rsid w:val="00A54225"/>
    <w:rsid w:val="00A54279"/>
    <w:rsid w:val="00A542EF"/>
    <w:rsid w:val="00A54340"/>
    <w:rsid w:val="00A543D0"/>
    <w:rsid w:val="00A54755"/>
    <w:rsid w:val="00A54759"/>
    <w:rsid w:val="00A54A36"/>
    <w:rsid w:val="00A54BB2"/>
    <w:rsid w:val="00A54BC1"/>
    <w:rsid w:val="00A54C0E"/>
    <w:rsid w:val="00A54DED"/>
    <w:rsid w:val="00A54DF8"/>
    <w:rsid w:val="00A54E43"/>
    <w:rsid w:val="00A54E96"/>
    <w:rsid w:val="00A5514F"/>
    <w:rsid w:val="00A5526B"/>
    <w:rsid w:val="00A554A5"/>
    <w:rsid w:val="00A556EE"/>
    <w:rsid w:val="00A5570D"/>
    <w:rsid w:val="00A5572D"/>
    <w:rsid w:val="00A55811"/>
    <w:rsid w:val="00A5583A"/>
    <w:rsid w:val="00A559AE"/>
    <w:rsid w:val="00A559C4"/>
    <w:rsid w:val="00A559D4"/>
    <w:rsid w:val="00A55A21"/>
    <w:rsid w:val="00A55BF4"/>
    <w:rsid w:val="00A55C67"/>
    <w:rsid w:val="00A55D31"/>
    <w:rsid w:val="00A55F35"/>
    <w:rsid w:val="00A55F82"/>
    <w:rsid w:val="00A560C2"/>
    <w:rsid w:val="00A56665"/>
    <w:rsid w:val="00A5670E"/>
    <w:rsid w:val="00A56777"/>
    <w:rsid w:val="00A56846"/>
    <w:rsid w:val="00A56870"/>
    <w:rsid w:val="00A56A7F"/>
    <w:rsid w:val="00A56FF3"/>
    <w:rsid w:val="00A57070"/>
    <w:rsid w:val="00A572EF"/>
    <w:rsid w:val="00A57696"/>
    <w:rsid w:val="00A577A0"/>
    <w:rsid w:val="00A57898"/>
    <w:rsid w:val="00A57B72"/>
    <w:rsid w:val="00A57CA5"/>
    <w:rsid w:val="00A57D32"/>
    <w:rsid w:val="00A57FDB"/>
    <w:rsid w:val="00A60285"/>
    <w:rsid w:val="00A6038F"/>
    <w:rsid w:val="00A606F1"/>
    <w:rsid w:val="00A6075F"/>
    <w:rsid w:val="00A60855"/>
    <w:rsid w:val="00A609F9"/>
    <w:rsid w:val="00A60BE5"/>
    <w:rsid w:val="00A60CAF"/>
    <w:rsid w:val="00A60D1A"/>
    <w:rsid w:val="00A60FCC"/>
    <w:rsid w:val="00A6136E"/>
    <w:rsid w:val="00A61A18"/>
    <w:rsid w:val="00A61B35"/>
    <w:rsid w:val="00A61C5C"/>
    <w:rsid w:val="00A61DF3"/>
    <w:rsid w:val="00A61E7D"/>
    <w:rsid w:val="00A61F2E"/>
    <w:rsid w:val="00A62079"/>
    <w:rsid w:val="00A624C9"/>
    <w:rsid w:val="00A6252C"/>
    <w:rsid w:val="00A62568"/>
    <w:rsid w:val="00A6270C"/>
    <w:rsid w:val="00A62715"/>
    <w:rsid w:val="00A6272E"/>
    <w:rsid w:val="00A62743"/>
    <w:rsid w:val="00A628CA"/>
    <w:rsid w:val="00A628DC"/>
    <w:rsid w:val="00A62991"/>
    <w:rsid w:val="00A62BE1"/>
    <w:rsid w:val="00A6318A"/>
    <w:rsid w:val="00A63271"/>
    <w:rsid w:val="00A632C6"/>
    <w:rsid w:val="00A63391"/>
    <w:rsid w:val="00A633C8"/>
    <w:rsid w:val="00A63722"/>
    <w:rsid w:val="00A637D4"/>
    <w:rsid w:val="00A63853"/>
    <w:rsid w:val="00A638E4"/>
    <w:rsid w:val="00A63A66"/>
    <w:rsid w:val="00A63BA7"/>
    <w:rsid w:val="00A63F7E"/>
    <w:rsid w:val="00A6405C"/>
    <w:rsid w:val="00A64230"/>
    <w:rsid w:val="00A64279"/>
    <w:rsid w:val="00A642E5"/>
    <w:rsid w:val="00A64456"/>
    <w:rsid w:val="00A644AB"/>
    <w:rsid w:val="00A64713"/>
    <w:rsid w:val="00A64763"/>
    <w:rsid w:val="00A647DA"/>
    <w:rsid w:val="00A64894"/>
    <w:rsid w:val="00A64AE1"/>
    <w:rsid w:val="00A64D16"/>
    <w:rsid w:val="00A64E1B"/>
    <w:rsid w:val="00A650A9"/>
    <w:rsid w:val="00A6533B"/>
    <w:rsid w:val="00A65460"/>
    <w:rsid w:val="00A655C7"/>
    <w:rsid w:val="00A65777"/>
    <w:rsid w:val="00A65793"/>
    <w:rsid w:val="00A65B41"/>
    <w:rsid w:val="00A65D16"/>
    <w:rsid w:val="00A65EF5"/>
    <w:rsid w:val="00A65F1B"/>
    <w:rsid w:val="00A660C6"/>
    <w:rsid w:val="00A660C8"/>
    <w:rsid w:val="00A6610E"/>
    <w:rsid w:val="00A66207"/>
    <w:rsid w:val="00A66396"/>
    <w:rsid w:val="00A6657E"/>
    <w:rsid w:val="00A667DD"/>
    <w:rsid w:val="00A66909"/>
    <w:rsid w:val="00A66B3D"/>
    <w:rsid w:val="00A66DFB"/>
    <w:rsid w:val="00A66E97"/>
    <w:rsid w:val="00A66F5A"/>
    <w:rsid w:val="00A670EA"/>
    <w:rsid w:val="00A67273"/>
    <w:rsid w:val="00A67314"/>
    <w:rsid w:val="00A6731A"/>
    <w:rsid w:val="00A67377"/>
    <w:rsid w:val="00A6750A"/>
    <w:rsid w:val="00A67570"/>
    <w:rsid w:val="00A676EB"/>
    <w:rsid w:val="00A676F9"/>
    <w:rsid w:val="00A67D61"/>
    <w:rsid w:val="00A67DC4"/>
    <w:rsid w:val="00A67F74"/>
    <w:rsid w:val="00A70044"/>
    <w:rsid w:val="00A70070"/>
    <w:rsid w:val="00A70136"/>
    <w:rsid w:val="00A702C2"/>
    <w:rsid w:val="00A7038D"/>
    <w:rsid w:val="00A703D2"/>
    <w:rsid w:val="00A703E2"/>
    <w:rsid w:val="00A7042C"/>
    <w:rsid w:val="00A70462"/>
    <w:rsid w:val="00A70481"/>
    <w:rsid w:val="00A704BC"/>
    <w:rsid w:val="00A70531"/>
    <w:rsid w:val="00A705A7"/>
    <w:rsid w:val="00A705B2"/>
    <w:rsid w:val="00A70636"/>
    <w:rsid w:val="00A70800"/>
    <w:rsid w:val="00A7082A"/>
    <w:rsid w:val="00A70A1D"/>
    <w:rsid w:val="00A70B54"/>
    <w:rsid w:val="00A70B56"/>
    <w:rsid w:val="00A70B92"/>
    <w:rsid w:val="00A70BA5"/>
    <w:rsid w:val="00A70C4A"/>
    <w:rsid w:val="00A70EBC"/>
    <w:rsid w:val="00A70F93"/>
    <w:rsid w:val="00A710D1"/>
    <w:rsid w:val="00A712A5"/>
    <w:rsid w:val="00A7143C"/>
    <w:rsid w:val="00A714DB"/>
    <w:rsid w:val="00A7178E"/>
    <w:rsid w:val="00A71816"/>
    <w:rsid w:val="00A71843"/>
    <w:rsid w:val="00A718EC"/>
    <w:rsid w:val="00A719DC"/>
    <w:rsid w:val="00A71AE1"/>
    <w:rsid w:val="00A71B10"/>
    <w:rsid w:val="00A71C17"/>
    <w:rsid w:val="00A71C1B"/>
    <w:rsid w:val="00A71C62"/>
    <w:rsid w:val="00A72007"/>
    <w:rsid w:val="00A721D3"/>
    <w:rsid w:val="00A7234F"/>
    <w:rsid w:val="00A723E9"/>
    <w:rsid w:val="00A7250C"/>
    <w:rsid w:val="00A725EF"/>
    <w:rsid w:val="00A72685"/>
    <w:rsid w:val="00A7270A"/>
    <w:rsid w:val="00A72728"/>
    <w:rsid w:val="00A7277A"/>
    <w:rsid w:val="00A72798"/>
    <w:rsid w:val="00A7285A"/>
    <w:rsid w:val="00A72BCD"/>
    <w:rsid w:val="00A72E20"/>
    <w:rsid w:val="00A72F66"/>
    <w:rsid w:val="00A7301F"/>
    <w:rsid w:val="00A73103"/>
    <w:rsid w:val="00A73756"/>
    <w:rsid w:val="00A73775"/>
    <w:rsid w:val="00A73783"/>
    <w:rsid w:val="00A738EB"/>
    <w:rsid w:val="00A73927"/>
    <w:rsid w:val="00A73A54"/>
    <w:rsid w:val="00A73B3C"/>
    <w:rsid w:val="00A73B80"/>
    <w:rsid w:val="00A73C44"/>
    <w:rsid w:val="00A73C7B"/>
    <w:rsid w:val="00A73E4D"/>
    <w:rsid w:val="00A73E71"/>
    <w:rsid w:val="00A73EC1"/>
    <w:rsid w:val="00A73F5D"/>
    <w:rsid w:val="00A73F82"/>
    <w:rsid w:val="00A74039"/>
    <w:rsid w:val="00A742CD"/>
    <w:rsid w:val="00A74320"/>
    <w:rsid w:val="00A74337"/>
    <w:rsid w:val="00A74402"/>
    <w:rsid w:val="00A74489"/>
    <w:rsid w:val="00A745FD"/>
    <w:rsid w:val="00A74640"/>
    <w:rsid w:val="00A74847"/>
    <w:rsid w:val="00A74998"/>
    <w:rsid w:val="00A74A1B"/>
    <w:rsid w:val="00A74B97"/>
    <w:rsid w:val="00A74ED6"/>
    <w:rsid w:val="00A74FE2"/>
    <w:rsid w:val="00A75035"/>
    <w:rsid w:val="00A750D2"/>
    <w:rsid w:val="00A75353"/>
    <w:rsid w:val="00A753E8"/>
    <w:rsid w:val="00A75456"/>
    <w:rsid w:val="00A75661"/>
    <w:rsid w:val="00A75860"/>
    <w:rsid w:val="00A75978"/>
    <w:rsid w:val="00A75BFD"/>
    <w:rsid w:val="00A75CDE"/>
    <w:rsid w:val="00A75E71"/>
    <w:rsid w:val="00A75E87"/>
    <w:rsid w:val="00A75F9A"/>
    <w:rsid w:val="00A75FC6"/>
    <w:rsid w:val="00A76033"/>
    <w:rsid w:val="00A76251"/>
    <w:rsid w:val="00A763D2"/>
    <w:rsid w:val="00A7658C"/>
    <w:rsid w:val="00A7680A"/>
    <w:rsid w:val="00A76882"/>
    <w:rsid w:val="00A76894"/>
    <w:rsid w:val="00A769D1"/>
    <w:rsid w:val="00A76ADC"/>
    <w:rsid w:val="00A76E29"/>
    <w:rsid w:val="00A76E3B"/>
    <w:rsid w:val="00A771D9"/>
    <w:rsid w:val="00A7731A"/>
    <w:rsid w:val="00A77568"/>
    <w:rsid w:val="00A77599"/>
    <w:rsid w:val="00A77825"/>
    <w:rsid w:val="00A7784F"/>
    <w:rsid w:val="00A7785A"/>
    <w:rsid w:val="00A77982"/>
    <w:rsid w:val="00A77BA6"/>
    <w:rsid w:val="00A77CE7"/>
    <w:rsid w:val="00A77D80"/>
    <w:rsid w:val="00A80189"/>
    <w:rsid w:val="00A8030F"/>
    <w:rsid w:val="00A804CE"/>
    <w:rsid w:val="00A8064F"/>
    <w:rsid w:val="00A806D5"/>
    <w:rsid w:val="00A807CC"/>
    <w:rsid w:val="00A80883"/>
    <w:rsid w:val="00A80931"/>
    <w:rsid w:val="00A80AC0"/>
    <w:rsid w:val="00A80ACF"/>
    <w:rsid w:val="00A80B90"/>
    <w:rsid w:val="00A80BE8"/>
    <w:rsid w:val="00A80BF3"/>
    <w:rsid w:val="00A80C56"/>
    <w:rsid w:val="00A80E9E"/>
    <w:rsid w:val="00A80F4F"/>
    <w:rsid w:val="00A80F5A"/>
    <w:rsid w:val="00A81097"/>
    <w:rsid w:val="00A81174"/>
    <w:rsid w:val="00A811C0"/>
    <w:rsid w:val="00A81414"/>
    <w:rsid w:val="00A81539"/>
    <w:rsid w:val="00A8172C"/>
    <w:rsid w:val="00A81A8E"/>
    <w:rsid w:val="00A81B95"/>
    <w:rsid w:val="00A81CB6"/>
    <w:rsid w:val="00A81E47"/>
    <w:rsid w:val="00A81FA6"/>
    <w:rsid w:val="00A82179"/>
    <w:rsid w:val="00A8237F"/>
    <w:rsid w:val="00A824F6"/>
    <w:rsid w:val="00A82537"/>
    <w:rsid w:val="00A826B7"/>
    <w:rsid w:val="00A827CF"/>
    <w:rsid w:val="00A82806"/>
    <w:rsid w:val="00A82A01"/>
    <w:rsid w:val="00A82A6D"/>
    <w:rsid w:val="00A82D8E"/>
    <w:rsid w:val="00A82F8E"/>
    <w:rsid w:val="00A83040"/>
    <w:rsid w:val="00A83149"/>
    <w:rsid w:val="00A83170"/>
    <w:rsid w:val="00A83598"/>
    <w:rsid w:val="00A836EF"/>
    <w:rsid w:val="00A838D2"/>
    <w:rsid w:val="00A83C41"/>
    <w:rsid w:val="00A83E2D"/>
    <w:rsid w:val="00A83EAE"/>
    <w:rsid w:val="00A83FA9"/>
    <w:rsid w:val="00A83FC7"/>
    <w:rsid w:val="00A8419B"/>
    <w:rsid w:val="00A842BE"/>
    <w:rsid w:val="00A842D5"/>
    <w:rsid w:val="00A842E5"/>
    <w:rsid w:val="00A84546"/>
    <w:rsid w:val="00A84670"/>
    <w:rsid w:val="00A847C5"/>
    <w:rsid w:val="00A84822"/>
    <w:rsid w:val="00A848F0"/>
    <w:rsid w:val="00A8498E"/>
    <w:rsid w:val="00A84A6E"/>
    <w:rsid w:val="00A84A98"/>
    <w:rsid w:val="00A84AC2"/>
    <w:rsid w:val="00A84BF0"/>
    <w:rsid w:val="00A84CC5"/>
    <w:rsid w:val="00A84D4E"/>
    <w:rsid w:val="00A84FC3"/>
    <w:rsid w:val="00A8511C"/>
    <w:rsid w:val="00A85324"/>
    <w:rsid w:val="00A8545B"/>
    <w:rsid w:val="00A8547D"/>
    <w:rsid w:val="00A854E7"/>
    <w:rsid w:val="00A85712"/>
    <w:rsid w:val="00A8581D"/>
    <w:rsid w:val="00A85ADE"/>
    <w:rsid w:val="00A85DD6"/>
    <w:rsid w:val="00A85ED7"/>
    <w:rsid w:val="00A85F25"/>
    <w:rsid w:val="00A85FDA"/>
    <w:rsid w:val="00A861A7"/>
    <w:rsid w:val="00A8630B"/>
    <w:rsid w:val="00A86379"/>
    <w:rsid w:val="00A8637D"/>
    <w:rsid w:val="00A864A5"/>
    <w:rsid w:val="00A864C2"/>
    <w:rsid w:val="00A86531"/>
    <w:rsid w:val="00A8655C"/>
    <w:rsid w:val="00A865CA"/>
    <w:rsid w:val="00A8687F"/>
    <w:rsid w:val="00A86959"/>
    <w:rsid w:val="00A869E9"/>
    <w:rsid w:val="00A86A2C"/>
    <w:rsid w:val="00A86BFF"/>
    <w:rsid w:val="00A86DEB"/>
    <w:rsid w:val="00A86E2B"/>
    <w:rsid w:val="00A86F3F"/>
    <w:rsid w:val="00A87048"/>
    <w:rsid w:val="00A870AE"/>
    <w:rsid w:val="00A872C6"/>
    <w:rsid w:val="00A87331"/>
    <w:rsid w:val="00A8735B"/>
    <w:rsid w:val="00A87531"/>
    <w:rsid w:val="00A87562"/>
    <w:rsid w:val="00A87606"/>
    <w:rsid w:val="00A87794"/>
    <w:rsid w:val="00A877BD"/>
    <w:rsid w:val="00A8788A"/>
    <w:rsid w:val="00A879DB"/>
    <w:rsid w:val="00A87A48"/>
    <w:rsid w:val="00A87A56"/>
    <w:rsid w:val="00A87A86"/>
    <w:rsid w:val="00A87BC7"/>
    <w:rsid w:val="00A87D5E"/>
    <w:rsid w:val="00A90132"/>
    <w:rsid w:val="00A90187"/>
    <w:rsid w:val="00A90223"/>
    <w:rsid w:val="00A9028A"/>
    <w:rsid w:val="00A90488"/>
    <w:rsid w:val="00A905AD"/>
    <w:rsid w:val="00A905FE"/>
    <w:rsid w:val="00A90672"/>
    <w:rsid w:val="00A90744"/>
    <w:rsid w:val="00A90A5F"/>
    <w:rsid w:val="00A90D64"/>
    <w:rsid w:val="00A90F25"/>
    <w:rsid w:val="00A91118"/>
    <w:rsid w:val="00A911C6"/>
    <w:rsid w:val="00A91275"/>
    <w:rsid w:val="00A91413"/>
    <w:rsid w:val="00A915AE"/>
    <w:rsid w:val="00A915E0"/>
    <w:rsid w:val="00A91605"/>
    <w:rsid w:val="00A91614"/>
    <w:rsid w:val="00A91615"/>
    <w:rsid w:val="00A916CA"/>
    <w:rsid w:val="00A9171C"/>
    <w:rsid w:val="00A9175F"/>
    <w:rsid w:val="00A917A9"/>
    <w:rsid w:val="00A9181D"/>
    <w:rsid w:val="00A9182B"/>
    <w:rsid w:val="00A918C3"/>
    <w:rsid w:val="00A918CB"/>
    <w:rsid w:val="00A91ABB"/>
    <w:rsid w:val="00A91BF2"/>
    <w:rsid w:val="00A91CA6"/>
    <w:rsid w:val="00A91CAA"/>
    <w:rsid w:val="00A922E3"/>
    <w:rsid w:val="00A923FA"/>
    <w:rsid w:val="00A92608"/>
    <w:rsid w:val="00A9262C"/>
    <w:rsid w:val="00A9265D"/>
    <w:rsid w:val="00A92B3B"/>
    <w:rsid w:val="00A92C7B"/>
    <w:rsid w:val="00A92DCB"/>
    <w:rsid w:val="00A92E92"/>
    <w:rsid w:val="00A92F06"/>
    <w:rsid w:val="00A92FA0"/>
    <w:rsid w:val="00A93051"/>
    <w:rsid w:val="00A934A1"/>
    <w:rsid w:val="00A93549"/>
    <w:rsid w:val="00A93621"/>
    <w:rsid w:val="00A93628"/>
    <w:rsid w:val="00A93663"/>
    <w:rsid w:val="00A93B5D"/>
    <w:rsid w:val="00A93CD5"/>
    <w:rsid w:val="00A93D0C"/>
    <w:rsid w:val="00A93D31"/>
    <w:rsid w:val="00A93D64"/>
    <w:rsid w:val="00A93E11"/>
    <w:rsid w:val="00A93EC0"/>
    <w:rsid w:val="00A942AF"/>
    <w:rsid w:val="00A94320"/>
    <w:rsid w:val="00A94686"/>
    <w:rsid w:val="00A94759"/>
    <w:rsid w:val="00A947CE"/>
    <w:rsid w:val="00A948B2"/>
    <w:rsid w:val="00A94A22"/>
    <w:rsid w:val="00A94CA7"/>
    <w:rsid w:val="00A94D15"/>
    <w:rsid w:val="00A94DDC"/>
    <w:rsid w:val="00A94F15"/>
    <w:rsid w:val="00A9505A"/>
    <w:rsid w:val="00A953BF"/>
    <w:rsid w:val="00A953E9"/>
    <w:rsid w:val="00A954F9"/>
    <w:rsid w:val="00A95575"/>
    <w:rsid w:val="00A95647"/>
    <w:rsid w:val="00A95815"/>
    <w:rsid w:val="00A95A1D"/>
    <w:rsid w:val="00A95C06"/>
    <w:rsid w:val="00A95DCF"/>
    <w:rsid w:val="00A95E67"/>
    <w:rsid w:val="00A95EBC"/>
    <w:rsid w:val="00A95F21"/>
    <w:rsid w:val="00A9605C"/>
    <w:rsid w:val="00A9648F"/>
    <w:rsid w:val="00A964EB"/>
    <w:rsid w:val="00A96532"/>
    <w:rsid w:val="00A965F1"/>
    <w:rsid w:val="00A966DD"/>
    <w:rsid w:val="00A96811"/>
    <w:rsid w:val="00A96947"/>
    <w:rsid w:val="00A969F2"/>
    <w:rsid w:val="00A96A59"/>
    <w:rsid w:val="00A96B66"/>
    <w:rsid w:val="00A96B83"/>
    <w:rsid w:val="00A96BE8"/>
    <w:rsid w:val="00A96E70"/>
    <w:rsid w:val="00A96E9D"/>
    <w:rsid w:val="00A97048"/>
    <w:rsid w:val="00A970E4"/>
    <w:rsid w:val="00A97264"/>
    <w:rsid w:val="00A972E7"/>
    <w:rsid w:val="00A97381"/>
    <w:rsid w:val="00A973A3"/>
    <w:rsid w:val="00A974D5"/>
    <w:rsid w:val="00A97502"/>
    <w:rsid w:val="00A977B9"/>
    <w:rsid w:val="00A97811"/>
    <w:rsid w:val="00A978CA"/>
    <w:rsid w:val="00A978DA"/>
    <w:rsid w:val="00A97A38"/>
    <w:rsid w:val="00A97BAA"/>
    <w:rsid w:val="00A97EBB"/>
    <w:rsid w:val="00AA020E"/>
    <w:rsid w:val="00AA027E"/>
    <w:rsid w:val="00AA02D2"/>
    <w:rsid w:val="00AA046D"/>
    <w:rsid w:val="00AA06B9"/>
    <w:rsid w:val="00AA0743"/>
    <w:rsid w:val="00AA075D"/>
    <w:rsid w:val="00AA07BD"/>
    <w:rsid w:val="00AA07ED"/>
    <w:rsid w:val="00AA0A87"/>
    <w:rsid w:val="00AA0C6B"/>
    <w:rsid w:val="00AA0D17"/>
    <w:rsid w:val="00AA0E34"/>
    <w:rsid w:val="00AA10D8"/>
    <w:rsid w:val="00AA119F"/>
    <w:rsid w:val="00AA12B4"/>
    <w:rsid w:val="00AA1669"/>
    <w:rsid w:val="00AA1739"/>
    <w:rsid w:val="00AA176C"/>
    <w:rsid w:val="00AA1830"/>
    <w:rsid w:val="00AA18AD"/>
    <w:rsid w:val="00AA1B4B"/>
    <w:rsid w:val="00AA1D05"/>
    <w:rsid w:val="00AA203F"/>
    <w:rsid w:val="00AA2040"/>
    <w:rsid w:val="00AA2092"/>
    <w:rsid w:val="00AA20B3"/>
    <w:rsid w:val="00AA219D"/>
    <w:rsid w:val="00AA229E"/>
    <w:rsid w:val="00AA22AD"/>
    <w:rsid w:val="00AA2379"/>
    <w:rsid w:val="00AA2455"/>
    <w:rsid w:val="00AA24A3"/>
    <w:rsid w:val="00AA25C7"/>
    <w:rsid w:val="00AA27EB"/>
    <w:rsid w:val="00AA2A2E"/>
    <w:rsid w:val="00AA2D39"/>
    <w:rsid w:val="00AA2DD4"/>
    <w:rsid w:val="00AA2F3C"/>
    <w:rsid w:val="00AA2F79"/>
    <w:rsid w:val="00AA2FA2"/>
    <w:rsid w:val="00AA3386"/>
    <w:rsid w:val="00AA33D1"/>
    <w:rsid w:val="00AA353D"/>
    <w:rsid w:val="00AA3560"/>
    <w:rsid w:val="00AA35A7"/>
    <w:rsid w:val="00AA391B"/>
    <w:rsid w:val="00AA3A86"/>
    <w:rsid w:val="00AA3EE8"/>
    <w:rsid w:val="00AA4102"/>
    <w:rsid w:val="00AA4275"/>
    <w:rsid w:val="00AA4339"/>
    <w:rsid w:val="00AA4433"/>
    <w:rsid w:val="00AA4526"/>
    <w:rsid w:val="00AA46B5"/>
    <w:rsid w:val="00AA47CF"/>
    <w:rsid w:val="00AA4917"/>
    <w:rsid w:val="00AA4A27"/>
    <w:rsid w:val="00AA4AF9"/>
    <w:rsid w:val="00AA4C31"/>
    <w:rsid w:val="00AA4C44"/>
    <w:rsid w:val="00AA4FB5"/>
    <w:rsid w:val="00AA5195"/>
    <w:rsid w:val="00AA52D5"/>
    <w:rsid w:val="00AA57AA"/>
    <w:rsid w:val="00AA57CA"/>
    <w:rsid w:val="00AA5A9A"/>
    <w:rsid w:val="00AA5BEC"/>
    <w:rsid w:val="00AA5CAD"/>
    <w:rsid w:val="00AA5CE2"/>
    <w:rsid w:val="00AA5DEA"/>
    <w:rsid w:val="00AA6092"/>
    <w:rsid w:val="00AA6391"/>
    <w:rsid w:val="00AA658F"/>
    <w:rsid w:val="00AA66AE"/>
    <w:rsid w:val="00AA6910"/>
    <w:rsid w:val="00AA6B7B"/>
    <w:rsid w:val="00AA6CED"/>
    <w:rsid w:val="00AA6D8E"/>
    <w:rsid w:val="00AA6E81"/>
    <w:rsid w:val="00AA6EEB"/>
    <w:rsid w:val="00AA70C4"/>
    <w:rsid w:val="00AA727E"/>
    <w:rsid w:val="00AA730F"/>
    <w:rsid w:val="00AA759D"/>
    <w:rsid w:val="00AA75B9"/>
    <w:rsid w:val="00AA75F0"/>
    <w:rsid w:val="00AA7729"/>
    <w:rsid w:val="00AA7784"/>
    <w:rsid w:val="00AA779F"/>
    <w:rsid w:val="00AA7A70"/>
    <w:rsid w:val="00AA7A8C"/>
    <w:rsid w:val="00AA7D94"/>
    <w:rsid w:val="00AA7E94"/>
    <w:rsid w:val="00AA7F06"/>
    <w:rsid w:val="00AB0125"/>
    <w:rsid w:val="00AB0204"/>
    <w:rsid w:val="00AB02F1"/>
    <w:rsid w:val="00AB0360"/>
    <w:rsid w:val="00AB03C1"/>
    <w:rsid w:val="00AB0428"/>
    <w:rsid w:val="00AB06A2"/>
    <w:rsid w:val="00AB0735"/>
    <w:rsid w:val="00AB097F"/>
    <w:rsid w:val="00AB09B5"/>
    <w:rsid w:val="00AB09F6"/>
    <w:rsid w:val="00AB0AAE"/>
    <w:rsid w:val="00AB0AF6"/>
    <w:rsid w:val="00AB0C31"/>
    <w:rsid w:val="00AB0D72"/>
    <w:rsid w:val="00AB0E77"/>
    <w:rsid w:val="00AB0F2A"/>
    <w:rsid w:val="00AB1120"/>
    <w:rsid w:val="00AB11A6"/>
    <w:rsid w:val="00AB1234"/>
    <w:rsid w:val="00AB123F"/>
    <w:rsid w:val="00AB14DA"/>
    <w:rsid w:val="00AB15A1"/>
    <w:rsid w:val="00AB15BA"/>
    <w:rsid w:val="00AB15F7"/>
    <w:rsid w:val="00AB163F"/>
    <w:rsid w:val="00AB177B"/>
    <w:rsid w:val="00AB18EF"/>
    <w:rsid w:val="00AB1965"/>
    <w:rsid w:val="00AB197B"/>
    <w:rsid w:val="00AB19DE"/>
    <w:rsid w:val="00AB1A76"/>
    <w:rsid w:val="00AB1ABE"/>
    <w:rsid w:val="00AB1AF5"/>
    <w:rsid w:val="00AB1CD7"/>
    <w:rsid w:val="00AB1D42"/>
    <w:rsid w:val="00AB1EDD"/>
    <w:rsid w:val="00AB1F16"/>
    <w:rsid w:val="00AB2024"/>
    <w:rsid w:val="00AB21D1"/>
    <w:rsid w:val="00AB2253"/>
    <w:rsid w:val="00AB22D9"/>
    <w:rsid w:val="00AB23FF"/>
    <w:rsid w:val="00AB2708"/>
    <w:rsid w:val="00AB279D"/>
    <w:rsid w:val="00AB2850"/>
    <w:rsid w:val="00AB28C3"/>
    <w:rsid w:val="00AB2AF9"/>
    <w:rsid w:val="00AB2B61"/>
    <w:rsid w:val="00AB2CB9"/>
    <w:rsid w:val="00AB2DF3"/>
    <w:rsid w:val="00AB2E8E"/>
    <w:rsid w:val="00AB2FF2"/>
    <w:rsid w:val="00AB3057"/>
    <w:rsid w:val="00AB30C9"/>
    <w:rsid w:val="00AB314A"/>
    <w:rsid w:val="00AB3193"/>
    <w:rsid w:val="00AB321C"/>
    <w:rsid w:val="00AB33D5"/>
    <w:rsid w:val="00AB35CD"/>
    <w:rsid w:val="00AB360D"/>
    <w:rsid w:val="00AB3737"/>
    <w:rsid w:val="00AB386E"/>
    <w:rsid w:val="00AB38D5"/>
    <w:rsid w:val="00AB3AE0"/>
    <w:rsid w:val="00AB3CA3"/>
    <w:rsid w:val="00AB3E71"/>
    <w:rsid w:val="00AB3E74"/>
    <w:rsid w:val="00AB4192"/>
    <w:rsid w:val="00AB4251"/>
    <w:rsid w:val="00AB44A2"/>
    <w:rsid w:val="00AB4575"/>
    <w:rsid w:val="00AB4682"/>
    <w:rsid w:val="00AB470B"/>
    <w:rsid w:val="00AB4AA2"/>
    <w:rsid w:val="00AB4AE8"/>
    <w:rsid w:val="00AB4C34"/>
    <w:rsid w:val="00AB4D2A"/>
    <w:rsid w:val="00AB4D7A"/>
    <w:rsid w:val="00AB4DBC"/>
    <w:rsid w:val="00AB4E33"/>
    <w:rsid w:val="00AB4EB6"/>
    <w:rsid w:val="00AB4F5B"/>
    <w:rsid w:val="00AB5170"/>
    <w:rsid w:val="00AB5171"/>
    <w:rsid w:val="00AB535D"/>
    <w:rsid w:val="00AB54F0"/>
    <w:rsid w:val="00AB551F"/>
    <w:rsid w:val="00AB55D0"/>
    <w:rsid w:val="00AB573B"/>
    <w:rsid w:val="00AB57AA"/>
    <w:rsid w:val="00AB57D5"/>
    <w:rsid w:val="00AB5990"/>
    <w:rsid w:val="00AB5AA9"/>
    <w:rsid w:val="00AB5AC6"/>
    <w:rsid w:val="00AB5AFA"/>
    <w:rsid w:val="00AB5CFF"/>
    <w:rsid w:val="00AB5E9D"/>
    <w:rsid w:val="00AB5EC4"/>
    <w:rsid w:val="00AB610F"/>
    <w:rsid w:val="00AB6378"/>
    <w:rsid w:val="00AB6446"/>
    <w:rsid w:val="00AB64E8"/>
    <w:rsid w:val="00AB658D"/>
    <w:rsid w:val="00AB65FF"/>
    <w:rsid w:val="00AB66F0"/>
    <w:rsid w:val="00AB6720"/>
    <w:rsid w:val="00AB699C"/>
    <w:rsid w:val="00AB6A43"/>
    <w:rsid w:val="00AB6ADB"/>
    <w:rsid w:val="00AB6BFD"/>
    <w:rsid w:val="00AB6C94"/>
    <w:rsid w:val="00AB6CAB"/>
    <w:rsid w:val="00AB6D28"/>
    <w:rsid w:val="00AB7558"/>
    <w:rsid w:val="00AB78BF"/>
    <w:rsid w:val="00AB78CA"/>
    <w:rsid w:val="00AB7B0B"/>
    <w:rsid w:val="00AB7DEF"/>
    <w:rsid w:val="00AB7F77"/>
    <w:rsid w:val="00AC0025"/>
    <w:rsid w:val="00AC0252"/>
    <w:rsid w:val="00AC04B2"/>
    <w:rsid w:val="00AC061E"/>
    <w:rsid w:val="00AC0700"/>
    <w:rsid w:val="00AC0898"/>
    <w:rsid w:val="00AC0AD6"/>
    <w:rsid w:val="00AC0B00"/>
    <w:rsid w:val="00AC0DD4"/>
    <w:rsid w:val="00AC10E3"/>
    <w:rsid w:val="00AC1221"/>
    <w:rsid w:val="00AC12D5"/>
    <w:rsid w:val="00AC139A"/>
    <w:rsid w:val="00AC1843"/>
    <w:rsid w:val="00AC1B9F"/>
    <w:rsid w:val="00AC1BF2"/>
    <w:rsid w:val="00AC1CB9"/>
    <w:rsid w:val="00AC1D7B"/>
    <w:rsid w:val="00AC20EC"/>
    <w:rsid w:val="00AC21A3"/>
    <w:rsid w:val="00AC224D"/>
    <w:rsid w:val="00AC2258"/>
    <w:rsid w:val="00AC2298"/>
    <w:rsid w:val="00AC24BE"/>
    <w:rsid w:val="00AC24E0"/>
    <w:rsid w:val="00AC25B2"/>
    <w:rsid w:val="00AC2629"/>
    <w:rsid w:val="00AC2810"/>
    <w:rsid w:val="00AC28A1"/>
    <w:rsid w:val="00AC29EF"/>
    <w:rsid w:val="00AC2C7A"/>
    <w:rsid w:val="00AC2D19"/>
    <w:rsid w:val="00AC2DB7"/>
    <w:rsid w:val="00AC2DE3"/>
    <w:rsid w:val="00AC2E79"/>
    <w:rsid w:val="00AC2F96"/>
    <w:rsid w:val="00AC2FDB"/>
    <w:rsid w:val="00AC302A"/>
    <w:rsid w:val="00AC3108"/>
    <w:rsid w:val="00AC3204"/>
    <w:rsid w:val="00AC337B"/>
    <w:rsid w:val="00AC34F8"/>
    <w:rsid w:val="00AC355B"/>
    <w:rsid w:val="00AC35D4"/>
    <w:rsid w:val="00AC379E"/>
    <w:rsid w:val="00AC38EF"/>
    <w:rsid w:val="00AC3920"/>
    <w:rsid w:val="00AC3A35"/>
    <w:rsid w:val="00AC3B2B"/>
    <w:rsid w:val="00AC3D79"/>
    <w:rsid w:val="00AC3D9E"/>
    <w:rsid w:val="00AC3DAC"/>
    <w:rsid w:val="00AC3E03"/>
    <w:rsid w:val="00AC3F2B"/>
    <w:rsid w:val="00AC4300"/>
    <w:rsid w:val="00AC430F"/>
    <w:rsid w:val="00AC4360"/>
    <w:rsid w:val="00AC4574"/>
    <w:rsid w:val="00AC4591"/>
    <w:rsid w:val="00AC4689"/>
    <w:rsid w:val="00AC475B"/>
    <w:rsid w:val="00AC4849"/>
    <w:rsid w:val="00AC4878"/>
    <w:rsid w:val="00AC4896"/>
    <w:rsid w:val="00AC4ADC"/>
    <w:rsid w:val="00AC4B07"/>
    <w:rsid w:val="00AC4B12"/>
    <w:rsid w:val="00AC4C89"/>
    <w:rsid w:val="00AC4DD2"/>
    <w:rsid w:val="00AC512C"/>
    <w:rsid w:val="00AC51D4"/>
    <w:rsid w:val="00AC55D3"/>
    <w:rsid w:val="00AC5701"/>
    <w:rsid w:val="00AC5849"/>
    <w:rsid w:val="00AC59DD"/>
    <w:rsid w:val="00AC5C1A"/>
    <w:rsid w:val="00AC5E3E"/>
    <w:rsid w:val="00AC5F23"/>
    <w:rsid w:val="00AC6016"/>
    <w:rsid w:val="00AC6087"/>
    <w:rsid w:val="00AC63CB"/>
    <w:rsid w:val="00AC6454"/>
    <w:rsid w:val="00AC64BF"/>
    <w:rsid w:val="00AC6505"/>
    <w:rsid w:val="00AC659A"/>
    <w:rsid w:val="00AC69E2"/>
    <w:rsid w:val="00AC6B7E"/>
    <w:rsid w:val="00AC6BDF"/>
    <w:rsid w:val="00AC6DF8"/>
    <w:rsid w:val="00AC6F22"/>
    <w:rsid w:val="00AC723E"/>
    <w:rsid w:val="00AC72F1"/>
    <w:rsid w:val="00AC764F"/>
    <w:rsid w:val="00AC7874"/>
    <w:rsid w:val="00AC7921"/>
    <w:rsid w:val="00AC7C13"/>
    <w:rsid w:val="00AC7D7B"/>
    <w:rsid w:val="00AC7F49"/>
    <w:rsid w:val="00AC7FB3"/>
    <w:rsid w:val="00AD00C2"/>
    <w:rsid w:val="00AD0115"/>
    <w:rsid w:val="00AD015C"/>
    <w:rsid w:val="00AD02B2"/>
    <w:rsid w:val="00AD046D"/>
    <w:rsid w:val="00AD0475"/>
    <w:rsid w:val="00AD059D"/>
    <w:rsid w:val="00AD0663"/>
    <w:rsid w:val="00AD0729"/>
    <w:rsid w:val="00AD1088"/>
    <w:rsid w:val="00AD10CF"/>
    <w:rsid w:val="00AD11F1"/>
    <w:rsid w:val="00AD123E"/>
    <w:rsid w:val="00AD139F"/>
    <w:rsid w:val="00AD1579"/>
    <w:rsid w:val="00AD1665"/>
    <w:rsid w:val="00AD1832"/>
    <w:rsid w:val="00AD1E33"/>
    <w:rsid w:val="00AD1FBC"/>
    <w:rsid w:val="00AD250B"/>
    <w:rsid w:val="00AD2557"/>
    <w:rsid w:val="00AD25AF"/>
    <w:rsid w:val="00AD26D5"/>
    <w:rsid w:val="00AD286C"/>
    <w:rsid w:val="00AD28D3"/>
    <w:rsid w:val="00AD2952"/>
    <w:rsid w:val="00AD2BA3"/>
    <w:rsid w:val="00AD2CA1"/>
    <w:rsid w:val="00AD2CCE"/>
    <w:rsid w:val="00AD2CE3"/>
    <w:rsid w:val="00AD2ED3"/>
    <w:rsid w:val="00AD321E"/>
    <w:rsid w:val="00AD3220"/>
    <w:rsid w:val="00AD325A"/>
    <w:rsid w:val="00AD330A"/>
    <w:rsid w:val="00AD33F2"/>
    <w:rsid w:val="00AD33FC"/>
    <w:rsid w:val="00AD349B"/>
    <w:rsid w:val="00AD3563"/>
    <w:rsid w:val="00AD3580"/>
    <w:rsid w:val="00AD359F"/>
    <w:rsid w:val="00AD35BF"/>
    <w:rsid w:val="00AD3713"/>
    <w:rsid w:val="00AD3988"/>
    <w:rsid w:val="00AD3DAA"/>
    <w:rsid w:val="00AD3F55"/>
    <w:rsid w:val="00AD40B4"/>
    <w:rsid w:val="00AD420F"/>
    <w:rsid w:val="00AD4260"/>
    <w:rsid w:val="00AD4306"/>
    <w:rsid w:val="00AD430A"/>
    <w:rsid w:val="00AD4366"/>
    <w:rsid w:val="00AD438E"/>
    <w:rsid w:val="00AD4443"/>
    <w:rsid w:val="00AD44CF"/>
    <w:rsid w:val="00AD4512"/>
    <w:rsid w:val="00AD452B"/>
    <w:rsid w:val="00AD45D3"/>
    <w:rsid w:val="00AD4627"/>
    <w:rsid w:val="00AD4753"/>
    <w:rsid w:val="00AD47CB"/>
    <w:rsid w:val="00AD4AAF"/>
    <w:rsid w:val="00AD4B2C"/>
    <w:rsid w:val="00AD4DAB"/>
    <w:rsid w:val="00AD4DD3"/>
    <w:rsid w:val="00AD4F0E"/>
    <w:rsid w:val="00AD4F4C"/>
    <w:rsid w:val="00AD549D"/>
    <w:rsid w:val="00AD5646"/>
    <w:rsid w:val="00AD5756"/>
    <w:rsid w:val="00AD580F"/>
    <w:rsid w:val="00AD5BC3"/>
    <w:rsid w:val="00AD5BFE"/>
    <w:rsid w:val="00AD5E6D"/>
    <w:rsid w:val="00AD5F0D"/>
    <w:rsid w:val="00AD608C"/>
    <w:rsid w:val="00AD6230"/>
    <w:rsid w:val="00AD6243"/>
    <w:rsid w:val="00AD647B"/>
    <w:rsid w:val="00AD6605"/>
    <w:rsid w:val="00AD66FC"/>
    <w:rsid w:val="00AD682E"/>
    <w:rsid w:val="00AD68A0"/>
    <w:rsid w:val="00AD6A22"/>
    <w:rsid w:val="00AD6C32"/>
    <w:rsid w:val="00AD6D4C"/>
    <w:rsid w:val="00AD6DE3"/>
    <w:rsid w:val="00AD707C"/>
    <w:rsid w:val="00AD70DF"/>
    <w:rsid w:val="00AD711E"/>
    <w:rsid w:val="00AD7273"/>
    <w:rsid w:val="00AD72CE"/>
    <w:rsid w:val="00AD73B9"/>
    <w:rsid w:val="00AD7472"/>
    <w:rsid w:val="00AD76AE"/>
    <w:rsid w:val="00AD7922"/>
    <w:rsid w:val="00AD7B06"/>
    <w:rsid w:val="00AD7BE0"/>
    <w:rsid w:val="00AD7CCA"/>
    <w:rsid w:val="00AD7D70"/>
    <w:rsid w:val="00AD7DB5"/>
    <w:rsid w:val="00AD7DD0"/>
    <w:rsid w:val="00AE0063"/>
    <w:rsid w:val="00AE013E"/>
    <w:rsid w:val="00AE01F7"/>
    <w:rsid w:val="00AE028E"/>
    <w:rsid w:val="00AE0414"/>
    <w:rsid w:val="00AE0584"/>
    <w:rsid w:val="00AE05F6"/>
    <w:rsid w:val="00AE1104"/>
    <w:rsid w:val="00AE1300"/>
    <w:rsid w:val="00AE1440"/>
    <w:rsid w:val="00AE1452"/>
    <w:rsid w:val="00AE150C"/>
    <w:rsid w:val="00AE1536"/>
    <w:rsid w:val="00AE1816"/>
    <w:rsid w:val="00AE1834"/>
    <w:rsid w:val="00AE18BF"/>
    <w:rsid w:val="00AE18EF"/>
    <w:rsid w:val="00AE1924"/>
    <w:rsid w:val="00AE196C"/>
    <w:rsid w:val="00AE1B13"/>
    <w:rsid w:val="00AE1C60"/>
    <w:rsid w:val="00AE1E53"/>
    <w:rsid w:val="00AE1E72"/>
    <w:rsid w:val="00AE1ECF"/>
    <w:rsid w:val="00AE2105"/>
    <w:rsid w:val="00AE212B"/>
    <w:rsid w:val="00AE2150"/>
    <w:rsid w:val="00AE2705"/>
    <w:rsid w:val="00AE2807"/>
    <w:rsid w:val="00AE2A1A"/>
    <w:rsid w:val="00AE2B5B"/>
    <w:rsid w:val="00AE2C1E"/>
    <w:rsid w:val="00AE2CA9"/>
    <w:rsid w:val="00AE2D45"/>
    <w:rsid w:val="00AE2F13"/>
    <w:rsid w:val="00AE2F56"/>
    <w:rsid w:val="00AE31CF"/>
    <w:rsid w:val="00AE322D"/>
    <w:rsid w:val="00AE34B4"/>
    <w:rsid w:val="00AE3606"/>
    <w:rsid w:val="00AE37E3"/>
    <w:rsid w:val="00AE38BC"/>
    <w:rsid w:val="00AE3939"/>
    <w:rsid w:val="00AE3A4A"/>
    <w:rsid w:val="00AE3E45"/>
    <w:rsid w:val="00AE3ED4"/>
    <w:rsid w:val="00AE405A"/>
    <w:rsid w:val="00AE4251"/>
    <w:rsid w:val="00AE4530"/>
    <w:rsid w:val="00AE482D"/>
    <w:rsid w:val="00AE495A"/>
    <w:rsid w:val="00AE4AB3"/>
    <w:rsid w:val="00AE4B1A"/>
    <w:rsid w:val="00AE4BF5"/>
    <w:rsid w:val="00AE4D7C"/>
    <w:rsid w:val="00AE4DBF"/>
    <w:rsid w:val="00AE513B"/>
    <w:rsid w:val="00AE528D"/>
    <w:rsid w:val="00AE5409"/>
    <w:rsid w:val="00AE544D"/>
    <w:rsid w:val="00AE54D2"/>
    <w:rsid w:val="00AE552B"/>
    <w:rsid w:val="00AE55F5"/>
    <w:rsid w:val="00AE55FC"/>
    <w:rsid w:val="00AE561A"/>
    <w:rsid w:val="00AE5673"/>
    <w:rsid w:val="00AE56B4"/>
    <w:rsid w:val="00AE58F5"/>
    <w:rsid w:val="00AE598A"/>
    <w:rsid w:val="00AE5A7B"/>
    <w:rsid w:val="00AE5D97"/>
    <w:rsid w:val="00AE60A2"/>
    <w:rsid w:val="00AE636D"/>
    <w:rsid w:val="00AE672C"/>
    <w:rsid w:val="00AE6751"/>
    <w:rsid w:val="00AE69DB"/>
    <w:rsid w:val="00AE6D4B"/>
    <w:rsid w:val="00AE6F3D"/>
    <w:rsid w:val="00AE6F50"/>
    <w:rsid w:val="00AE70BA"/>
    <w:rsid w:val="00AE7208"/>
    <w:rsid w:val="00AE7277"/>
    <w:rsid w:val="00AE72E1"/>
    <w:rsid w:val="00AE7437"/>
    <w:rsid w:val="00AE7476"/>
    <w:rsid w:val="00AE74A8"/>
    <w:rsid w:val="00AE74F2"/>
    <w:rsid w:val="00AE7541"/>
    <w:rsid w:val="00AE7561"/>
    <w:rsid w:val="00AE761B"/>
    <w:rsid w:val="00AE77A4"/>
    <w:rsid w:val="00AE7821"/>
    <w:rsid w:val="00AE78D7"/>
    <w:rsid w:val="00AE78EA"/>
    <w:rsid w:val="00AE78EB"/>
    <w:rsid w:val="00AE7AD1"/>
    <w:rsid w:val="00AE7E31"/>
    <w:rsid w:val="00AE7EEA"/>
    <w:rsid w:val="00AE7FE5"/>
    <w:rsid w:val="00AF0055"/>
    <w:rsid w:val="00AF00C0"/>
    <w:rsid w:val="00AF01D9"/>
    <w:rsid w:val="00AF027E"/>
    <w:rsid w:val="00AF029F"/>
    <w:rsid w:val="00AF0601"/>
    <w:rsid w:val="00AF0678"/>
    <w:rsid w:val="00AF071D"/>
    <w:rsid w:val="00AF0875"/>
    <w:rsid w:val="00AF0C77"/>
    <w:rsid w:val="00AF0C9D"/>
    <w:rsid w:val="00AF0CFC"/>
    <w:rsid w:val="00AF0EB0"/>
    <w:rsid w:val="00AF0ED9"/>
    <w:rsid w:val="00AF0FB3"/>
    <w:rsid w:val="00AF1140"/>
    <w:rsid w:val="00AF11D9"/>
    <w:rsid w:val="00AF1269"/>
    <w:rsid w:val="00AF12D1"/>
    <w:rsid w:val="00AF133C"/>
    <w:rsid w:val="00AF142B"/>
    <w:rsid w:val="00AF14BC"/>
    <w:rsid w:val="00AF15BE"/>
    <w:rsid w:val="00AF1632"/>
    <w:rsid w:val="00AF184F"/>
    <w:rsid w:val="00AF1A4F"/>
    <w:rsid w:val="00AF1C65"/>
    <w:rsid w:val="00AF1CE2"/>
    <w:rsid w:val="00AF1E3A"/>
    <w:rsid w:val="00AF1E47"/>
    <w:rsid w:val="00AF20E4"/>
    <w:rsid w:val="00AF20F2"/>
    <w:rsid w:val="00AF21E6"/>
    <w:rsid w:val="00AF2226"/>
    <w:rsid w:val="00AF2234"/>
    <w:rsid w:val="00AF225D"/>
    <w:rsid w:val="00AF23EF"/>
    <w:rsid w:val="00AF270E"/>
    <w:rsid w:val="00AF2716"/>
    <w:rsid w:val="00AF277C"/>
    <w:rsid w:val="00AF2869"/>
    <w:rsid w:val="00AF29DE"/>
    <w:rsid w:val="00AF2A0F"/>
    <w:rsid w:val="00AF2AFF"/>
    <w:rsid w:val="00AF2BBA"/>
    <w:rsid w:val="00AF2E1E"/>
    <w:rsid w:val="00AF3019"/>
    <w:rsid w:val="00AF3062"/>
    <w:rsid w:val="00AF3171"/>
    <w:rsid w:val="00AF3202"/>
    <w:rsid w:val="00AF327C"/>
    <w:rsid w:val="00AF32D6"/>
    <w:rsid w:val="00AF345B"/>
    <w:rsid w:val="00AF345D"/>
    <w:rsid w:val="00AF3490"/>
    <w:rsid w:val="00AF34E7"/>
    <w:rsid w:val="00AF3978"/>
    <w:rsid w:val="00AF3990"/>
    <w:rsid w:val="00AF3C54"/>
    <w:rsid w:val="00AF3D72"/>
    <w:rsid w:val="00AF3E15"/>
    <w:rsid w:val="00AF45DB"/>
    <w:rsid w:val="00AF462D"/>
    <w:rsid w:val="00AF47FA"/>
    <w:rsid w:val="00AF4959"/>
    <w:rsid w:val="00AF4965"/>
    <w:rsid w:val="00AF4A85"/>
    <w:rsid w:val="00AF4C35"/>
    <w:rsid w:val="00AF4D0B"/>
    <w:rsid w:val="00AF4DAA"/>
    <w:rsid w:val="00AF5404"/>
    <w:rsid w:val="00AF54BC"/>
    <w:rsid w:val="00AF59B0"/>
    <w:rsid w:val="00AF59BC"/>
    <w:rsid w:val="00AF5B24"/>
    <w:rsid w:val="00AF5B38"/>
    <w:rsid w:val="00AF5BC0"/>
    <w:rsid w:val="00AF5C04"/>
    <w:rsid w:val="00AF5CFF"/>
    <w:rsid w:val="00AF5D95"/>
    <w:rsid w:val="00AF5DB2"/>
    <w:rsid w:val="00AF5FE5"/>
    <w:rsid w:val="00AF6020"/>
    <w:rsid w:val="00AF6156"/>
    <w:rsid w:val="00AF65BD"/>
    <w:rsid w:val="00AF67B9"/>
    <w:rsid w:val="00AF67CE"/>
    <w:rsid w:val="00AF69A1"/>
    <w:rsid w:val="00AF6B9E"/>
    <w:rsid w:val="00AF6BA6"/>
    <w:rsid w:val="00AF6DE3"/>
    <w:rsid w:val="00AF6F5D"/>
    <w:rsid w:val="00AF6FC2"/>
    <w:rsid w:val="00AF706E"/>
    <w:rsid w:val="00AF71E7"/>
    <w:rsid w:val="00AF75A3"/>
    <w:rsid w:val="00AF7858"/>
    <w:rsid w:val="00AF7891"/>
    <w:rsid w:val="00AF7A81"/>
    <w:rsid w:val="00AF7B58"/>
    <w:rsid w:val="00AF7D06"/>
    <w:rsid w:val="00AF7D1A"/>
    <w:rsid w:val="00AF7F00"/>
    <w:rsid w:val="00AF7F16"/>
    <w:rsid w:val="00AF7FC9"/>
    <w:rsid w:val="00B00052"/>
    <w:rsid w:val="00B00063"/>
    <w:rsid w:val="00B0032C"/>
    <w:rsid w:val="00B0046C"/>
    <w:rsid w:val="00B0059F"/>
    <w:rsid w:val="00B00A1B"/>
    <w:rsid w:val="00B00AA7"/>
    <w:rsid w:val="00B00BDF"/>
    <w:rsid w:val="00B00C51"/>
    <w:rsid w:val="00B00CBE"/>
    <w:rsid w:val="00B00CD8"/>
    <w:rsid w:val="00B00DFD"/>
    <w:rsid w:val="00B00EBB"/>
    <w:rsid w:val="00B01013"/>
    <w:rsid w:val="00B013D9"/>
    <w:rsid w:val="00B015D9"/>
    <w:rsid w:val="00B0176A"/>
    <w:rsid w:val="00B017A9"/>
    <w:rsid w:val="00B0185A"/>
    <w:rsid w:val="00B01895"/>
    <w:rsid w:val="00B018FE"/>
    <w:rsid w:val="00B01976"/>
    <w:rsid w:val="00B019BD"/>
    <w:rsid w:val="00B01C6F"/>
    <w:rsid w:val="00B01E09"/>
    <w:rsid w:val="00B01F8B"/>
    <w:rsid w:val="00B02052"/>
    <w:rsid w:val="00B024D7"/>
    <w:rsid w:val="00B0269C"/>
    <w:rsid w:val="00B02722"/>
    <w:rsid w:val="00B02743"/>
    <w:rsid w:val="00B028C5"/>
    <w:rsid w:val="00B02C4F"/>
    <w:rsid w:val="00B02CC8"/>
    <w:rsid w:val="00B02DF1"/>
    <w:rsid w:val="00B02F57"/>
    <w:rsid w:val="00B030CE"/>
    <w:rsid w:val="00B0344E"/>
    <w:rsid w:val="00B034D2"/>
    <w:rsid w:val="00B0353F"/>
    <w:rsid w:val="00B037DC"/>
    <w:rsid w:val="00B03A5B"/>
    <w:rsid w:val="00B03B01"/>
    <w:rsid w:val="00B03B0F"/>
    <w:rsid w:val="00B03B2A"/>
    <w:rsid w:val="00B03B66"/>
    <w:rsid w:val="00B03B87"/>
    <w:rsid w:val="00B03E51"/>
    <w:rsid w:val="00B03F00"/>
    <w:rsid w:val="00B03F0C"/>
    <w:rsid w:val="00B04014"/>
    <w:rsid w:val="00B041B8"/>
    <w:rsid w:val="00B0443E"/>
    <w:rsid w:val="00B04467"/>
    <w:rsid w:val="00B04584"/>
    <w:rsid w:val="00B046A5"/>
    <w:rsid w:val="00B04808"/>
    <w:rsid w:val="00B04913"/>
    <w:rsid w:val="00B04ABF"/>
    <w:rsid w:val="00B04B74"/>
    <w:rsid w:val="00B04E8A"/>
    <w:rsid w:val="00B05025"/>
    <w:rsid w:val="00B0516C"/>
    <w:rsid w:val="00B051EB"/>
    <w:rsid w:val="00B05214"/>
    <w:rsid w:val="00B0536D"/>
    <w:rsid w:val="00B05412"/>
    <w:rsid w:val="00B0557E"/>
    <w:rsid w:val="00B05C24"/>
    <w:rsid w:val="00B05C2D"/>
    <w:rsid w:val="00B05C44"/>
    <w:rsid w:val="00B05F1D"/>
    <w:rsid w:val="00B060F4"/>
    <w:rsid w:val="00B06137"/>
    <w:rsid w:val="00B06142"/>
    <w:rsid w:val="00B06197"/>
    <w:rsid w:val="00B06387"/>
    <w:rsid w:val="00B064E1"/>
    <w:rsid w:val="00B0662E"/>
    <w:rsid w:val="00B066F3"/>
    <w:rsid w:val="00B0672A"/>
    <w:rsid w:val="00B0675E"/>
    <w:rsid w:val="00B06C2C"/>
    <w:rsid w:val="00B06CB1"/>
    <w:rsid w:val="00B06D4A"/>
    <w:rsid w:val="00B070DE"/>
    <w:rsid w:val="00B0710D"/>
    <w:rsid w:val="00B07277"/>
    <w:rsid w:val="00B075AF"/>
    <w:rsid w:val="00B076D5"/>
    <w:rsid w:val="00B07716"/>
    <w:rsid w:val="00B0774A"/>
    <w:rsid w:val="00B07755"/>
    <w:rsid w:val="00B0776D"/>
    <w:rsid w:val="00B07861"/>
    <w:rsid w:val="00B0797D"/>
    <w:rsid w:val="00B07A48"/>
    <w:rsid w:val="00B07AF8"/>
    <w:rsid w:val="00B07BC5"/>
    <w:rsid w:val="00B07DEA"/>
    <w:rsid w:val="00B07F50"/>
    <w:rsid w:val="00B07FA4"/>
    <w:rsid w:val="00B10086"/>
    <w:rsid w:val="00B1033D"/>
    <w:rsid w:val="00B10376"/>
    <w:rsid w:val="00B104DF"/>
    <w:rsid w:val="00B105FD"/>
    <w:rsid w:val="00B10818"/>
    <w:rsid w:val="00B10863"/>
    <w:rsid w:val="00B108F3"/>
    <w:rsid w:val="00B109C8"/>
    <w:rsid w:val="00B109E1"/>
    <w:rsid w:val="00B10A7A"/>
    <w:rsid w:val="00B10AE5"/>
    <w:rsid w:val="00B10B89"/>
    <w:rsid w:val="00B10CB1"/>
    <w:rsid w:val="00B10CD6"/>
    <w:rsid w:val="00B10ED1"/>
    <w:rsid w:val="00B10ED3"/>
    <w:rsid w:val="00B10F42"/>
    <w:rsid w:val="00B11047"/>
    <w:rsid w:val="00B110BD"/>
    <w:rsid w:val="00B1123D"/>
    <w:rsid w:val="00B11746"/>
    <w:rsid w:val="00B118A4"/>
    <w:rsid w:val="00B11A3D"/>
    <w:rsid w:val="00B11FC0"/>
    <w:rsid w:val="00B120BE"/>
    <w:rsid w:val="00B12239"/>
    <w:rsid w:val="00B12278"/>
    <w:rsid w:val="00B122BD"/>
    <w:rsid w:val="00B123FA"/>
    <w:rsid w:val="00B125D8"/>
    <w:rsid w:val="00B1266E"/>
    <w:rsid w:val="00B12690"/>
    <w:rsid w:val="00B128CD"/>
    <w:rsid w:val="00B1297B"/>
    <w:rsid w:val="00B129F5"/>
    <w:rsid w:val="00B12A42"/>
    <w:rsid w:val="00B12A67"/>
    <w:rsid w:val="00B12ACC"/>
    <w:rsid w:val="00B12D81"/>
    <w:rsid w:val="00B12E42"/>
    <w:rsid w:val="00B12FB9"/>
    <w:rsid w:val="00B1341E"/>
    <w:rsid w:val="00B13503"/>
    <w:rsid w:val="00B1368A"/>
    <w:rsid w:val="00B136A1"/>
    <w:rsid w:val="00B136B3"/>
    <w:rsid w:val="00B138E1"/>
    <w:rsid w:val="00B13B51"/>
    <w:rsid w:val="00B13C34"/>
    <w:rsid w:val="00B13C3F"/>
    <w:rsid w:val="00B13C66"/>
    <w:rsid w:val="00B13C67"/>
    <w:rsid w:val="00B13C8A"/>
    <w:rsid w:val="00B13CA0"/>
    <w:rsid w:val="00B13D32"/>
    <w:rsid w:val="00B14024"/>
    <w:rsid w:val="00B142A9"/>
    <w:rsid w:val="00B142AF"/>
    <w:rsid w:val="00B14455"/>
    <w:rsid w:val="00B14550"/>
    <w:rsid w:val="00B14562"/>
    <w:rsid w:val="00B14587"/>
    <w:rsid w:val="00B14706"/>
    <w:rsid w:val="00B147B1"/>
    <w:rsid w:val="00B14B0C"/>
    <w:rsid w:val="00B14FB7"/>
    <w:rsid w:val="00B150FD"/>
    <w:rsid w:val="00B15148"/>
    <w:rsid w:val="00B154C1"/>
    <w:rsid w:val="00B155DF"/>
    <w:rsid w:val="00B156A1"/>
    <w:rsid w:val="00B15766"/>
    <w:rsid w:val="00B1589A"/>
    <w:rsid w:val="00B1599F"/>
    <w:rsid w:val="00B15BF6"/>
    <w:rsid w:val="00B15C77"/>
    <w:rsid w:val="00B15D97"/>
    <w:rsid w:val="00B15DD4"/>
    <w:rsid w:val="00B1603D"/>
    <w:rsid w:val="00B162C7"/>
    <w:rsid w:val="00B16536"/>
    <w:rsid w:val="00B16812"/>
    <w:rsid w:val="00B169D1"/>
    <w:rsid w:val="00B16A5B"/>
    <w:rsid w:val="00B16C35"/>
    <w:rsid w:val="00B16ED9"/>
    <w:rsid w:val="00B16FAB"/>
    <w:rsid w:val="00B17031"/>
    <w:rsid w:val="00B17307"/>
    <w:rsid w:val="00B17415"/>
    <w:rsid w:val="00B1745C"/>
    <w:rsid w:val="00B178E9"/>
    <w:rsid w:val="00B17BDC"/>
    <w:rsid w:val="00B17C11"/>
    <w:rsid w:val="00B17CCB"/>
    <w:rsid w:val="00B17CFC"/>
    <w:rsid w:val="00B17D4C"/>
    <w:rsid w:val="00B17E63"/>
    <w:rsid w:val="00B17F71"/>
    <w:rsid w:val="00B2016F"/>
    <w:rsid w:val="00B2018D"/>
    <w:rsid w:val="00B20222"/>
    <w:rsid w:val="00B20256"/>
    <w:rsid w:val="00B202D7"/>
    <w:rsid w:val="00B20685"/>
    <w:rsid w:val="00B2085C"/>
    <w:rsid w:val="00B20992"/>
    <w:rsid w:val="00B20AE0"/>
    <w:rsid w:val="00B20E6D"/>
    <w:rsid w:val="00B210E7"/>
    <w:rsid w:val="00B21102"/>
    <w:rsid w:val="00B21197"/>
    <w:rsid w:val="00B211AC"/>
    <w:rsid w:val="00B21335"/>
    <w:rsid w:val="00B21532"/>
    <w:rsid w:val="00B2169D"/>
    <w:rsid w:val="00B2171A"/>
    <w:rsid w:val="00B21785"/>
    <w:rsid w:val="00B21807"/>
    <w:rsid w:val="00B21CAA"/>
    <w:rsid w:val="00B21D2E"/>
    <w:rsid w:val="00B21D91"/>
    <w:rsid w:val="00B21E83"/>
    <w:rsid w:val="00B21F99"/>
    <w:rsid w:val="00B22065"/>
    <w:rsid w:val="00B2219F"/>
    <w:rsid w:val="00B22342"/>
    <w:rsid w:val="00B22344"/>
    <w:rsid w:val="00B223A0"/>
    <w:rsid w:val="00B225AA"/>
    <w:rsid w:val="00B226E0"/>
    <w:rsid w:val="00B22A67"/>
    <w:rsid w:val="00B22B31"/>
    <w:rsid w:val="00B22B61"/>
    <w:rsid w:val="00B22B94"/>
    <w:rsid w:val="00B22C1C"/>
    <w:rsid w:val="00B22F48"/>
    <w:rsid w:val="00B22FC6"/>
    <w:rsid w:val="00B230B3"/>
    <w:rsid w:val="00B231C1"/>
    <w:rsid w:val="00B232B6"/>
    <w:rsid w:val="00B23553"/>
    <w:rsid w:val="00B237CC"/>
    <w:rsid w:val="00B23AE4"/>
    <w:rsid w:val="00B23B38"/>
    <w:rsid w:val="00B23BCD"/>
    <w:rsid w:val="00B23DD1"/>
    <w:rsid w:val="00B23E29"/>
    <w:rsid w:val="00B23FB8"/>
    <w:rsid w:val="00B2421E"/>
    <w:rsid w:val="00B24418"/>
    <w:rsid w:val="00B246EB"/>
    <w:rsid w:val="00B24B11"/>
    <w:rsid w:val="00B24B5F"/>
    <w:rsid w:val="00B24C31"/>
    <w:rsid w:val="00B24D70"/>
    <w:rsid w:val="00B24E20"/>
    <w:rsid w:val="00B25022"/>
    <w:rsid w:val="00B25039"/>
    <w:rsid w:val="00B250A6"/>
    <w:rsid w:val="00B2511B"/>
    <w:rsid w:val="00B25351"/>
    <w:rsid w:val="00B25379"/>
    <w:rsid w:val="00B253A6"/>
    <w:rsid w:val="00B2540F"/>
    <w:rsid w:val="00B2549B"/>
    <w:rsid w:val="00B25614"/>
    <w:rsid w:val="00B257B5"/>
    <w:rsid w:val="00B25859"/>
    <w:rsid w:val="00B25A1B"/>
    <w:rsid w:val="00B25DAF"/>
    <w:rsid w:val="00B25E04"/>
    <w:rsid w:val="00B25F82"/>
    <w:rsid w:val="00B25FEB"/>
    <w:rsid w:val="00B26237"/>
    <w:rsid w:val="00B2635D"/>
    <w:rsid w:val="00B263E0"/>
    <w:rsid w:val="00B2649A"/>
    <w:rsid w:val="00B264B8"/>
    <w:rsid w:val="00B264E7"/>
    <w:rsid w:val="00B26628"/>
    <w:rsid w:val="00B26865"/>
    <w:rsid w:val="00B269A2"/>
    <w:rsid w:val="00B26C47"/>
    <w:rsid w:val="00B26C7D"/>
    <w:rsid w:val="00B26D42"/>
    <w:rsid w:val="00B26F8B"/>
    <w:rsid w:val="00B27240"/>
    <w:rsid w:val="00B2734A"/>
    <w:rsid w:val="00B274AD"/>
    <w:rsid w:val="00B2755A"/>
    <w:rsid w:val="00B275D0"/>
    <w:rsid w:val="00B275FA"/>
    <w:rsid w:val="00B2766D"/>
    <w:rsid w:val="00B278DC"/>
    <w:rsid w:val="00B27B58"/>
    <w:rsid w:val="00B27DF3"/>
    <w:rsid w:val="00B27F0B"/>
    <w:rsid w:val="00B27F4E"/>
    <w:rsid w:val="00B27F97"/>
    <w:rsid w:val="00B30381"/>
    <w:rsid w:val="00B304E0"/>
    <w:rsid w:val="00B307EA"/>
    <w:rsid w:val="00B3082F"/>
    <w:rsid w:val="00B30BB9"/>
    <w:rsid w:val="00B30D2B"/>
    <w:rsid w:val="00B30E61"/>
    <w:rsid w:val="00B30F20"/>
    <w:rsid w:val="00B30F24"/>
    <w:rsid w:val="00B30FAC"/>
    <w:rsid w:val="00B30FC4"/>
    <w:rsid w:val="00B3100F"/>
    <w:rsid w:val="00B310EE"/>
    <w:rsid w:val="00B312CF"/>
    <w:rsid w:val="00B312DB"/>
    <w:rsid w:val="00B3130B"/>
    <w:rsid w:val="00B3141D"/>
    <w:rsid w:val="00B31481"/>
    <w:rsid w:val="00B315AD"/>
    <w:rsid w:val="00B31710"/>
    <w:rsid w:val="00B31889"/>
    <w:rsid w:val="00B319F1"/>
    <w:rsid w:val="00B31B20"/>
    <w:rsid w:val="00B31C9B"/>
    <w:rsid w:val="00B31D15"/>
    <w:rsid w:val="00B31D81"/>
    <w:rsid w:val="00B31E18"/>
    <w:rsid w:val="00B31EA0"/>
    <w:rsid w:val="00B320ED"/>
    <w:rsid w:val="00B321E3"/>
    <w:rsid w:val="00B32268"/>
    <w:rsid w:val="00B3233E"/>
    <w:rsid w:val="00B32540"/>
    <w:rsid w:val="00B3254B"/>
    <w:rsid w:val="00B32738"/>
    <w:rsid w:val="00B3275F"/>
    <w:rsid w:val="00B327A2"/>
    <w:rsid w:val="00B32C02"/>
    <w:rsid w:val="00B32DD8"/>
    <w:rsid w:val="00B32E1A"/>
    <w:rsid w:val="00B32EC5"/>
    <w:rsid w:val="00B32FCA"/>
    <w:rsid w:val="00B33095"/>
    <w:rsid w:val="00B33177"/>
    <w:rsid w:val="00B33203"/>
    <w:rsid w:val="00B33211"/>
    <w:rsid w:val="00B33229"/>
    <w:rsid w:val="00B332AB"/>
    <w:rsid w:val="00B333ED"/>
    <w:rsid w:val="00B33455"/>
    <w:rsid w:val="00B3345B"/>
    <w:rsid w:val="00B33462"/>
    <w:rsid w:val="00B3352D"/>
    <w:rsid w:val="00B335C1"/>
    <w:rsid w:val="00B335E5"/>
    <w:rsid w:val="00B337CF"/>
    <w:rsid w:val="00B33CB7"/>
    <w:rsid w:val="00B33CE3"/>
    <w:rsid w:val="00B33D0A"/>
    <w:rsid w:val="00B33D31"/>
    <w:rsid w:val="00B33E0C"/>
    <w:rsid w:val="00B33F44"/>
    <w:rsid w:val="00B3417B"/>
    <w:rsid w:val="00B341AE"/>
    <w:rsid w:val="00B341B4"/>
    <w:rsid w:val="00B34259"/>
    <w:rsid w:val="00B34261"/>
    <w:rsid w:val="00B3427A"/>
    <w:rsid w:val="00B3436F"/>
    <w:rsid w:val="00B34719"/>
    <w:rsid w:val="00B34822"/>
    <w:rsid w:val="00B34891"/>
    <w:rsid w:val="00B348C7"/>
    <w:rsid w:val="00B349C3"/>
    <w:rsid w:val="00B34D5B"/>
    <w:rsid w:val="00B34DFE"/>
    <w:rsid w:val="00B3502A"/>
    <w:rsid w:val="00B350DC"/>
    <w:rsid w:val="00B35111"/>
    <w:rsid w:val="00B35133"/>
    <w:rsid w:val="00B352D3"/>
    <w:rsid w:val="00B3541E"/>
    <w:rsid w:val="00B354FE"/>
    <w:rsid w:val="00B3569B"/>
    <w:rsid w:val="00B3579C"/>
    <w:rsid w:val="00B357C1"/>
    <w:rsid w:val="00B3586E"/>
    <w:rsid w:val="00B35891"/>
    <w:rsid w:val="00B358C2"/>
    <w:rsid w:val="00B358D7"/>
    <w:rsid w:val="00B35B59"/>
    <w:rsid w:val="00B35B84"/>
    <w:rsid w:val="00B35D6E"/>
    <w:rsid w:val="00B35E55"/>
    <w:rsid w:val="00B35FD9"/>
    <w:rsid w:val="00B360B2"/>
    <w:rsid w:val="00B3615D"/>
    <w:rsid w:val="00B3629E"/>
    <w:rsid w:val="00B3652A"/>
    <w:rsid w:val="00B365F2"/>
    <w:rsid w:val="00B366A6"/>
    <w:rsid w:val="00B366CF"/>
    <w:rsid w:val="00B36770"/>
    <w:rsid w:val="00B368DA"/>
    <w:rsid w:val="00B36C51"/>
    <w:rsid w:val="00B36DC5"/>
    <w:rsid w:val="00B36E17"/>
    <w:rsid w:val="00B37218"/>
    <w:rsid w:val="00B37373"/>
    <w:rsid w:val="00B37432"/>
    <w:rsid w:val="00B37501"/>
    <w:rsid w:val="00B376EF"/>
    <w:rsid w:val="00B378D3"/>
    <w:rsid w:val="00B37A40"/>
    <w:rsid w:val="00B37ADD"/>
    <w:rsid w:val="00B37BA6"/>
    <w:rsid w:val="00B37C06"/>
    <w:rsid w:val="00B37CF4"/>
    <w:rsid w:val="00B37E1F"/>
    <w:rsid w:val="00B37E7F"/>
    <w:rsid w:val="00B401C0"/>
    <w:rsid w:val="00B40210"/>
    <w:rsid w:val="00B40238"/>
    <w:rsid w:val="00B4025A"/>
    <w:rsid w:val="00B403EF"/>
    <w:rsid w:val="00B40463"/>
    <w:rsid w:val="00B405CE"/>
    <w:rsid w:val="00B40CAB"/>
    <w:rsid w:val="00B40D5D"/>
    <w:rsid w:val="00B40EB0"/>
    <w:rsid w:val="00B40EF2"/>
    <w:rsid w:val="00B40EFD"/>
    <w:rsid w:val="00B41162"/>
    <w:rsid w:val="00B411B7"/>
    <w:rsid w:val="00B4121C"/>
    <w:rsid w:val="00B41261"/>
    <w:rsid w:val="00B415B4"/>
    <w:rsid w:val="00B415D3"/>
    <w:rsid w:val="00B415E5"/>
    <w:rsid w:val="00B41654"/>
    <w:rsid w:val="00B416C2"/>
    <w:rsid w:val="00B417FC"/>
    <w:rsid w:val="00B4188B"/>
    <w:rsid w:val="00B418A0"/>
    <w:rsid w:val="00B41A40"/>
    <w:rsid w:val="00B41AF7"/>
    <w:rsid w:val="00B41AFA"/>
    <w:rsid w:val="00B41C38"/>
    <w:rsid w:val="00B41CD5"/>
    <w:rsid w:val="00B41E40"/>
    <w:rsid w:val="00B41FD8"/>
    <w:rsid w:val="00B42488"/>
    <w:rsid w:val="00B425B5"/>
    <w:rsid w:val="00B428BA"/>
    <w:rsid w:val="00B429FA"/>
    <w:rsid w:val="00B42AD1"/>
    <w:rsid w:val="00B42DAD"/>
    <w:rsid w:val="00B431DA"/>
    <w:rsid w:val="00B438C8"/>
    <w:rsid w:val="00B43912"/>
    <w:rsid w:val="00B43D3E"/>
    <w:rsid w:val="00B43DFD"/>
    <w:rsid w:val="00B43E4C"/>
    <w:rsid w:val="00B4401B"/>
    <w:rsid w:val="00B4406C"/>
    <w:rsid w:val="00B44216"/>
    <w:rsid w:val="00B4423E"/>
    <w:rsid w:val="00B44452"/>
    <w:rsid w:val="00B444AE"/>
    <w:rsid w:val="00B447BD"/>
    <w:rsid w:val="00B44894"/>
    <w:rsid w:val="00B44AEF"/>
    <w:rsid w:val="00B44BCA"/>
    <w:rsid w:val="00B44BCB"/>
    <w:rsid w:val="00B44BF3"/>
    <w:rsid w:val="00B44D37"/>
    <w:rsid w:val="00B4540E"/>
    <w:rsid w:val="00B454AD"/>
    <w:rsid w:val="00B454BF"/>
    <w:rsid w:val="00B45640"/>
    <w:rsid w:val="00B45F60"/>
    <w:rsid w:val="00B462C9"/>
    <w:rsid w:val="00B46482"/>
    <w:rsid w:val="00B464EA"/>
    <w:rsid w:val="00B46507"/>
    <w:rsid w:val="00B46592"/>
    <w:rsid w:val="00B4695C"/>
    <w:rsid w:val="00B469F0"/>
    <w:rsid w:val="00B469FB"/>
    <w:rsid w:val="00B46C68"/>
    <w:rsid w:val="00B46F52"/>
    <w:rsid w:val="00B47056"/>
    <w:rsid w:val="00B4713F"/>
    <w:rsid w:val="00B47264"/>
    <w:rsid w:val="00B472BE"/>
    <w:rsid w:val="00B472D7"/>
    <w:rsid w:val="00B472D8"/>
    <w:rsid w:val="00B47303"/>
    <w:rsid w:val="00B473E9"/>
    <w:rsid w:val="00B47547"/>
    <w:rsid w:val="00B47835"/>
    <w:rsid w:val="00B47A56"/>
    <w:rsid w:val="00B47C1C"/>
    <w:rsid w:val="00B47C8E"/>
    <w:rsid w:val="00B47D36"/>
    <w:rsid w:val="00B47DB9"/>
    <w:rsid w:val="00B47FF9"/>
    <w:rsid w:val="00B50043"/>
    <w:rsid w:val="00B5055E"/>
    <w:rsid w:val="00B50597"/>
    <w:rsid w:val="00B5069E"/>
    <w:rsid w:val="00B507C3"/>
    <w:rsid w:val="00B50908"/>
    <w:rsid w:val="00B50AD5"/>
    <w:rsid w:val="00B50C1E"/>
    <w:rsid w:val="00B50CA7"/>
    <w:rsid w:val="00B50D33"/>
    <w:rsid w:val="00B50E6E"/>
    <w:rsid w:val="00B51071"/>
    <w:rsid w:val="00B5111C"/>
    <w:rsid w:val="00B51177"/>
    <w:rsid w:val="00B51770"/>
    <w:rsid w:val="00B51A59"/>
    <w:rsid w:val="00B51BC0"/>
    <w:rsid w:val="00B51D05"/>
    <w:rsid w:val="00B51D96"/>
    <w:rsid w:val="00B51DB3"/>
    <w:rsid w:val="00B51F45"/>
    <w:rsid w:val="00B51FFC"/>
    <w:rsid w:val="00B522A6"/>
    <w:rsid w:val="00B5239A"/>
    <w:rsid w:val="00B52756"/>
    <w:rsid w:val="00B5282E"/>
    <w:rsid w:val="00B52857"/>
    <w:rsid w:val="00B52923"/>
    <w:rsid w:val="00B52994"/>
    <w:rsid w:val="00B52B4A"/>
    <w:rsid w:val="00B52E05"/>
    <w:rsid w:val="00B52EA3"/>
    <w:rsid w:val="00B52F62"/>
    <w:rsid w:val="00B53142"/>
    <w:rsid w:val="00B531D7"/>
    <w:rsid w:val="00B53295"/>
    <w:rsid w:val="00B534A6"/>
    <w:rsid w:val="00B534D0"/>
    <w:rsid w:val="00B53680"/>
    <w:rsid w:val="00B5385F"/>
    <w:rsid w:val="00B538EA"/>
    <w:rsid w:val="00B53BFD"/>
    <w:rsid w:val="00B53BFE"/>
    <w:rsid w:val="00B53EBC"/>
    <w:rsid w:val="00B54292"/>
    <w:rsid w:val="00B546A6"/>
    <w:rsid w:val="00B54750"/>
    <w:rsid w:val="00B547C1"/>
    <w:rsid w:val="00B547C8"/>
    <w:rsid w:val="00B549DE"/>
    <w:rsid w:val="00B54AA4"/>
    <w:rsid w:val="00B54C7F"/>
    <w:rsid w:val="00B54D8F"/>
    <w:rsid w:val="00B54EBA"/>
    <w:rsid w:val="00B54EC0"/>
    <w:rsid w:val="00B55062"/>
    <w:rsid w:val="00B550E9"/>
    <w:rsid w:val="00B55446"/>
    <w:rsid w:val="00B554A1"/>
    <w:rsid w:val="00B55561"/>
    <w:rsid w:val="00B55611"/>
    <w:rsid w:val="00B55743"/>
    <w:rsid w:val="00B557B9"/>
    <w:rsid w:val="00B55837"/>
    <w:rsid w:val="00B55930"/>
    <w:rsid w:val="00B559A7"/>
    <w:rsid w:val="00B559C7"/>
    <w:rsid w:val="00B55A80"/>
    <w:rsid w:val="00B55A81"/>
    <w:rsid w:val="00B55C7C"/>
    <w:rsid w:val="00B55E96"/>
    <w:rsid w:val="00B55EA0"/>
    <w:rsid w:val="00B55F0A"/>
    <w:rsid w:val="00B56064"/>
    <w:rsid w:val="00B560A8"/>
    <w:rsid w:val="00B56164"/>
    <w:rsid w:val="00B5628C"/>
    <w:rsid w:val="00B562E1"/>
    <w:rsid w:val="00B562E2"/>
    <w:rsid w:val="00B5654D"/>
    <w:rsid w:val="00B565E8"/>
    <w:rsid w:val="00B5666F"/>
    <w:rsid w:val="00B567F1"/>
    <w:rsid w:val="00B56D30"/>
    <w:rsid w:val="00B56F86"/>
    <w:rsid w:val="00B56FC8"/>
    <w:rsid w:val="00B56FD0"/>
    <w:rsid w:val="00B56FF0"/>
    <w:rsid w:val="00B5701C"/>
    <w:rsid w:val="00B572D5"/>
    <w:rsid w:val="00B575AF"/>
    <w:rsid w:val="00B575DD"/>
    <w:rsid w:val="00B57886"/>
    <w:rsid w:val="00B578A0"/>
    <w:rsid w:val="00B578A6"/>
    <w:rsid w:val="00B57925"/>
    <w:rsid w:val="00B57FA9"/>
    <w:rsid w:val="00B60092"/>
    <w:rsid w:val="00B60293"/>
    <w:rsid w:val="00B603D9"/>
    <w:rsid w:val="00B604D6"/>
    <w:rsid w:val="00B605FC"/>
    <w:rsid w:val="00B609B5"/>
    <w:rsid w:val="00B60A96"/>
    <w:rsid w:val="00B60D47"/>
    <w:rsid w:val="00B60FA4"/>
    <w:rsid w:val="00B6118E"/>
    <w:rsid w:val="00B611BC"/>
    <w:rsid w:val="00B6133D"/>
    <w:rsid w:val="00B61485"/>
    <w:rsid w:val="00B614BC"/>
    <w:rsid w:val="00B61615"/>
    <w:rsid w:val="00B6165E"/>
    <w:rsid w:val="00B6183E"/>
    <w:rsid w:val="00B619F2"/>
    <w:rsid w:val="00B61A97"/>
    <w:rsid w:val="00B61AA2"/>
    <w:rsid w:val="00B61E48"/>
    <w:rsid w:val="00B61EAB"/>
    <w:rsid w:val="00B62186"/>
    <w:rsid w:val="00B621C9"/>
    <w:rsid w:val="00B621FA"/>
    <w:rsid w:val="00B6233E"/>
    <w:rsid w:val="00B62476"/>
    <w:rsid w:val="00B624FE"/>
    <w:rsid w:val="00B6263B"/>
    <w:rsid w:val="00B6283A"/>
    <w:rsid w:val="00B62880"/>
    <w:rsid w:val="00B62A8E"/>
    <w:rsid w:val="00B62ABE"/>
    <w:rsid w:val="00B62BE5"/>
    <w:rsid w:val="00B62C71"/>
    <w:rsid w:val="00B62CEA"/>
    <w:rsid w:val="00B62D1E"/>
    <w:rsid w:val="00B63005"/>
    <w:rsid w:val="00B63027"/>
    <w:rsid w:val="00B63095"/>
    <w:rsid w:val="00B632EA"/>
    <w:rsid w:val="00B63401"/>
    <w:rsid w:val="00B6343B"/>
    <w:rsid w:val="00B63683"/>
    <w:rsid w:val="00B63704"/>
    <w:rsid w:val="00B6380F"/>
    <w:rsid w:val="00B63814"/>
    <w:rsid w:val="00B6387C"/>
    <w:rsid w:val="00B63A14"/>
    <w:rsid w:val="00B63AE7"/>
    <w:rsid w:val="00B63B34"/>
    <w:rsid w:val="00B63D4A"/>
    <w:rsid w:val="00B63F14"/>
    <w:rsid w:val="00B63FCE"/>
    <w:rsid w:val="00B64044"/>
    <w:rsid w:val="00B642BA"/>
    <w:rsid w:val="00B642F4"/>
    <w:rsid w:val="00B64530"/>
    <w:rsid w:val="00B6498D"/>
    <w:rsid w:val="00B64A79"/>
    <w:rsid w:val="00B64A81"/>
    <w:rsid w:val="00B64EB3"/>
    <w:rsid w:val="00B651FF"/>
    <w:rsid w:val="00B652B5"/>
    <w:rsid w:val="00B65311"/>
    <w:rsid w:val="00B654AD"/>
    <w:rsid w:val="00B655FF"/>
    <w:rsid w:val="00B65992"/>
    <w:rsid w:val="00B659CD"/>
    <w:rsid w:val="00B65CC0"/>
    <w:rsid w:val="00B65CD5"/>
    <w:rsid w:val="00B660B7"/>
    <w:rsid w:val="00B66133"/>
    <w:rsid w:val="00B661C8"/>
    <w:rsid w:val="00B665EA"/>
    <w:rsid w:val="00B665F0"/>
    <w:rsid w:val="00B668D0"/>
    <w:rsid w:val="00B669D0"/>
    <w:rsid w:val="00B669F0"/>
    <w:rsid w:val="00B66AB6"/>
    <w:rsid w:val="00B66AFB"/>
    <w:rsid w:val="00B66B4C"/>
    <w:rsid w:val="00B66C0A"/>
    <w:rsid w:val="00B66C9D"/>
    <w:rsid w:val="00B66D57"/>
    <w:rsid w:val="00B66DB3"/>
    <w:rsid w:val="00B66E71"/>
    <w:rsid w:val="00B66F06"/>
    <w:rsid w:val="00B66FB1"/>
    <w:rsid w:val="00B67181"/>
    <w:rsid w:val="00B67191"/>
    <w:rsid w:val="00B67276"/>
    <w:rsid w:val="00B672A2"/>
    <w:rsid w:val="00B67303"/>
    <w:rsid w:val="00B67577"/>
    <w:rsid w:val="00B6766B"/>
    <w:rsid w:val="00B676A7"/>
    <w:rsid w:val="00B677DB"/>
    <w:rsid w:val="00B67959"/>
    <w:rsid w:val="00B679AD"/>
    <w:rsid w:val="00B67A24"/>
    <w:rsid w:val="00B67A35"/>
    <w:rsid w:val="00B67C00"/>
    <w:rsid w:val="00B67C3A"/>
    <w:rsid w:val="00B67F9C"/>
    <w:rsid w:val="00B700F7"/>
    <w:rsid w:val="00B7017A"/>
    <w:rsid w:val="00B70213"/>
    <w:rsid w:val="00B70336"/>
    <w:rsid w:val="00B70405"/>
    <w:rsid w:val="00B705A1"/>
    <w:rsid w:val="00B7078A"/>
    <w:rsid w:val="00B70859"/>
    <w:rsid w:val="00B70B47"/>
    <w:rsid w:val="00B70C18"/>
    <w:rsid w:val="00B70C85"/>
    <w:rsid w:val="00B70C9C"/>
    <w:rsid w:val="00B70D43"/>
    <w:rsid w:val="00B71219"/>
    <w:rsid w:val="00B71279"/>
    <w:rsid w:val="00B7138F"/>
    <w:rsid w:val="00B71460"/>
    <w:rsid w:val="00B71587"/>
    <w:rsid w:val="00B71AAD"/>
    <w:rsid w:val="00B71F27"/>
    <w:rsid w:val="00B71FDF"/>
    <w:rsid w:val="00B7228A"/>
    <w:rsid w:val="00B72351"/>
    <w:rsid w:val="00B724A2"/>
    <w:rsid w:val="00B7251A"/>
    <w:rsid w:val="00B7253A"/>
    <w:rsid w:val="00B725D2"/>
    <w:rsid w:val="00B725D4"/>
    <w:rsid w:val="00B7269F"/>
    <w:rsid w:val="00B727ED"/>
    <w:rsid w:val="00B7280F"/>
    <w:rsid w:val="00B728DD"/>
    <w:rsid w:val="00B72AAE"/>
    <w:rsid w:val="00B72FAA"/>
    <w:rsid w:val="00B7303D"/>
    <w:rsid w:val="00B73059"/>
    <w:rsid w:val="00B73179"/>
    <w:rsid w:val="00B7329D"/>
    <w:rsid w:val="00B73450"/>
    <w:rsid w:val="00B7363C"/>
    <w:rsid w:val="00B73946"/>
    <w:rsid w:val="00B73979"/>
    <w:rsid w:val="00B73AD3"/>
    <w:rsid w:val="00B73B44"/>
    <w:rsid w:val="00B73B9F"/>
    <w:rsid w:val="00B73BB0"/>
    <w:rsid w:val="00B73CD0"/>
    <w:rsid w:val="00B73EB9"/>
    <w:rsid w:val="00B73F29"/>
    <w:rsid w:val="00B7426A"/>
    <w:rsid w:val="00B7427E"/>
    <w:rsid w:val="00B748D7"/>
    <w:rsid w:val="00B7491C"/>
    <w:rsid w:val="00B74A0E"/>
    <w:rsid w:val="00B74B93"/>
    <w:rsid w:val="00B74EF0"/>
    <w:rsid w:val="00B74F03"/>
    <w:rsid w:val="00B74F3F"/>
    <w:rsid w:val="00B753AE"/>
    <w:rsid w:val="00B7553C"/>
    <w:rsid w:val="00B7558E"/>
    <w:rsid w:val="00B756AB"/>
    <w:rsid w:val="00B756E6"/>
    <w:rsid w:val="00B75986"/>
    <w:rsid w:val="00B759F1"/>
    <w:rsid w:val="00B75C05"/>
    <w:rsid w:val="00B75CAB"/>
    <w:rsid w:val="00B75E1A"/>
    <w:rsid w:val="00B75E4C"/>
    <w:rsid w:val="00B7601B"/>
    <w:rsid w:val="00B760F7"/>
    <w:rsid w:val="00B76122"/>
    <w:rsid w:val="00B7617C"/>
    <w:rsid w:val="00B761A7"/>
    <w:rsid w:val="00B76515"/>
    <w:rsid w:val="00B7656D"/>
    <w:rsid w:val="00B765EA"/>
    <w:rsid w:val="00B76627"/>
    <w:rsid w:val="00B7678D"/>
    <w:rsid w:val="00B76879"/>
    <w:rsid w:val="00B7688C"/>
    <w:rsid w:val="00B768B6"/>
    <w:rsid w:val="00B769AC"/>
    <w:rsid w:val="00B769EB"/>
    <w:rsid w:val="00B76A2B"/>
    <w:rsid w:val="00B76B71"/>
    <w:rsid w:val="00B76D89"/>
    <w:rsid w:val="00B76F00"/>
    <w:rsid w:val="00B76F74"/>
    <w:rsid w:val="00B7720D"/>
    <w:rsid w:val="00B77222"/>
    <w:rsid w:val="00B772D6"/>
    <w:rsid w:val="00B77391"/>
    <w:rsid w:val="00B77491"/>
    <w:rsid w:val="00B774C1"/>
    <w:rsid w:val="00B77523"/>
    <w:rsid w:val="00B77718"/>
    <w:rsid w:val="00B7776F"/>
    <w:rsid w:val="00B77BC8"/>
    <w:rsid w:val="00B77D11"/>
    <w:rsid w:val="00B77D54"/>
    <w:rsid w:val="00B77EDF"/>
    <w:rsid w:val="00B802E1"/>
    <w:rsid w:val="00B8038D"/>
    <w:rsid w:val="00B80430"/>
    <w:rsid w:val="00B804F9"/>
    <w:rsid w:val="00B8063B"/>
    <w:rsid w:val="00B80757"/>
    <w:rsid w:val="00B80876"/>
    <w:rsid w:val="00B80952"/>
    <w:rsid w:val="00B80A62"/>
    <w:rsid w:val="00B80C56"/>
    <w:rsid w:val="00B80CA7"/>
    <w:rsid w:val="00B80E4A"/>
    <w:rsid w:val="00B8102D"/>
    <w:rsid w:val="00B8120D"/>
    <w:rsid w:val="00B812FC"/>
    <w:rsid w:val="00B817AC"/>
    <w:rsid w:val="00B81874"/>
    <w:rsid w:val="00B8189E"/>
    <w:rsid w:val="00B8190E"/>
    <w:rsid w:val="00B819DA"/>
    <w:rsid w:val="00B81A84"/>
    <w:rsid w:val="00B81A95"/>
    <w:rsid w:val="00B81C35"/>
    <w:rsid w:val="00B81D90"/>
    <w:rsid w:val="00B81D93"/>
    <w:rsid w:val="00B81DCF"/>
    <w:rsid w:val="00B81F40"/>
    <w:rsid w:val="00B81F4E"/>
    <w:rsid w:val="00B8200E"/>
    <w:rsid w:val="00B820D6"/>
    <w:rsid w:val="00B82177"/>
    <w:rsid w:val="00B821B8"/>
    <w:rsid w:val="00B821E1"/>
    <w:rsid w:val="00B822CF"/>
    <w:rsid w:val="00B823F9"/>
    <w:rsid w:val="00B824A4"/>
    <w:rsid w:val="00B8255D"/>
    <w:rsid w:val="00B826CD"/>
    <w:rsid w:val="00B82803"/>
    <w:rsid w:val="00B8286D"/>
    <w:rsid w:val="00B828E9"/>
    <w:rsid w:val="00B8290C"/>
    <w:rsid w:val="00B82AAD"/>
    <w:rsid w:val="00B82ABE"/>
    <w:rsid w:val="00B82B58"/>
    <w:rsid w:val="00B82E24"/>
    <w:rsid w:val="00B82FB2"/>
    <w:rsid w:val="00B82FE2"/>
    <w:rsid w:val="00B83036"/>
    <w:rsid w:val="00B831A9"/>
    <w:rsid w:val="00B83316"/>
    <w:rsid w:val="00B83333"/>
    <w:rsid w:val="00B833C0"/>
    <w:rsid w:val="00B83469"/>
    <w:rsid w:val="00B83687"/>
    <w:rsid w:val="00B8377E"/>
    <w:rsid w:val="00B838F4"/>
    <w:rsid w:val="00B83CB8"/>
    <w:rsid w:val="00B83D23"/>
    <w:rsid w:val="00B83D99"/>
    <w:rsid w:val="00B83E09"/>
    <w:rsid w:val="00B841BA"/>
    <w:rsid w:val="00B84277"/>
    <w:rsid w:val="00B84399"/>
    <w:rsid w:val="00B84529"/>
    <w:rsid w:val="00B8464A"/>
    <w:rsid w:val="00B84715"/>
    <w:rsid w:val="00B8471F"/>
    <w:rsid w:val="00B8481B"/>
    <w:rsid w:val="00B8491D"/>
    <w:rsid w:val="00B84931"/>
    <w:rsid w:val="00B84A0B"/>
    <w:rsid w:val="00B84AE2"/>
    <w:rsid w:val="00B84BF2"/>
    <w:rsid w:val="00B84CA0"/>
    <w:rsid w:val="00B84DA4"/>
    <w:rsid w:val="00B84DC5"/>
    <w:rsid w:val="00B852FC"/>
    <w:rsid w:val="00B85390"/>
    <w:rsid w:val="00B85484"/>
    <w:rsid w:val="00B8575E"/>
    <w:rsid w:val="00B8582C"/>
    <w:rsid w:val="00B85B8D"/>
    <w:rsid w:val="00B85C1B"/>
    <w:rsid w:val="00B85CE2"/>
    <w:rsid w:val="00B85D23"/>
    <w:rsid w:val="00B85D2D"/>
    <w:rsid w:val="00B85F06"/>
    <w:rsid w:val="00B85F9A"/>
    <w:rsid w:val="00B86150"/>
    <w:rsid w:val="00B86326"/>
    <w:rsid w:val="00B86368"/>
    <w:rsid w:val="00B863C0"/>
    <w:rsid w:val="00B86627"/>
    <w:rsid w:val="00B867B3"/>
    <w:rsid w:val="00B867D5"/>
    <w:rsid w:val="00B868C2"/>
    <w:rsid w:val="00B8694D"/>
    <w:rsid w:val="00B86953"/>
    <w:rsid w:val="00B869A1"/>
    <w:rsid w:val="00B86BA9"/>
    <w:rsid w:val="00B86BFA"/>
    <w:rsid w:val="00B86D96"/>
    <w:rsid w:val="00B8701F"/>
    <w:rsid w:val="00B87155"/>
    <w:rsid w:val="00B87186"/>
    <w:rsid w:val="00B871D5"/>
    <w:rsid w:val="00B87291"/>
    <w:rsid w:val="00B872F1"/>
    <w:rsid w:val="00B8745A"/>
    <w:rsid w:val="00B87482"/>
    <w:rsid w:val="00B87518"/>
    <w:rsid w:val="00B87569"/>
    <w:rsid w:val="00B875AE"/>
    <w:rsid w:val="00B876EA"/>
    <w:rsid w:val="00B87766"/>
    <w:rsid w:val="00B87A05"/>
    <w:rsid w:val="00B87F0A"/>
    <w:rsid w:val="00B87F93"/>
    <w:rsid w:val="00B90137"/>
    <w:rsid w:val="00B90208"/>
    <w:rsid w:val="00B90228"/>
    <w:rsid w:val="00B9024A"/>
    <w:rsid w:val="00B90351"/>
    <w:rsid w:val="00B90422"/>
    <w:rsid w:val="00B904AD"/>
    <w:rsid w:val="00B90562"/>
    <w:rsid w:val="00B90564"/>
    <w:rsid w:val="00B90641"/>
    <w:rsid w:val="00B90A32"/>
    <w:rsid w:val="00B90AD1"/>
    <w:rsid w:val="00B90B04"/>
    <w:rsid w:val="00B90BC5"/>
    <w:rsid w:val="00B90E86"/>
    <w:rsid w:val="00B90F93"/>
    <w:rsid w:val="00B911C7"/>
    <w:rsid w:val="00B911D3"/>
    <w:rsid w:val="00B91390"/>
    <w:rsid w:val="00B913A9"/>
    <w:rsid w:val="00B914CC"/>
    <w:rsid w:val="00B9150E"/>
    <w:rsid w:val="00B91790"/>
    <w:rsid w:val="00B918D8"/>
    <w:rsid w:val="00B91A31"/>
    <w:rsid w:val="00B91D4F"/>
    <w:rsid w:val="00B91D7C"/>
    <w:rsid w:val="00B91FBA"/>
    <w:rsid w:val="00B91FD0"/>
    <w:rsid w:val="00B923FC"/>
    <w:rsid w:val="00B926E9"/>
    <w:rsid w:val="00B927EA"/>
    <w:rsid w:val="00B929DC"/>
    <w:rsid w:val="00B92A5F"/>
    <w:rsid w:val="00B92A73"/>
    <w:rsid w:val="00B92AD4"/>
    <w:rsid w:val="00B92FA1"/>
    <w:rsid w:val="00B93028"/>
    <w:rsid w:val="00B930A8"/>
    <w:rsid w:val="00B9317F"/>
    <w:rsid w:val="00B9353C"/>
    <w:rsid w:val="00B935C7"/>
    <w:rsid w:val="00B935C9"/>
    <w:rsid w:val="00B93786"/>
    <w:rsid w:val="00B9378D"/>
    <w:rsid w:val="00B9385B"/>
    <w:rsid w:val="00B93882"/>
    <w:rsid w:val="00B93B17"/>
    <w:rsid w:val="00B93B32"/>
    <w:rsid w:val="00B93B40"/>
    <w:rsid w:val="00B93C88"/>
    <w:rsid w:val="00B93CA8"/>
    <w:rsid w:val="00B9400A"/>
    <w:rsid w:val="00B940DA"/>
    <w:rsid w:val="00B941F7"/>
    <w:rsid w:val="00B9423B"/>
    <w:rsid w:val="00B94368"/>
    <w:rsid w:val="00B9442D"/>
    <w:rsid w:val="00B94963"/>
    <w:rsid w:val="00B949FF"/>
    <w:rsid w:val="00B94AF6"/>
    <w:rsid w:val="00B94BDF"/>
    <w:rsid w:val="00B94CE5"/>
    <w:rsid w:val="00B94D50"/>
    <w:rsid w:val="00B94F01"/>
    <w:rsid w:val="00B951FA"/>
    <w:rsid w:val="00B9523B"/>
    <w:rsid w:val="00B95558"/>
    <w:rsid w:val="00B95562"/>
    <w:rsid w:val="00B956D1"/>
    <w:rsid w:val="00B9583D"/>
    <w:rsid w:val="00B95857"/>
    <w:rsid w:val="00B958F7"/>
    <w:rsid w:val="00B95984"/>
    <w:rsid w:val="00B95BD0"/>
    <w:rsid w:val="00B95C23"/>
    <w:rsid w:val="00B95DD7"/>
    <w:rsid w:val="00B96126"/>
    <w:rsid w:val="00B9638A"/>
    <w:rsid w:val="00B9639E"/>
    <w:rsid w:val="00B9643A"/>
    <w:rsid w:val="00B964A3"/>
    <w:rsid w:val="00B96693"/>
    <w:rsid w:val="00B96ADC"/>
    <w:rsid w:val="00B96B53"/>
    <w:rsid w:val="00B96E9B"/>
    <w:rsid w:val="00B96EE4"/>
    <w:rsid w:val="00B97142"/>
    <w:rsid w:val="00B97301"/>
    <w:rsid w:val="00B97493"/>
    <w:rsid w:val="00B9752C"/>
    <w:rsid w:val="00B97604"/>
    <w:rsid w:val="00B97676"/>
    <w:rsid w:val="00B97709"/>
    <w:rsid w:val="00B9777D"/>
    <w:rsid w:val="00B9779E"/>
    <w:rsid w:val="00B97A07"/>
    <w:rsid w:val="00B97A4D"/>
    <w:rsid w:val="00B97AA4"/>
    <w:rsid w:val="00B97B81"/>
    <w:rsid w:val="00B97D98"/>
    <w:rsid w:val="00B97DA0"/>
    <w:rsid w:val="00B97EDD"/>
    <w:rsid w:val="00B97F77"/>
    <w:rsid w:val="00BA0184"/>
    <w:rsid w:val="00BA01A1"/>
    <w:rsid w:val="00BA024B"/>
    <w:rsid w:val="00BA028B"/>
    <w:rsid w:val="00BA039D"/>
    <w:rsid w:val="00BA041B"/>
    <w:rsid w:val="00BA055C"/>
    <w:rsid w:val="00BA078E"/>
    <w:rsid w:val="00BA0870"/>
    <w:rsid w:val="00BA0885"/>
    <w:rsid w:val="00BA0BB9"/>
    <w:rsid w:val="00BA0CA1"/>
    <w:rsid w:val="00BA0D90"/>
    <w:rsid w:val="00BA0F20"/>
    <w:rsid w:val="00BA1096"/>
    <w:rsid w:val="00BA116C"/>
    <w:rsid w:val="00BA133D"/>
    <w:rsid w:val="00BA13E1"/>
    <w:rsid w:val="00BA159F"/>
    <w:rsid w:val="00BA1802"/>
    <w:rsid w:val="00BA18BC"/>
    <w:rsid w:val="00BA1AA9"/>
    <w:rsid w:val="00BA1B13"/>
    <w:rsid w:val="00BA1B7A"/>
    <w:rsid w:val="00BA1BF0"/>
    <w:rsid w:val="00BA1D35"/>
    <w:rsid w:val="00BA1D9B"/>
    <w:rsid w:val="00BA222E"/>
    <w:rsid w:val="00BA233E"/>
    <w:rsid w:val="00BA24DD"/>
    <w:rsid w:val="00BA26D2"/>
    <w:rsid w:val="00BA26D4"/>
    <w:rsid w:val="00BA26E8"/>
    <w:rsid w:val="00BA2767"/>
    <w:rsid w:val="00BA2A35"/>
    <w:rsid w:val="00BA2A91"/>
    <w:rsid w:val="00BA2ACD"/>
    <w:rsid w:val="00BA2B10"/>
    <w:rsid w:val="00BA2DE0"/>
    <w:rsid w:val="00BA2DEE"/>
    <w:rsid w:val="00BA32AF"/>
    <w:rsid w:val="00BA35E2"/>
    <w:rsid w:val="00BA3D4E"/>
    <w:rsid w:val="00BA3DE6"/>
    <w:rsid w:val="00BA3E23"/>
    <w:rsid w:val="00BA410F"/>
    <w:rsid w:val="00BA42F2"/>
    <w:rsid w:val="00BA4360"/>
    <w:rsid w:val="00BA4386"/>
    <w:rsid w:val="00BA4621"/>
    <w:rsid w:val="00BA48A9"/>
    <w:rsid w:val="00BA48FA"/>
    <w:rsid w:val="00BA494C"/>
    <w:rsid w:val="00BA4C0A"/>
    <w:rsid w:val="00BA4D86"/>
    <w:rsid w:val="00BA4E01"/>
    <w:rsid w:val="00BA4E20"/>
    <w:rsid w:val="00BA4EC9"/>
    <w:rsid w:val="00BA4F99"/>
    <w:rsid w:val="00BA517A"/>
    <w:rsid w:val="00BA519E"/>
    <w:rsid w:val="00BA5201"/>
    <w:rsid w:val="00BA528D"/>
    <w:rsid w:val="00BA52B5"/>
    <w:rsid w:val="00BA55D8"/>
    <w:rsid w:val="00BA56BF"/>
    <w:rsid w:val="00BA5741"/>
    <w:rsid w:val="00BA5788"/>
    <w:rsid w:val="00BA58EE"/>
    <w:rsid w:val="00BA59CE"/>
    <w:rsid w:val="00BA5B0B"/>
    <w:rsid w:val="00BA5BE6"/>
    <w:rsid w:val="00BA5C81"/>
    <w:rsid w:val="00BA5D9D"/>
    <w:rsid w:val="00BA5FD0"/>
    <w:rsid w:val="00BA6118"/>
    <w:rsid w:val="00BA618C"/>
    <w:rsid w:val="00BA62DD"/>
    <w:rsid w:val="00BA6422"/>
    <w:rsid w:val="00BA6598"/>
    <w:rsid w:val="00BA66B3"/>
    <w:rsid w:val="00BA68E8"/>
    <w:rsid w:val="00BA6BCC"/>
    <w:rsid w:val="00BA6CD5"/>
    <w:rsid w:val="00BA6D4D"/>
    <w:rsid w:val="00BA6E39"/>
    <w:rsid w:val="00BA6E55"/>
    <w:rsid w:val="00BA6F04"/>
    <w:rsid w:val="00BA6FCA"/>
    <w:rsid w:val="00BA7467"/>
    <w:rsid w:val="00BA769E"/>
    <w:rsid w:val="00BA7736"/>
    <w:rsid w:val="00BA779C"/>
    <w:rsid w:val="00BA7A0C"/>
    <w:rsid w:val="00BA7A39"/>
    <w:rsid w:val="00BA7B43"/>
    <w:rsid w:val="00BA7E1B"/>
    <w:rsid w:val="00BA7E4A"/>
    <w:rsid w:val="00BA7E99"/>
    <w:rsid w:val="00BB0040"/>
    <w:rsid w:val="00BB02EB"/>
    <w:rsid w:val="00BB031B"/>
    <w:rsid w:val="00BB04B9"/>
    <w:rsid w:val="00BB04CC"/>
    <w:rsid w:val="00BB0502"/>
    <w:rsid w:val="00BB0689"/>
    <w:rsid w:val="00BB06F7"/>
    <w:rsid w:val="00BB08A0"/>
    <w:rsid w:val="00BB08AE"/>
    <w:rsid w:val="00BB0E43"/>
    <w:rsid w:val="00BB1488"/>
    <w:rsid w:val="00BB1544"/>
    <w:rsid w:val="00BB1917"/>
    <w:rsid w:val="00BB1C02"/>
    <w:rsid w:val="00BB1D5B"/>
    <w:rsid w:val="00BB228F"/>
    <w:rsid w:val="00BB247F"/>
    <w:rsid w:val="00BB24D3"/>
    <w:rsid w:val="00BB2523"/>
    <w:rsid w:val="00BB263A"/>
    <w:rsid w:val="00BB26D0"/>
    <w:rsid w:val="00BB27D4"/>
    <w:rsid w:val="00BB28B8"/>
    <w:rsid w:val="00BB28C8"/>
    <w:rsid w:val="00BB2A4D"/>
    <w:rsid w:val="00BB2BC9"/>
    <w:rsid w:val="00BB3029"/>
    <w:rsid w:val="00BB311F"/>
    <w:rsid w:val="00BB3196"/>
    <w:rsid w:val="00BB3418"/>
    <w:rsid w:val="00BB34DB"/>
    <w:rsid w:val="00BB3509"/>
    <w:rsid w:val="00BB3566"/>
    <w:rsid w:val="00BB35D5"/>
    <w:rsid w:val="00BB364C"/>
    <w:rsid w:val="00BB37BA"/>
    <w:rsid w:val="00BB38A3"/>
    <w:rsid w:val="00BB3A40"/>
    <w:rsid w:val="00BB3A52"/>
    <w:rsid w:val="00BB3B64"/>
    <w:rsid w:val="00BB3C85"/>
    <w:rsid w:val="00BB3E9B"/>
    <w:rsid w:val="00BB3F2D"/>
    <w:rsid w:val="00BB3F62"/>
    <w:rsid w:val="00BB3F7F"/>
    <w:rsid w:val="00BB4389"/>
    <w:rsid w:val="00BB47AB"/>
    <w:rsid w:val="00BB48FB"/>
    <w:rsid w:val="00BB49AE"/>
    <w:rsid w:val="00BB4B7D"/>
    <w:rsid w:val="00BB4BA1"/>
    <w:rsid w:val="00BB4C3C"/>
    <w:rsid w:val="00BB4CB1"/>
    <w:rsid w:val="00BB4CE5"/>
    <w:rsid w:val="00BB4F7A"/>
    <w:rsid w:val="00BB4F9B"/>
    <w:rsid w:val="00BB504A"/>
    <w:rsid w:val="00BB5065"/>
    <w:rsid w:val="00BB51F4"/>
    <w:rsid w:val="00BB5259"/>
    <w:rsid w:val="00BB536E"/>
    <w:rsid w:val="00BB5502"/>
    <w:rsid w:val="00BB563D"/>
    <w:rsid w:val="00BB5717"/>
    <w:rsid w:val="00BB58A2"/>
    <w:rsid w:val="00BB5ACB"/>
    <w:rsid w:val="00BB5C3D"/>
    <w:rsid w:val="00BB5CFD"/>
    <w:rsid w:val="00BB5F45"/>
    <w:rsid w:val="00BB608E"/>
    <w:rsid w:val="00BB6204"/>
    <w:rsid w:val="00BB6257"/>
    <w:rsid w:val="00BB634D"/>
    <w:rsid w:val="00BB651A"/>
    <w:rsid w:val="00BB65C8"/>
    <w:rsid w:val="00BB65D1"/>
    <w:rsid w:val="00BB6614"/>
    <w:rsid w:val="00BB6769"/>
    <w:rsid w:val="00BB69BA"/>
    <w:rsid w:val="00BB6AAD"/>
    <w:rsid w:val="00BB6BB6"/>
    <w:rsid w:val="00BB6DEA"/>
    <w:rsid w:val="00BB6FE4"/>
    <w:rsid w:val="00BB73A2"/>
    <w:rsid w:val="00BB750D"/>
    <w:rsid w:val="00BB755B"/>
    <w:rsid w:val="00BB75B4"/>
    <w:rsid w:val="00BB75D9"/>
    <w:rsid w:val="00BB763E"/>
    <w:rsid w:val="00BB7699"/>
    <w:rsid w:val="00BB782B"/>
    <w:rsid w:val="00BB7877"/>
    <w:rsid w:val="00BB79CB"/>
    <w:rsid w:val="00BB7B15"/>
    <w:rsid w:val="00BB7BDD"/>
    <w:rsid w:val="00BB7CBA"/>
    <w:rsid w:val="00BB7D9F"/>
    <w:rsid w:val="00BB7E2C"/>
    <w:rsid w:val="00BB7E8C"/>
    <w:rsid w:val="00BB7EFF"/>
    <w:rsid w:val="00BB7F5A"/>
    <w:rsid w:val="00BC02C8"/>
    <w:rsid w:val="00BC02ED"/>
    <w:rsid w:val="00BC0321"/>
    <w:rsid w:val="00BC0578"/>
    <w:rsid w:val="00BC05B7"/>
    <w:rsid w:val="00BC06DA"/>
    <w:rsid w:val="00BC0716"/>
    <w:rsid w:val="00BC0730"/>
    <w:rsid w:val="00BC0B13"/>
    <w:rsid w:val="00BC0B66"/>
    <w:rsid w:val="00BC0BAD"/>
    <w:rsid w:val="00BC0C4E"/>
    <w:rsid w:val="00BC0D6B"/>
    <w:rsid w:val="00BC0D7E"/>
    <w:rsid w:val="00BC0E06"/>
    <w:rsid w:val="00BC0EE7"/>
    <w:rsid w:val="00BC0FB0"/>
    <w:rsid w:val="00BC1083"/>
    <w:rsid w:val="00BC1317"/>
    <w:rsid w:val="00BC136A"/>
    <w:rsid w:val="00BC13D7"/>
    <w:rsid w:val="00BC1437"/>
    <w:rsid w:val="00BC148B"/>
    <w:rsid w:val="00BC148D"/>
    <w:rsid w:val="00BC1493"/>
    <w:rsid w:val="00BC194F"/>
    <w:rsid w:val="00BC19A2"/>
    <w:rsid w:val="00BC19C4"/>
    <w:rsid w:val="00BC1A09"/>
    <w:rsid w:val="00BC1A30"/>
    <w:rsid w:val="00BC1A92"/>
    <w:rsid w:val="00BC1BBE"/>
    <w:rsid w:val="00BC1F13"/>
    <w:rsid w:val="00BC1FC5"/>
    <w:rsid w:val="00BC214F"/>
    <w:rsid w:val="00BC2276"/>
    <w:rsid w:val="00BC2279"/>
    <w:rsid w:val="00BC22D9"/>
    <w:rsid w:val="00BC2458"/>
    <w:rsid w:val="00BC2521"/>
    <w:rsid w:val="00BC25B1"/>
    <w:rsid w:val="00BC268E"/>
    <w:rsid w:val="00BC29A4"/>
    <w:rsid w:val="00BC2B43"/>
    <w:rsid w:val="00BC2CB0"/>
    <w:rsid w:val="00BC2EF7"/>
    <w:rsid w:val="00BC308E"/>
    <w:rsid w:val="00BC30B7"/>
    <w:rsid w:val="00BC3118"/>
    <w:rsid w:val="00BC316B"/>
    <w:rsid w:val="00BC3215"/>
    <w:rsid w:val="00BC36A4"/>
    <w:rsid w:val="00BC37FD"/>
    <w:rsid w:val="00BC3834"/>
    <w:rsid w:val="00BC397D"/>
    <w:rsid w:val="00BC39DF"/>
    <w:rsid w:val="00BC3A05"/>
    <w:rsid w:val="00BC3A54"/>
    <w:rsid w:val="00BC3A9E"/>
    <w:rsid w:val="00BC3D25"/>
    <w:rsid w:val="00BC4049"/>
    <w:rsid w:val="00BC4216"/>
    <w:rsid w:val="00BC4349"/>
    <w:rsid w:val="00BC4481"/>
    <w:rsid w:val="00BC4785"/>
    <w:rsid w:val="00BC48A7"/>
    <w:rsid w:val="00BC4910"/>
    <w:rsid w:val="00BC4C9B"/>
    <w:rsid w:val="00BC4D99"/>
    <w:rsid w:val="00BC4FED"/>
    <w:rsid w:val="00BC505B"/>
    <w:rsid w:val="00BC5217"/>
    <w:rsid w:val="00BC568F"/>
    <w:rsid w:val="00BC56D8"/>
    <w:rsid w:val="00BC56F9"/>
    <w:rsid w:val="00BC5A87"/>
    <w:rsid w:val="00BC5B57"/>
    <w:rsid w:val="00BC5C0E"/>
    <w:rsid w:val="00BC5D38"/>
    <w:rsid w:val="00BC5D6E"/>
    <w:rsid w:val="00BC5EC2"/>
    <w:rsid w:val="00BC614E"/>
    <w:rsid w:val="00BC6318"/>
    <w:rsid w:val="00BC6339"/>
    <w:rsid w:val="00BC64D2"/>
    <w:rsid w:val="00BC65DF"/>
    <w:rsid w:val="00BC6665"/>
    <w:rsid w:val="00BC67AA"/>
    <w:rsid w:val="00BC68AB"/>
    <w:rsid w:val="00BC6980"/>
    <w:rsid w:val="00BC69B6"/>
    <w:rsid w:val="00BC69C4"/>
    <w:rsid w:val="00BC6A52"/>
    <w:rsid w:val="00BC6C52"/>
    <w:rsid w:val="00BC6CEC"/>
    <w:rsid w:val="00BC6D45"/>
    <w:rsid w:val="00BC6D73"/>
    <w:rsid w:val="00BC6DC3"/>
    <w:rsid w:val="00BC6E7D"/>
    <w:rsid w:val="00BC6EDC"/>
    <w:rsid w:val="00BC6FB3"/>
    <w:rsid w:val="00BC731D"/>
    <w:rsid w:val="00BC732B"/>
    <w:rsid w:val="00BC73BE"/>
    <w:rsid w:val="00BC74D9"/>
    <w:rsid w:val="00BC763A"/>
    <w:rsid w:val="00BC78BF"/>
    <w:rsid w:val="00BC799B"/>
    <w:rsid w:val="00BC7B12"/>
    <w:rsid w:val="00BC7BAB"/>
    <w:rsid w:val="00BD010B"/>
    <w:rsid w:val="00BD025B"/>
    <w:rsid w:val="00BD028A"/>
    <w:rsid w:val="00BD0290"/>
    <w:rsid w:val="00BD02A2"/>
    <w:rsid w:val="00BD0453"/>
    <w:rsid w:val="00BD065C"/>
    <w:rsid w:val="00BD0707"/>
    <w:rsid w:val="00BD07C4"/>
    <w:rsid w:val="00BD08AB"/>
    <w:rsid w:val="00BD0A7C"/>
    <w:rsid w:val="00BD0C9D"/>
    <w:rsid w:val="00BD0DED"/>
    <w:rsid w:val="00BD0F4A"/>
    <w:rsid w:val="00BD1036"/>
    <w:rsid w:val="00BD1076"/>
    <w:rsid w:val="00BD13BE"/>
    <w:rsid w:val="00BD13F2"/>
    <w:rsid w:val="00BD1446"/>
    <w:rsid w:val="00BD14E0"/>
    <w:rsid w:val="00BD1594"/>
    <w:rsid w:val="00BD163D"/>
    <w:rsid w:val="00BD16B8"/>
    <w:rsid w:val="00BD1D0E"/>
    <w:rsid w:val="00BD20C5"/>
    <w:rsid w:val="00BD21AF"/>
    <w:rsid w:val="00BD21F3"/>
    <w:rsid w:val="00BD24E3"/>
    <w:rsid w:val="00BD261A"/>
    <w:rsid w:val="00BD2B45"/>
    <w:rsid w:val="00BD2C74"/>
    <w:rsid w:val="00BD2C98"/>
    <w:rsid w:val="00BD2D8A"/>
    <w:rsid w:val="00BD2FD5"/>
    <w:rsid w:val="00BD30E5"/>
    <w:rsid w:val="00BD3218"/>
    <w:rsid w:val="00BD35D0"/>
    <w:rsid w:val="00BD374A"/>
    <w:rsid w:val="00BD3871"/>
    <w:rsid w:val="00BD3D0C"/>
    <w:rsid w:val="00BD3D0D"/>
    <w:rsid w:val="00BD3DCD"/>
    <w:rsid w:val="00BD3E31"/>
    <w:rsid w:val="00BD3FAA"/>
    <w:rsid w:val="00BD437B"/>
    <w:rsid w:val="00BD43CC"/>
    <w:rsid w:val="00BD44C2"/>
    <w:rsid w:val="00BD456E"/>
    <w:rsid w:val="00BD4598"/>
    <w:rsid w:val="00BD463F"/>
    <w:rsid w:val="00BD47BB"/>
    <w:rsid w:val="00BD4A41"/>
    <w:rsid w:val="00BD4A5D"/>
    <w:rsid w:val="00BD4DFB"/>
    <w:rsid w:val="00BD5210"/>
    <w:rsid w:val="00BD52DF"/>
    <w:rsid w:val="00BD53AC"/>
    <w:rsid w:val="00BD53D3"/>
    <w:rsid w:val="00BD543D"/>
    <w:rsid w:val="00BD555A"/>
    <w:rsid w:val="00BD55D7"/>
    <w:rsid w:val="00BD58FE"/>
    <w:rsid w:val="00BD592A"/>
    <w:rsid w:val="00BD59EA"/>
    <w:rsid w:val="00BD6048"/>
    <w:rsid w:val="00BD604D"/>
    <w:rsid w:val="00BD6289"/>
    <w:rsid w:val="00BD638B"/>
    <w:rsid w:val="00BD666F"/>
    <w:rsid w:val="00BD67D6"/>
    <w:rsid w:val="00BD689E"/>
    <w:rsid w:val="00BD699D"/>
    <w:rsid w:val="00BD6C83"/>
    <w:rsid w:val="00BD6D7B"/>
    <w:rsid w:val="00BD6D7E"/>
    <w:rsid w:val="00BD6EDE"/>
    <w:rsid w:val="00BD6FC2"/>
    <w:rsid w:val="00BD71CA"/>
    <w:rsid w:val="00BD7378"/>
    <w:rsid w:val="00BD7489"/>
    <w:rsid w:val="00BD7631"/>
    <w:rsid w:val="00BD7752"/>
    <w:rsid w:val="00BD78D8"/>
    <w:rsid w:val="00BD7ACA"/>
    <w:rsid w:val="00BD7C25"/>
    <w:rsid w:val="00BD7D4D"/>
    <w:rsid w:val="00BD7DC4"/>
    <w:rsid w:val="00BD7F2E"/>
    <w:rsid w:val="00BD7F74"/>
    <w:rsid w:val="00BE0001"/>
    <w:rsid w:val="00BE0037"/>
    <w:rsid w:val="00BE006D"/>
    <w:rsid w:val="00BE028D"/>
    <w:rsid w:val="00BE037F"/>
    <w:rsid w:val="00BE0450"/>
    <w:rsid w:val="00BE0534"/>
    <w:rsid w:val="00BE05C8"/>
    <w:rsid w:val="00BE0612"/>
    <w:rsid w:val="00BE079D"/>
    <w:rsid w:val="00BE07A7"/>
    <w:rsid w:val="00BE07E5"/>
    <w:rsid w:val="00BE07F7"/>
    <w:rsid w:val="00BE0838"/>
    <w:rsid w:val="00BE0DAE"/>
    <w:rsid w:val="00BE0E09"/>
    <w:rsid w:val="00BE1005"/>
    <w:rsid w:val="00BE1181"/>
    <w:rsid w:val="00BE123F"/>
    <w:rsid w:val="00BE136A"/>
    <w:rsid w:val="00BE13BA"/>
    <w:rsid w:val="00BE13DA"/>
    <w:rsid w:val="00BE1414"/>
    <w:rsid w:val="00BE180E"/>
    <w:rsid w:val="00BE1BF9"/>
    <w:rsid w:val="00BE1CEE"/>
    <w:rsid w:val="00BE1D61"/>
    <w:rsid w:val="00BE1EEC"/>
    <w:rsid w:val="00BE20DD"/>
    <w:rsid w:val="00BE221B"/>
    <w:rsid w:val="00BE2239"/>
    <w:rsid w:val="00BE2260"/>
    <w:rsid w:val="00BE2381"/>
    <w:rsid w:val="00BE2623"/>
    <w:rsid w:val="00BE274D"/>
    <w:rsid w:val="00BE2868"/>
    <w:rsid w:val="00BE2898"/>
    <w:rsid w:val="00BE2AB2"/>
    <w:rsid w:val="00BE2AFE"/>
    <w:rsid w:val="00BE2B06"/>
    <w:rsid w:val="00BE2D12"/>
    <w:rsid w:val="00BE2D1A"/>
    <w:rsid w:val="00BE2D87"/>
    <w:rsid w:val="00BE2E8D"/>
    <w:rsid w:val="00BE2F38"/>
    <w:rsid w:val="00BE2F92"/>
    <w:rsid w:val="00BE320B"/>
    <w:rsid w:val="00BE3581"/>
    <w:rsid w:val="00BE3842"/>
    <w:rsid w:val="00BE38ED"/>
    <w:rsid w:val="00BE39A3"/>
    <w:rsid w:val="00BE3BBF"/>
    <w:rsid w:val="00BE3C80"/>
    <w:rsid w:val="00BE3DB6"/>
    <w:rsid w:val="00BE3EE4"/>
    <w:rsid w:val="00BE402F"/>
    <w:rsid w:val="00BE406C"/>
    <w:rsid w:val="00BE41BC"/>
    <w:rsid w:val="00BE424E"/>
    <w:rsid w:val="00BE4350"/>
    <w:rsid w:val="00BE4519"/>
    <w:rsid w:val="00BE45C9"/>
    <w:rsid w:val="00BE465E"/>
    <w:rsid w:val="00BE46E5"/>
    <w:rsid w:val="00BE4759"/>
    <w:rsid w:val="00BE48A3"/>
    <w:rsid w:val="00BE48FE"/>
    <w:rsid w:val="00BE4A26"/>
    <w:rsid w:val="00BE4AED"/>
    <w:rsid w:val="00BE4B52"/>
    <w:rsid w:val="00BE4D9C"/>
    <w:rsid w:val="00BE4E02"/>
    <w:rsid w:val="00BE51CB"/>
    <w:rsid w:val="00BE5286"/>
    <w:rsid w:val="00BE52AB"/>
    <w:rsid w:val="00BE5503"/>
    <w:rsid w:val="00BE55D6"/>
    <w:rsid w:val="00BE5707"/>
    <w:rsid w:val="00BE5961"/>
    <w:rsid w:val="00BE59EE"/>
    <w:rsid w:val="00BE5B45"/>
    <w:rsid w:val="00BE5BA5"/>
    <w:rsid w:val="00BE5BB0"/>
    <w:rsid w:val="00BE5D8E"/>
    <w:rsid w:val="00BE5DF4"/>
    <w:rsid w:val="00BE5F0A"/>
    <w:rsid w:val="00BE5FC9"/>
    <w:rsid w:val="00BE5FD2"/>
    <w:rsid w:val="00BE601F"/>
    <w:rsid w:val="00BE60CF"/>
    <w:rsid w:val="00BE6181"/>
    <w:rsid w:val="00BE61BA"/>
    <w:rsid w:val="00BE62FF"/>
    <w:rsid w:val="00BE6418"/>
    <w:rsid w:val="00BE64F7"/>
    <w:rsid w:val="00BE6596"/>
    <w:rsid w:val="00BE67AE"/>
    <w:rsid w:val="00BE687D"/>
    <w:rsid w:val="00BE6A44"/>
    <w:rsid w:val="00BE6AFF"/>
    <w:rsid w:val="00BE6B69"/>
    <w:rsid w:val="00BE6CDE"/>
    <w:rsid w:val="00BE6E7F"/>
    <w:rsid w:val="00BE6F09"/>
    <w:rsid w:val="00BE6FA9"/>
    <w:rsid w:val="00BE71D5"/>
    <w:rsid w:val="00BE71F2"/>
    <w:rsid w:val="00BE72F5"/>
    <w:rsid w:val="00BE7402"/>
    <w:rsid w:val="00BE74C2"/>
    <w:rsid w:val="00BE751D"/>
    <w:rsid w:val="00BE787D"/>
    <w:rsid w:val="00BE795B"/>
    <w:rsid w:val="00BE797C"/>
    <w:rsid w:val="00BE79A1"/>
    <w:rsid w:val="00BE7B05"/>
    <w:rsid w:val="00BE7C59"/>
    <w:rsid w:val="00BE7E29"/>
    <w:rsid w:val="00BE7F4E"/>
    <w:rsid w:val="00BF021F"/>
    <w:rsid w:val="00BF02B2"/>
    <w:rsid w:val="00BF04AA"/>
    <w:rsid w:val="00BF0698"/>
    <w:rsid w:val="00BF0AAB"/>
    <w:rsid w:val="00BF0D9F"/>
    <w:rsid w:val="00BF0EA3"/>
    <w:rsid w:val="00BF123F"/>
    <w:rsid w:val="00BF1634"/>
    <w:rsid w:val="00BF164B"/>
    <w:rsid w:val="00BF1658"/>
    <w:rsid w:val="00BF1730"/>
    <w:rsid w:val="00BF177D"/>
    <w:rsid w:val="00BF17FB"/>
    <w:rsid w:val="00BF1A9C"/>
    <w:rsid w:val="00BF1AE9"/>
    <w:rsid w:val="00BF1B80"/>
    <w:rsid w:val="00BF1C1F"/>
    <w:rsid w:val="00BF1C83"/>
    <w:rsid w:val="00BF1CED"/>
    <w:rsid w:val="00BF1DCA"/>
    <w:rsid w:val="00BF1E0B"/>
    <w:rsid w:val="00BF1EBB"/>
    <w:rsid w:val="00BF1FE4"/>
    <w:rsid w:val="00BF20F8"/>
    <w:rsid w:val="00BF2320"/>
    <w:rsid w:val="00BF243C"/>
    <w:rsid w:val="00BF2553"/>
    <w:rsid w:val="00BF294B"/>
    <w:rsid w:val="00BF295E"/>
    <w:rsid w:val="00BF29E0"/>
    <w:rsid w:val="00BF2CB8"/>
    <w:rsid w:val="00BF2E46"/>
    <w:rsid w:val="00BF2E4D"/>
    <w:rsid w:val="00BF2F7C"/>
    <w:rsid w:val="00BF2FB5"/>
    <w:rsid w:val="00BF2FBD"/>
    <w:rsid w:val="00BF3012"/>
    <w:rsid w:val="00BF3204"/>
    <w:rsid w:val="00BF35B5"/>
    <w:rsid w:val="00BF3617"/>
    <w:rsid w:val="00BF374D"/>
    <w:rsid w:val="00BF38B2"/>
    <w:rsid w:val="00BF3923"/>
    <w:rsid w:val="00BF39FD"/>
    <w:rsid w:val="00BF3A36"/>
    <w:rsid w:val="00BF3AFD"/>
    <w:rsid w:val="00BF3B60"/>
    <w:rsid w:val="00BF3D59"/>
    <w:rsid w:val="00BF3E38"/>
    <w:rsid w:val="00BF4028"/>
    <w:rsid w:val="00BF41C2"/>
    <w:rsid w:val="00BF454B"/>
    <w:rsid w:val="00BF4669"/>
    <w:rsid w:val="00BF4681"/>
    <w:rsid w:val="00BF46B1"/>
    <w:rsid w:val="00BF46CE"/>
    <w:rsid w:val="00BF4979"/>
    <w:rsid w:val="00BF49F7"/>
    <w:rsid w:val="00BF4C94"/>
    <w:rsid w:val="00BF4DB9"/>
    <w:rsid w:val="00BF5107"/>
    <w:rsid w:val="00BF5193"/>
    <w:rsid w:val="00BF51BE"/>
    <w:rsid w:val="00BF561C"/>
    <w:rsid w:val="00BF561F"/>
    <w:rsid w:val="00BF58D6"/>
    <w:rsid w:val="00BF5CC6"/>
    <w:rsid w:val="00BF5CEB"/>
    <w:rsid w:val="00BF5D89"/>
    <w:rsid w:val="00BF6205"/>
    <w:rsid w:val="00BF6332"/>
    <w:rsid w:val="00BF65A1"/>
    <w:rsid w:val="00BF65A8"/>
    <w:rsid w:val="00BF6701"/>
    <w:rsid w:val="00BF6792"/>
    <w:rsid w:val="00BF68DC"/>
    <w:rsid w:val="00BF6A25"/>
    <w:rsid w:val="00BF6B00"/>
    <w:rsid w:val="00BF6C46"/>
    <w:rsid w:val="00BF6D5C"/>
    <w:rsid w:val="00BF701D"/>
    <w:rsid w:val="00BF7592"/>
    <w:rsid w:val="00BF75F1"/>
    <w:rsid w:val="00BF7844"/>
    <w:rsid w:val="00BF7942"/>
    <w:rsid w:val="00BF7997"/>
    <w:rsid w:val="00BF7A75"/>
    <w:rsid w:val="00BF7BBF"/>
    <w:rsid w:val="00BF7C3F"/>
    <w:rsid w:val="00BF7D65"/>
    <w:rsid w:val="00BF7DE5"/>
    <w:rsid w:val="00BF7F20"/>
    <w:rsid w:val="00C0012E"/>
    <w:rsid w:val="00C00210"/>
    <w:rsid w:val="00C004A2"/>
    <w:rsid w:val="00C004C4"/>
    <w:rsid w:val="00C0075B"/>
    <w:rsid w:val="00C00775"/>
    <w:rsid w:val="00C00849"/>
    <w:rsid w:val="00C00991"/>
    <w:rsid w:val="00C00C49"/>
    <w:rsid w:val="00C00E1E"/>
    <w:rsid w:val="00C0101F"/>
    <w:rsid w:val="00C01242"/>
    <w:rsid w:val="00C016E7"/>
    <w:rsid w:val="00C01819"/>
    <w:rsid w:val="00C01A2B"/>
    <w:rsid w:val="00C01D29"/>
    <w:rsid w:val="00C01D78"/>
    <w:rsid w:val="00C01E07"/>
    <w:rsid w:val="00C01F55"/>
    <w:rsid w:val="00C02268"/>
    <w:rsid w:val="00C02475"/>
    <w:rsid w:val="00C027FD"/>
    <w:rsid w:val="00C028F5"/>
    <w:rsid w:val="00C029BF"/>
    <w:rsid w:val="00C02BBC"/>
    <w:rsid w:val="00C02C5C"/>
    <w:rsid w:val="00C02D39"/>
    <w:rsid w:val="00C02E6B"/>
    <w:rsid w:val="00C02F82"/>
    <w:rsid w:val="00C02FE5"/>
    <w:rsid w:val="00C0339F"/>
    <w:rsid w:val="00C03402"/>
    <w:rsid w:val="00C0345F"/>
    <w:rsid w:val="00C03619"/>
    <w:rsid w:val="00C03728"/>
    <w:rsid w:val="00C0375E"/>
    <w:rsid w:val="00C03822"/>
    <w:rsid w:val="00C03942"/>
    <w:rsid w:val="00C03958"/>
    <w:rsid w:val="00C03D8B"/>
    <w:rsid w:val="00C03DB7"/>
    <w:rsid w:val="00C03F77"/>
    <w:rsid w:val="00C04345"/>
    <w:rsid w:val="00C043B2"/>
    <w:rsid w:val="00C04554"/>
    <w:rsid w:val="00C04851"/>
    <w:rsid w:val="00C04BA7"/>
    <w:rsid w:val="00C04BF4"/>
    <w:rsid w:val="00C04C4F"/>
    <w:rsid w:val="00C04C7E"/>
    <w:rsid w:val="00C04CBC"/>
    <w:rsid w:val="00C04D3C"/>
    <w:rsid w:val="00C04D59"/>
    <w:rsid w:val="00C04D84"/>
    <w:rsid w:val="00C04E6E"/>
    <w:rsid w:val="00C05211"/>
    <w:rsid w:val="00C05266"/>
    <w:rsid w:val="00C052CF"/>
    <w:rsid w:val="00C052DD"/>
    <w:rsid w:val="00C05377"/>
    <w:rsid w:val="00C0541C"/>
    <w:rsid w:val="00C05446"/>
    <w:rsid w:val="00C054D9"/>
    <w:rsid w:val="00C057B8"/>
    <w:rsid w:val="00C058EA"/>
    <w:rsid w:val="00C05B33"/>
    <w:rsid w:val="00C05CA4"/>
    <w:rsid w:val="00C05EC5"/>
    <w:rsid w:val="00C05ECC"/>
    <w:rsid w:val="00C06192"/>
    <w:rsid w:val="00C064CF"/>
    <w:rsid w:val="00C067B5"/>
    <w:rsid w:val="00C0689A"/>
    <w:rsid w:val="00C069BC"/>
    <w:rsid w:val="00C06A3E"/>
    <w:rsid w:val="00C06ADF"/>
    <w:rsid w:val="00C06D68"/>
    <w:rsid w:val="00C06D8B"/>
    <w:rsid w:val="00C06DFE"/>
    <w:rsid w:val="00C06EA0"/>
    <w:rsid w:val="00C06ECF"/>
    <w:rsid w:val="00C06F80"/>
    <w:rsid w:val="00C07006"/>
    <w:rsid w:val="00C07333"/>
    <w:rsid w:val="00C07684"/>
    <w:rsid w:val="00C07746"/>
    <w:rsid w:val="00C078F0"/>
    <w:rsid w:val="00C0793C"/>
    <w:rsid w:val="00C07A11"/>
    <w:rsid w:val="00C07A5F"/>
    <w:rsid w:val="00C07B37"/>
    <w:rsid w:val="00C07BC1"/>
    <w:rsid w:val="00C07C05"/>
    <w:rsid w:val="00C07C2F"/>
    <w:rsid w:val="00C07E0C"/>
    <w:rsid w:val="00C07E2F"/>
    <w:rsid w:val="00C07F90"/>
    <w:rsid w:val="00C10165"/>
    <w:rsid w:val="00C10183"/>
    <w:rsid w:val="00C10261"/>
    <w:rsid w:val="00C102C5"/>
    <w:rsid w:val="00C1043F"/>
    <w:rsid w:val="00C1051F"/>
    <w:rsid w:val="00C10583"/>
    <w:rsid w:val="00C105C9"/>
    <w:rsid w:val="00C10795"/>
    <w:rsid w:val="00C10AAA"/>
    <w:rsid w:val="00C10B7B"/>
    <w:rsid w:val="00C10B99"/>
    <w:rsid w:val="00C10BAF"/>
    <w:rsid w:val="00C10BBF"/>
    <w:rsid w:val="00C10DE5"/>
    <w:rsid w:val="00C10F2D"/>
    <w:rsid w:val="00C1111D"/>
    <w:rsid w:val="00C111D0"/>
    <w:rsid w:val="00C11461"/>
    <w:rsid w:val="00C1155F"/>
    <w:rsid w:val="00C11592"/>
    <w:rsid w:val="00C1169D"/>
    <w:rsid w:val="00C1179A"/>
    <w:rsid w:val="00C11839"/>
    <w:rsid w:val="00C11905"/>
    <w:rsid w:val="00C11916"/>
    <w:rsid w:val="00C11A43"/>
    <w:rsid w:val="00C11AF0"/>
    <w:rsid w:val="00C11E8A"/>
    <w:rsid w:val="00C12092"/>
    <w:rsid w:val="00C120B5"/>
    <w:rsid w:val="00C12184"/>
    <w:rsid w:val="00C12196"/>
    <w:rsid w:val="00C121B8"/>
    <w:rsid w:val="00C12297"/>
    <w:rsid w:val="00C12518"/>
    <w:rsid w:val="00C12676"/>
    <w:rsid w:val="00C127A6"/>
    <w:rsid w:val="00C1284E"/>
    <w:rsid w:val="00C1286B"/>
    <w:rsid w:val="00C12A99"/>
    <w:rsid w:val="00C12B32"/>
    <w:rsid w:val="00C12C9F"/>
    <w:rsid w:val="00C12E64"/>
    <w:rsid w:val="00C12FC1"/>
    <w:rsid w:val="00C130CB"/>
    <w:rsid w:val="00C13245"/>
    <w:rsid w:val="00C13485"/>
    <w:rsid w:val="00C135F2"/>
    <w:rsid w:val="00C135FA"/>
    <w:rsid w:val="00C1374E"/>
    <w:rsid w:val="00C137CC"/>
    <w:rsid w:val="00C13917"/>
    <w:rsid w:val="00C13979"/>
    <w:rsid w:val="00C13D63"/>
    <w:rsid w:val="00C13DE5"/>
    <w:rsid w:val="00C13E80"/>
    <w:rsid w:val="00C14100"/>
    <w:rsid w:val="00C144E8"/>
    <w:rsid w:val="00C14543"/>
    <w:rsid w:val="00C1465A"/>
    <w:rsid w:val="00C14F7B"/>
    <w:rsid w:val="00C15142"/>
    <w:rsid w:val="00C15348"/>
    <w:rsid w:val="00C1538E"/>
    <w:rsid w:val="00C1559C"/>
    <w:rsid w:val="00C1566F"/>
    <w:rsid w:val="00C1584F"/>
    <w:rsid w:val="00C15B65"/>
    <w:rsid w:val="00C15BF5"/>
    <w:rsid w:val="00C15F33"/>
    <w:rsid w:val="00C15FF6"/>
    <w:rsid w:val="00C1605A"/>
    <w:rsid w:val="00C1614A"/>
    <w:rsid w:val="00C16808"/>
    <w:rsid w:val="00C1683B"/>
    <w:rsid w:val="00C16BC4"/>
    <w:rsid w:val="00C16C74"/>
    <w:rsid w:val="00C16E54"/>
    <w:rsid w:val="00C171C8"/>
    <w:rsid w:val="00C17276"/>
    <w:rsid w:val="00C173BD"/>
    <w:rsid w:val="00C173DD"/>
    <w:rsid w:val="00C17402"/>
    <w:rsid w:val="00C174EF"/>
    <w:rsid w:val="00C17544"/>
    <w:rsid w:val="00C175E0"/>
    <w:rsid w:val="00C1762D"/>
    <w:rsid w:val="00C17748"/>
    <w:rsid w:val="00C1776D"/>
    <w:rsid w:val="00C17937"/>
    <w:rsid w:val="00C179C1"/>
    <w:rsid w:val="00C17B78"/>
    <w:rsid w:val="00C2007C"/>
    <w:rsid w:val="00C20322"/>
    <w:rsid w:val="00C2032F"/>
    <w:rsid w:val="00C20372"/>
    <w:rsid w:val="00C20459"/>
    <w:rsid w:val="00C204E2"/>
    <w:rsid w:val="00C20653"/>
    <w:rsid w:val="00C208BE"/>
    <w:rsid w:val="00C20958"/>
    <w:rsid w:val="00C20A07"/>
    <w:rsid w:val="00C20A4A"/>
    <w:rsid w:val="00C20BB8"/>
    <w:rsid w:val="00C20C89"/>
    <w:rsid w:val="00C20C97"/>
    <w:rsid w:val="00C20DD3"/>
    <w:rsid w:val="00C20E5A"/>
    <w:rsid w:val="00C210CF"/>
    <w:rsid w:val="00C212AA"/>
    <w:rsid w:val="00C213AD"/>
    <w:rsid w:val="00C213BF"/>
    <w:rsid w:val="00C213E6"/>
    <w:rsid w:val="00C21410"/>
    <w:rsid w:val="00C21536"/>
    <w:rsid w:val="00C21F29"/>
    <w:rsid w:val="00C221B2"/>
    <w:rsid w:val="00C22336"/>
    <w:rsid w:val="00C22528"/>
    <w:rsid w:val="00C2257F"/>
    <w:rsid w:val="00C22610"/>
    <w:rsid w:val="00C2272E"/>
    <w:rsid w:val="00C22802"/>
    <w:rsid w:val="00C22A1C"/>
    <w:rsid w:val="00C22C1B"/>
    <w:rsid w:val="00C22C3E"/>
    <w:rsid w:val="00C22D0B"/>
    <w:rsid w:val="00C22FD1"/>
    <w:rsid w:val="00C23063"/>
    <w:rsid w:val="00C230B0"/>
    <w:rsid w:val="00C230DA"/>
    <w:rsid w:val="00C2328C"/>
    <w:rsid w:val="00C232BE"/>
    <w:rsid w:val="00C233F5"/>
    <w:rsid w:val="00C23458"/>
    <w:rsid w:val="00C23570"/>
    <w:rsid w:val="00C235B3"/>
    <w:rsid w:val="00C23658"/>
    <w:rsid w:val="00C23777"/>
    <w:rsid w:val="00C23C98"/>
    <w:rsid w:val="00C23CA4"/>
    <w:rsid w:val="00C23F3A"/>
    <w:rsid w:val="00C240D5"/>
    <w:rsid w:val="00C2441B"/>
    <w:rsid w:val="00C2457A"/>
    <w:rsid w:val="00C245BC"/>
    <w:rsid w:val="00C24725"/>
    <w:rsid w:val="00C24751"/>
    <w:rsid w:val="00C24784"/>
    <w:rsid w:val="00C24813"/>
    <w:rsid w:val="00C24868"/>
    <w:rsid w:val="00C24929"/>
    <w:rsid w:val="00C24941"/>
    <w:rsid w:val="00C24A17"/>
    <w:rsid w:val="00C24A1F"/>
    <w:rsid w:val="00C24BD4"/>
    <w:rsid w:val="00C24C45"/>
    <w:rsid w:val="00C24D2F"/>
    <w:rsid w:val="00C24E02"/>
    <w:rsid w:val="00C25179"/>
    <w:rsid w:val="00C251CC"/>
    <w:rsid w:val="00C25264"/>
    <w:rsid w:val="00C25286"/>
    <w:rsid w:val="00C252C9"/>
    <w:rsid w:val="00C253F9"/>
    <w:rsid w:val="00C25587"/>
    <w:rsid w:val="00C255E5"/>
    <w:rsid w:val="00C258A1"/>
    <w:rsid w:val="00C25B10"/>
    <w:rsid w:val="00C25BEB"/>
    <w:rsid w:val="00C25C3D"/>
    <w:rsid w:val="00C25C51"/>
    <w:rsid w:val="00C25C68"/>
    <w:rsid w:val="00C25D1A"/>
    <w:rsid w:val="00C25E58"/>
    <w:rsid w:val="00C25F7B"/>
    <w:rsid w:val="00C26219"/>
    <w:rsid w:val="00C26221"/>
    <w:rsid w:val="00C2662E"/>
    <w:rsid w:val="00C26699"/>
    <w:rsid w:val="00C266A0"/>
    <w:rsid w:val="00C266A1"/>
    <w:rsid w:val="00C267B7"/>
    <w:rsid w:val="00C267B8"/>
    <w:rsid w:val="00C26AFF"/>
    <w:rsid w:val="00C26C8D"/>
    <w:rsid w:val="00C26D5D"/>
    <w:rsid w:val="00C26E54"/>
    <w:rsid w:val="00C26FEB"/>
    <w:rsid w:val="00C2716D"/>
    <w:rsid w:val="00C273BF"/>
    <w:rsid w:val="00C27700"/>
    <w:rsid w:val="00C278E4"/>
    <w:rsid w:val="00C27A04"/>
    <w:rsid w:val="00C27B06"/>
    <w:rsid w:val="00C27B9A"/>
    <w:rsid w:val="00C27CEF"/>
    <w:rsid w:val="00C27D14"/>
    <w:rsid w:val="00C27F9A"/>
    <w:rsid w:val="00C301AF"/>
    <w:rsid w:val="00C301FC"/>
    <w:rsid w:val="00C304A1"/>
    <w:rsid w:val="00C304B2"/>
    <w:rsid w:val="00C3066C"/>
    <w:rsid w:val="00C3066F"/>
    <w:rsid w:val="00C30789"/>
    <w:rsid w:val="00C308D1"/>
    <w:rsid w:val="00C308F2"/>
    <w:rsid w:val="00C30921"/>
    <w:rsid w:val="00C3095D"/>
    <w:rsid w:val="00C30DF9"/>
    <w:rsid w:val="00C30E57"/>
    <w:rsid w:val="00C30E75"/>
    <w:rsid w:val="00C30F1A"/>
    <w:rsid w:val="00C31138"/>
    <w:rsid w:val="00C31359"/>
    <w:rsid w:val="00C31385"/>
    <w:rsid w:val="00C31451"/>
    <w:rsid w:val="00C3182C"/>
    <w:rsid w:val="00C31B74"/>
    <w:rsid w:val="00C31BAB"/>
    <w:rsid w:val="00C31FB6"/>
    <w:rsid w:val="00C3211E"/>
    <w:rsid w:val="00C321C5"/>
    <w:rsid w:val="00C3228E"/>
    <w:rsid w:val="00C324F9"/>
    <w:rsid w:val="00C32538"/>
    <w:rsid w:val="00C3260D"/>
    <w:rsid w:val="00C32847"/>
    <w:rsid w:val="00C32973"/>
    <w:rsid w:val="00C32AA9"/>
    <w:rsid w:val="00C32C81"/>
    <w:rsid w:val="00C32CFD"/>
    <w:rsid w:val="00C32DC3"/>
    <w:rsid w:val="00C32F23"/>
    <w:rsid w:val="00C32F68"/>
    <w:rsid w:val="00C33061"/>
    <w:rsid w:val="00C330F7"/>
    <w:rsid w:val="00C33378"/>
    <w:rsid w:val="00C33425"/>
    <w:rsid w:val="00C33453"/>
    <w:rsid w:val="00C3355C"/>
    <w:rsid w:val="00C3371E"/>
    <w:rsid w:val="00C33842"/>
    <w:rsid w:val="00C338BD"/>
    <w:rsid w:val="00C339F0"/>
    <w:rsid w:val="00C33A5A"/>
    <w:rsid w:val="00C33B7C"/>
    <w:rsid w:val="00C33E17"/>
    <w:rsid w:val="00C33FD2"/>
    <w:rsid w:val="00C34013"/>
    <w:rsid w:val="00C34137"/>
    <w:rsid w:val="00C34143"/>
    <w:rsid w:val="00C34269"/>
    <w:rsid w:val="00C342C8"/>
    <w:rsid w:val="00C34369"/>
    <w:rsid w:val="00C343FB"/>
    <w:rsid w:val="00C345A2"/>
    <w:rsid w:val="00C346A3"/>
    <w:rsid w:val="00C347E1"/>
    <w:rsid w:val="00C34865"/>
    <w:rsid w:val="00C34922"/>
    <w:rsid w:val="00C34B02"/>
    <w:rsid w:val="00C34CCB"/>
    <w:rsid w:val="00C350B2"/>
    <w:rsid w:val="00C35293"/>
    <w:rsid w:val="00C352BA"/>
    <w:rsid w:val="00C354E6"/>
    <w:rsid w:val="00C354E7"/>
    <w:rsid w:val="00C355D7"/>
    <w:rsid w:val="00C35769"/>
    <w:rsid w:val="00C3592D"/>
    <w:rsid w:val="00C35B36"/>
    <w:rsid w:val="00C35BF4"/>
    <w:rsid w:val="00C35C9E"/>
    <w:rsid w:val="00C35D90"/>
    <w:rsid w:val="00C35E48"/>
    <w:rsid w:val="00C36118"/>
    <w:rsid w:val="00C3614A"/>
    <w:rsid w:val="00C36190"/>
    <w:rsid w:val="00C36222"/>
    <w:rsid w:val="00C362CD"/>
    <w:rsid w:val="00C3644B"/>
    <w:rsid w:val="00C364AF"/>
    <w:rsid w:val="00C36698"/>
    <w:rsid w:val="00C3693D"/>
    <w:rsid w:val="00C36BC4"/>
    <w:rsid w:val="00C36D8A"/>
    <w:rsid w:val="00C36DEE"/>
    <w:rsid w:val="00C36E1D"/>
    <w:rsid w:val="00C36E29"/>
    <w:rsid w:val="00C37120"/>
    <w:rsid w:val="00C371BF"/>
    <w:rsid w:val="00C3724A"/>
    <w:rsid w:val="00C37290"/>
    <w:rsid w:val="00C372FC"/>
    <w:rsid w:val="00C3735E"/>
    <w:rsid w:val="00C37380"/>
    <w:rsid w:val="00C373D4"/>
    <w:rsid w:val="00C3741A"/>
    <w:rsid w:val="00C3743E"/>
    <w:rsid w:val="00C37670"/>
    <w:rsid w:val="00C37674"/>
    <w:rsid w:val="00C378A5"/>
    <w:rsid w:val="00C378AB"/>
    <w:rsid w:val="00C378EB"/>
    <w:rsid w:val="00C379AC"/>
    <w:rsid w:val="00C37A8E"/>
    <w:rsid w:val="00C37C07"/>
    <w:rsid w:val="00C37D3B"/>
    <w:rsid w:val="00C37F4B"/>
    <w:rsid w:val="00C40049"/>
    <w:rsid w:val="00C40135"/>
    <w:rsid w:val="00C4025F"/>
    <w:rsid w:val="00C4041B"/>
    <w:rsid w:val="00C40483"/>
    <w:rsid w:val="00C40607"/>
    <w:rsid w:val="00C407BE"/>
    <w:rsid w:val="00C40914"/>
    <w:rsid w:val="00C40B1C"/>
    <w:rsid w:val="00C40CC0"/>
    <w:rsid w:val="00C41128"/>
    <w:rsid w:val="00C4134F"/>
    <w:rsid w:val="00C41398"/>
    <w:rsid w:val="00C415DF"/>
    <w:rsid w:val="00C416D2"/>
    <w:rsid w:val="00C4170F"/>
    <w:rsid w:val="00C4184F"/>
    <w:rsid w:val="00C421B0"/>
    <w:rsid w:val="00C42268"/>
    <w:rsid w:val="00C422EE"/>
    <w:rsid w:val="00C423B9"/>
    <w:rsid w:val="00C42412"/>
    <w:rsid w:val="00C426E8"/>
    <w:rsid w:val="00C42778"/>
    <w:rsid w:val="00C42787"/>
    <w:rsid w:val="00C4287B"/>
    <w:rsid w:val="00C4287E"/>
    <w:rsid w:val="00C428A3"/>
    <w:rsid w:val="00C428E0"/>
    <w:rsid w:val="00C42AFF"/>
    <w:rsid w:val="00C42B5F"/>
    <w:rsid w:val="00C42BBA"/>
    <w:rsid w:val="00C42C2F"/>
    <w:rsid w:val="00C42C7B"/>
    <w:rsid w:val="00C42DD9"/>
    <w:rsid w:val="00C42E27"/>
    <w:rsid w:val="00C42E3C"/>
    <w:rsid w:val="00C42F9D"/>
    <w:rsid w:val="00C4301A"/>
    <w:rsid w:val="00C4309C"/>
    <w:rsid w:val="00C432EB"/>
    <w:rsid w:val="00C4346D"/>
    <w:rsid w:val="00C436AA"/>
    <w:rsid w:val="00C436AB"/>
    <w:rsid w:val="00C4372D"/>
    <w:rsid w:val="00C43AC3"/>
    <w:rsid w:val="00C43B9C"/>
    <w:rsid w:val="00C43C82"/>
    <w:rsid w:val="00C43CA9"/>
    <w:rsid w:val="00C43CAE"/>
    <w:rsid w:val="00C43CC6"/>
    <w:rsid w:val="00C43F3D"/>
    <w:rsid w:val="00C44273"/>
    <w:rsid w:val="00C442A0"/>
    <w:rsid w:val="00C44486"/>
    <w:rsid w:val="00C4476D"/>
    <w:rsid w:val="00C44969"/>
    <w:rsid w:val="00C44FE8"/>
    <w:rsid w:val="00C450FE"/>
    <w:rsid w:val="00C4536D"/>
    <w:rsid w:val="00C453DD"/>
    <w:rsid w:val="00C45602"/>
    <w:rsid w:val="00C4575B"/>
    <w:rsid w:val="00C459F8"/>
    <w:rsid w:val="00C45B70"/>
    <w:rsid w:val="00C45BD0"/>
    <w:rsid w:val="00C45C16"/>
    <w:rsid w:val="00C45C7C"/>
    <w:rsid w:val="00C45D17"/>
    <w:rsid w:val="00C45DBE"/>
    <w:rsid w:val="00C45E45"/>
    <w:rsid w:val="00C45EB5"/>
    <w:rsid w:val="00C45EEE"/>
    <w:rsid w:val="00C45F4E"/>
    <w:rsid w:val="00C460DF"/>
    <w:rsid w:val="00C461E0"/>
    <w:rsid w:val="00C4624E"/>
    <w:rsid w:val="00C462FB"/>
    <w:rsid w:val="00C464DA"/>
    <w:rsid w:val="00C46615"/>
    <w:rsid w:val="00C4662F"/>
    <w:rsid w:val="00C466C7"/>
    <w:rsid w:val="00C4676E"/>
    <w:rsid w:val="00C468B2"/>
    <w:rsid w:val="00C468CD"/>
    <w:rsid w:val="00C46A11"/>
    <w:rsid w:val="00C46A78"/>
    <w:rsid w:val="00C46A80"/>
    <w:rsid w:val="00C47076"/>
    <w:rsid w:val="00C47270"/>
    <w:rsid w:val="00C47357"/>
    <w:rsid w:val="00C475C0"/>
    <w:rsid w:val="00C4778C"/>
    <w:rsid w:val="00C477ED"/>
    <w:rsid w:val="00C47A69"/>
    <w:rsid w:val="00C47A89"/>
    <w:rsid w:val="00C47ADD"/>
    <w:rsid w:val="00C47EAA"/>
    <w:rsid w:val="00C47F18"/>
    <w:rsid w:val="00C503C9"/>
    <w:rsid w:val="00C50515"/>
    <w:rsid w:val="00C5073A"/>
    <w:rsid w:val="00C509B3"/>
    <w:rsid w:val="00C50B47"/>
    <w:rsid w:val="00C50C3B"/>
    <w:rsid w:val="00C50C5C"/>
    <w:rsid w:val="00C50CAC"/>
    <w:rsid w:val="00C50E9F"/>
    <w:rsid w:val="00C510C7"/>
    <w:rsid w:val="00C5128B"/>
    <w:rsid w:val="00C51439"/>
    <w:rsid w:val="00C5146F"/>
    <w:rsid w:val="00C5163C"/>
    <w:rsid w:val="00C516DC"/>
    <w:rsid w:val="00C51A32"/>
    <w:rsid w:val="00C51BE0"/>
    <w:rsid w:val="00C51DDB"/>
    <w:rsid w:val="00C52029"/>
    <w:rsid w:val="00C5203A"/>
    <w:rsid w:val="00C520D3"/>
    <w:rsid w:val="00C520E6"/>
    <w:rsid w:val="00C523F3"/>
    <w:rsid w:val="00C52898"/>
    <w:rsid w:val="00C52985"/>
    <w:rsid w:val="00C52998"/>
    <w:rsid w:val="00C529A4"/>
    <w:rsid w:val="00C52D11"/>
    <w:rsid w:val="00C52DF5"/>
    <w:rsid w:val="00C52E0D"/>
    <w:rsid w:val="00C52E60"/>
    <w:rsid w:val="00C52E9F"/>
    <w:rsid w:val="00C53135"/>
    <w:rsid w:val="00C531CF"/>
    <w:rsid w:val="00C5344D"/>
    <w:rsid w:val="00C5354D"/>
    <w:rsid w:val="00C53570"/>
    <w:rsid w:val="00C53683"/>
    <w:rsid w:val="00C537F0"/>
    <w:rsid w:val="00C53816"/>
    <w:rsid w:val="00C53A50"/>
    <w:rsid w:val="00C53B34"/>
    <w:rsid w:val="00C53B39"/>
    <w:rsid w:val="00C53C15"/>
    <w:rsid w:val="00C53C29"/>
    <w:rsid w:val="00C53FED"/>
    <w:rsid w:val="00C540F7"/>
    <w:rsid w:val="00C542AE"/>
    <w:rsid w:val="00C54334"/>
    <w:rsid w:val="00C5479A"/>
    <w:rsid w:val="00C547DB"/>
    <w:rsid w:val="00C547E6"/>
    <w:rsid w:val="00C5481A"/>
    <w:rsid w:val="00C54971"/>
    <w:rsid w:val="00C5499F"/>
    <w:rsid w:val="00C549C9"/>
    <w:rsid w:val="00C54A59"/>
    <w:rsid w:val="00C54BB5"/>
    <w:rsid w:val="00C54C24"/>
    <w:rsid w:val="00C54C2F"/>
    <w:rsid w:val="00C54D86"/>
    <w:rsid w:val="00C54DA2"/>
    <w:rsid w:val="00C54DBA"/>
    <w:rsid w:val="00C5502F"/>
    <w:rsid w:val="00C55243"/>
    <w:rsid w:val="00C55479"/>
    <w:rsid w:val="00C55517"/>
    <w:rsid w:val="00C555A9"/>
    <w:rsid w:val="00C556E1"/>
    <w:rsid w:val="00C55785"/>
    <w:rsid w:val="00C557A9"/>
    <w:rsid w:val="00C557B6"/>
    <w:rsid w:val="00C55921"/>
    <w:rsid w:val="00C55935"/>
    <w:rsid w:val="00C559FB"/>
    <w:rsid w:val="00C55B31"/>
    <w:rsid w:val="00C55C0C"/>
    <w:rsid w:val="00C55C8C"/>
    <w:rsid w:val="00C55DA3"/>
    <w:rsid w:val="00C55F4C"/>
    <w:rsid w:val="00C560D3"/>
    <w:rsid w:val="00C561E7"/>
    <w:rsid w:val="00C56212"/>
    <w:rsid w:val="00C5629D"/>
    <w:rsid w:val="00C56328"/>
    <w:rsid w:val="00C56361"/>
    <w:rsid w:val="00C5640B"/>
    <w:rsid w:val="00C565A1"/>
    <w:rsid w:val="00C56625"/>
    <w:rsid w:val="00C567B0"/>
    <w:rsid w:val="00C5687F"/>
    <w:rsid w:val="00C568F7"/>
    <w:rsid w:val="00C56925"/>
    <w:rsid w:val="00C56B41"/>
    <w:rsid w:val="00C56D32"/>
    <w:rsid w:val="00C56FFA"/>
    <w:rsid w:val="00C5706D"/>
    <w:rsid w:val="00C57132"/>
    <w:rsid w:val="00C5719D"/>
    <w:rsid w:val="00C5730C"/>
    <w:rsid w:val="00C57318"/>
    <w:rsid w:val="00C57369"/>
    <w:rsid w:val="00C57448"/>
    <w:rsid w:val="00C57489"/>
    <w:rsid w:val="00C574E4"/>
    <w:rsid w:val="00C575FA"/>
    <w:rsid w:val="00C57618"/>
    <w:rsid w:val="00C57645"/>
    <w:rsid w:val="00C57818"/>
    <w:rsid w:val="00C5783E"/>
    <w:rsid w:val="00C578E1"/>
    <w:rsid w:val="00C57B4A"/>
    <w:rsid w:val="00C57D3C"/>
    <w:rsid w:val="00C57DC9"/>
    <w:rsid w:val="00C57E27"/>
    <w:rsid w:val="00C602F7"/>
    <w:rsid w:val="00C6083F"/>
    <w:rsid w:val="00C60A0F"/>
    <w:rsid w:val="00C60A92"/>
    <w:rsid w:val="00C60C1C"/>
    <w:rsid w:val="00C60F1B"/>
    <w:rsid w:val="00C60F1D"/>
    <w:rsid w:val="00C61086"/>
    <w:rsid w:val="00C610E1"/>
    <w:rsid w:val="00C61156"/>
    <w:rsid w:val="00C61553"/>
    <w:rsid w:val="00C61831"/>
    <w:rsid w:val="00C6183B"/>
    <w:rsid w:val="00C61A31"/>
    <w:rsid w:val="00C61B70"/>
    <w:rsid w:val="00C61E10"/>
    <w:rsid w:val="00C6202B"/>
    <w:rsid w:val="00C620D5"/>
    <w:rsid w:val="00C6227A"/>
    <w:rsid w:val="00C623B1"/>
    <w:rsid w:val="00C623CD"/>
    <w:rsid w:val="00C6246A"/>
    <w:rsid w:val="00C624C1"/>
    <w:rsid w:val="00C625CE"/>
    <w:rsid w:val="00C62648"/>
    <w:rsid w:val="00C62899"/>
    <w:rsid w:val="00C62A44"/>
    <w:rsid w:val="00C62B24"/>
    <w:rsid w:val="00C62B81"/>
    <w:rsid w:val="00C62C23"/>
    <w:rsid w:val="00C62C65"/>
    <w:rsid w:val="00C62CCE"/>
    <w:rsid w:val="00C62DE3"/>
    <w:rsid w:val="00C62ED3"/>
    <w:rsid w:val="00C6300F"/>
    <w:rsid w:val="00C6315D"/>
    <w:rsid w:val="00C63369"/>
    <w:rsid w:val="00C63513"/>
    <w:rsid w:val="00C63519"/>
    <w:rsid w:val="00C6389E"/>
    <w:rsid w:val="00C6393A"/>
    <w:rsid w:val="00C6399E"/>
    <w:rsid w:val="00C63A3C"/>
    <w:rsid w:val="00C63C2F"/>
    <w:rsid w:val="00C63CB5"/>
    <w:rsid w:val="00C63D11"/>
    <w:rsid w:val="00C63D12"/>
    <w:rsid w:val="00C63FC6"/>
    <w:rsid w:val="00C6402F"/>
    <w:rsid w:val="00C64046"/>
    <w:rsid w:val="00C641F2"/>
    <w:rsid w:val="00C64299"/>
    <w:rsid w:val="00C645AE"/>
    <w:rsid w:val="00C64866"/>
    <w:rsid w:val="00C64A99"/>
    <w:rsid w:val="00C64CFF"/>
    <w:rsid w:val="00C64DAF"/>
    <w:rsid w:val="00C64E9D"/>
    <w:rsid w:val="00C64EB7"/>
    <w:rsid w:val="00C651A6"/>
    <w:rsid w:val="00C652C8"/>
    <w:rsid w:val="00C65463"/>
    <w:rsid w:val="00C65509"/>
    <w:rsid w:val="00C65809"/>
    <w:rsid w:val="00C6580C"/>
    <w:rsid w:val="00C65824"/>
    <w:rsid w:val="00C65A6B"/>
    <w:rsid w:val="00C65B2A"/>
    <w:rsid w:val="00C65BEC"/>
    <w:rsid w:val="00C65C2C"/>
    <w:rsid w:val="00C65CD4"/>
    <w:rsid w:val="00C65EC4"/>
    <w:rsid w:val="00C6605C"/>
    <w:rsid w:val="00C66291"/>
    <w:rsid w:val="00C66491"/>
    <w:rsid w:val="00C664FD"/>
    <w:rsid w:val="00C666D8"/>
    <w:rsid w:val="00C667EB"/>
    <w:rsid w:val="00C66AFA"/>
    <w:rsid w:val="00C66B1B"/>
    <w:rsid w:val="00C66D9A"/>
    <w:rsid w:val="00C66EEC"/>
    <w:rsid w:val="00C671B3"/>
    <w:rsid w:val="00C6729B"/>
    <w:rsid w:val="00C6729F"/>
    <w:rsid w:val="00C672F7"/>
    <w:rsid w:val="00C673E2"/>
    <w:rsid w:val="00C6752F"/>
    <w:rsid w:val="00C675C6"/>
    <w:rsid w:val="00C675CF"/>
    <w:rsid w:val="00C677AA"/>
    <w:rsid w:val="00C678DB"/>
    <w:rsid w:val="00C67D51"/>
    <w:rsid w:val="00C67D6C"/>
    <w:rsid w:val="00C702A5"/>
    <w:rsid w:val="00C7034E"/>
    <w:rsid w:val="00C70377"/>
    <w:rsid w:val="00C70554"/>
    <w:rsid w:val="00C7069A"/>
    <w:rsid w:val="00C707FD"/>
    <w:rsid w:val="00C70850"/>
    <w:rsid w:val="00C70890"/>
    <w:rsid w:val="00C708CA"/>
    <w:rsid w:val="00C709F5"/>
    <w:rsid w:val="00C70A7A"/>
    <w:rsid w:val="00C70A9A"/>
    <w:rsid w:val="00C70C25"/>
    <w:rsid w:val="00C70C5C"/>
    <w:rsid w:val="00C70D9B"/>
    <w:rsid w:val="00C70E47"/>
    <w:rsid w:val="00C70F0F"/>
    <w:rsid w:val="00C71196"/>
    <w:rsid w:val="00C711D6"/>
    <w:rsid w:val="00C713C1"/>
    <w:rsid w:val="00C715CF"/>
    <w:rsid w:val="00C71625"/>
    <w:rsid w:val="00C71695"/>
    <w:rsid w:val="00C7195B"/>
    <w:rsid w:val="00C719FA"/>
    <w:rsid w:val="00C71A90"/>
    <w:rsid w:val="00C71B19"/>
    <w:rsid w:val="00C71DE3"/>
    <w:rsid w:val="00C71EC5"/>
    <w:rsid w:val="00C71F7A"/>
    <w:rsid w:val="00C720EE"/>
    <w:rsid w:val="00C721BA"/>
    <w:rsid w:val="00C7224C"/>
    <w:rsid w:val="00C72318"/>
    <w:rsid w:val="00C72512"/>
    <w:rsid w:val="00C72559"/>
    <w:rsid w:val="00C72592"/>
    <w:rsid w:val="00C725A8"/>
    <w:rsid w:val="00C727BC"/>
    <w:rsid w:val="00C72846"/>
    <w:rsid w:val="00C72954"/>
    <w:rsid w:val="00C72B36"/>
    <w:rsid w:val="00C72C2A"/>
    <w:rsid w:val="00C72E88"/>
    <w:rsid w:val="00C733F5"/>
    <w:rsid w:val="00C73694"/>
    <w:rsid w:val="00C737E9"/>
    <w:rsid w:val="00C73A17"/>
    <w:rsid w:val="00C73AA7"/>
    <w:rsid w:val="00C73B37"/>
    <w:rsid w:val="00C73BBF"/>
    <w:rsid w:val="00C73BDE"/>
    <w:rsid w:val="00C73D96"/>
    <w:rsid w:val="00C73E12"/>
    <w:rsid w:val="00C74200"/>
    <w:rsid w:val="00C74257"/>
    <w:rsid w:val="00C742AC"/>
    <w:rsid w:val="00C743C2"/>
    <w:rsid w:val="00C743E9"/>
    <w:rsid w:val="00C7441D"/>
    <w:rsid w:val="00C746B8"/>
    <w:rsid w:val="00C74728"/>
    <w:rsid w:val="00C74920"/>
    <w:rsid w:val="00C74AE4"/>
    <w:rsid w:val="00C74E43"/>
    <w:rsid w:val="00C74F89"/>
    <w:rsid w:val="00C74FD2"/>
    <w:rsid w:val="00C75204"/>
    <w:rsid w:val="00C7532C"/>
    <w:rsid w:val="00C7540F"/>
    <w:rsid w:val="00C75579"/>
    <w:rsid w:val="00C756D7"/>
    <w:rsid w:val="00C75886"/>
    <w:rsid w:val="00C759E1"/>
    <w:rsid w:val="00C75B46"/>
    <w:rsid w:val="00C75C84"/>
    <w:rsid w:val="00C75CE2"/>
    <w:rsid w:val="00C75FF8"/>
    <w:rsid w:val="00C7612A"/>
    <w:rsid w:val="00C76236"/>
    <w:rsid w:val="00C76240"/>
    <w:rsid w:val="00C7631F"/>
    <w:rsid w:val="00C76411"/>
    <w:rsid w:val="00C7643D"/>
    <w:rsid w:val="00C7659F"/>
    <w:rsid w:val="00C76756"/>
    <w:rsid w:val="00C768B1"/>
    <w:rsid w:val="00C76912"/>
    <w:rsid w:val="00C76A41"/>
    <w:rsid w:val="00C76CB2"/>
    <w:rsid w:val="00C76DDA"/>
    <w:rsid w:val="00C7711E"/>
    <w:rsid w:val="00C772CA"/>
    <w:rsid w:val="00C77361"/>
    <w:rsid w:val="00C773E2"/>
    <w:rsid w:val="00C773F9"/>
    <w:rsid w:val="00C77516"/>
    <w:rsid w:val="00C7765C"/>
    <w:rsid w:val="00C776E5"/>
    <w:rsid w:val="00C776FF"/>
    <w:rsid w:val="00C777AF"/>
    <w:rsid w:val="00C77955"/>
    <w:rsid w:val="00C77B9F"/>
    <w:rsid w:val="00C77DC5"/>
    <w:rsid w:val="00C77E99"/>
    <w:rsid w:val="00C77EBD"/>
    <w:rsid w:val="00C80098"/>
    <w:rsid w:val="00C80384"/>
    <w:rsid w:val="00C803D4"/>
    <w:rsid w:val="00C80517"/>
    <w:rsid w:val="00C80585"/>
    <w:rsid w:val="00C80802"/>
    <w:rsid w:val="00C808CD"/>
    <w:rsid w:val="00C80A65"/>
    <w:rsid w:val="00C80B2C"/>
    <w:rsid w:val="00C80D0C"/>
    <w:rsid w:val="00C80E19"/>
    <w:rsid w:val="00C80E2B"/>
    <w:rsid w:val="00C80E91"/>
    <w:rsid w:val="00C80F8E"/>
    <w:rsid w:val="00C811A2"/>
    <w:rsid w:val="00C811D1"/>
    <w:rsid w:val="00C8126B"/>
    <w:rsid w:val="00C81307"/>
    <w:rsid w:val="00C8133F"/>
    <w:rsid w:val="00C8134B"/>
    <w:rsid w:val="00C81517"/>
    <w:rsid w:val="00C81571"/>
    <w:rsid w:val="00C815B1"/>
    <w:rsid w:val="00C81846"/>
    <w:rsid w:val="00C81883"/>
    <w:rsid w:val="00C819F2"/>
    <w:rsid w:val="00C81CA0"/>
    <w:rsid w:val="00C81D2D"/>
    <w:rsid w:val="00C81E37"/>
    <w:rsid w:val="00C81FC1"/>
    <w:rsid w:val="00C82253"/>
    <w:rsid w:val="00C8232A"/>
    <w:rsid w:val="00C8232C"/>
    <w:rsid w:val="00C824D3"/>
    <w:rsid w:val="00C8250C"/>
    <w:rsid w:val="00C827F5"/>
    <w:rsid w:val="00C82808"/>
    <w:rsid w:val="00C82969"/>
    <w:rsid w:val="00C82E22"/>
    <w:rsid w:val="00C83071"/>
    <w:rsid w:val="00C832C1"/>
    <w:rsid w:val="00C83549"/>
    <w:rsid w:val="00C836A6"/>
    <w:rsid w:val="00C8381E"/>
    <w:rsid w:val="00C83A3C"/>
    <w:rsid w:val="00C83D40"/>
    <w:rsid w:val="00C83E7D"/>
    <w:rsid w:val="00C83F04"/>
    <w:rsid w:val="00C8403D"/>
    <w:rsid w:val="00C840F3"/>
    <w:rsid w:val="00C8412C"/>
    <w:rsid w:val="00C84341"/>
    <w:rsid w:val="00C84416"/>
    <w:rsid w:val="00C8445B"/>
    <w:rsid w:val="00C844AA"/>
    <w:rsid w:val="00C8463A"/>
    <w:rsid w:val="00C847F6"/>
    <w:rsid w:val="00C8488E"/>
    <w:rsid w:val="00C84B27"/>
    <w:rsid w:val="00C84B78"/>
    <w:rsid w:val="00C84D96"/>
    <w:rsid w:val="00C84DDC"/>
    <w:rsid w:val="00C84EA8"/>
    <w:rsid w:val="00C84F0B"/>
    <w:rsid w:val="00C84FC9"/>
    <w:rsid w:val="00C85178"/>
    <w:rsid w:val="00C851B2"/>
    <w:rsid w:val="00C85282"/>
    <w:rsid w:val="00C85379"/>
    <w:rsid w:val="00C85501"/>
    <w:rsid w:val="00C8556F"/>
    <w:rsid w:val="00C856D9"/>
    <w:rsid w:val="00C856FA"/>
    <w:rsid w:val="00C857E6"/>
    <w:rsid w:val="00C85868"/>
    <w:rsid w:val="00C85876"/>
    <w:rsid w:val="00C85890"/>
    <w:rsid w:val="00C858AF"/>
    <w:rsid w:val="00C85C93"/>
    <w:rsid w:val="00C85D46"/>
    <w:rsid w:val="00C85E09"/>
    <w:rsid w:val="00C85E1C"/>
    <w:rsid w:val="00C86027"/>
    <w:rsid w:val="00C861A9"/>
    <w:rsid w:val="00C86214"/>
    <w:rsid w:val="00C864D4"/>
    <w:rsid w:val="00C864EC"/>
    <w:rsid w:val="00C865E6"/>
    <w:rsid w:val="00C86608"/>
    <w:rsid w:val="00C8662C"/>
    <w:rsid w:val="00C86668"/>
    <w:rsid w:val="00C8680E"/>
    <w:rsid w:val="00C8689A"/>
    <w:rsid w:val="00C86A7D"/>
    <w:rsid w:val="00C86C28"/>
    <w:rsid w:val="00C86CB1"/>
    <w:rsid w:val="00C86CB4"/>
    <w:rsid w:val="00C86DA2"/>
    <w:rsid w:val="00C86E53"/>
    <w:rsid w:val="00C86FDF"/>
    <w:rsid w:val="00C87194"/>
    <w:rsid w:val="00C8725E"/>
    <w:rsid w:val="00C872F0"/>
    <w:rsid w:val="00C873BF"/>
    <w:rsid w:val="00C874B1"/>
    <w:rsid w:val="00C874CC"/>
    <w:rsid w:val="00C878A5"/>
    <w:rsid w:val="00C87985"/>
    <w:rsid w:val="00C87D1E"/>
    <w:rsid w:val="00C87EC5"/>
    <w:rsid w:val="00C90165"/>
    <w:rsid w:val="00C901C5"/>
    <w:rsid w:val="00C90262"/>
    <w:rsid w:val="00C9027F"/>
    <w:rsid w:val="00C902A6"/>
    <w:rsid w:val="00C902F8"/>
    <w:rsid w:val="00C904EB"/>
    <w:rsid w:val="00C9085C"/>
    <w:rsid w:val="00C90887"/>
    <w:rsid w:val="00C908B6"/>
    <w:rsid w:val="00C90A61"/>
    <w:rsid w:val="00C90A9E"/>
    <w:rsid w:val="00C90C1D"/>
    <w:rsid w:val="00C90FCF"/>
    <w:rsid w:val="00C910CA"/>
    <w:rsid w:val="00C912DD"/>
    <w:rsid w:val="00C91316"/>
    <w:rsid w:val="00C9140D"/>
    <w:rsid w:val="00C9143E"/>
    <w:rsid w:val="00C914D8"/>
    <w:rsid w:val="00C91668"/>
    <w:rsid w:val="00C91765"/>
    <w:rsid w:val="00C91793"/>
    <w:rsid w:val="00C917C3"/>
    <w:rsid w:val="00C91BCE"/>
    <w:rsid w:val="00C91ECB"/>
    <w:rsid w:val="00C92156"/>
    <w:rsid w:val="00C923D5"/>
    <w:rsid w:val="00C9244C"/>
    <w:rsid w:val="00C92461"/>
    <w:rsid w:val="00C92547"/>
    <w:rsid w:val="00C92731"/>
    <w:rsid w:val="00C927CF"/>
    <w:rsid w:val="00C927D1"/>
    <w:rsid w:val="00C927F0"/>
    <w:rsid w:val="00C929F5"/>
    <w:rsid w:val="00C92C5C"/>
    <w:rsid w:val="00C92D09"/>
    <w:rsid w:val="00C92D81"/>
    <w:rsid w:val="00C92F61"/>
    <w:rsid w:val="00C92F6B"/>
    <w:rsid w:val="00C9317D"/>
    <w:rsid w:val="00C9349A"/>
    <w:rsid w:val="00C9349F"/>
    <w:rsid w:val="00C936FA"/>
    <w:rsid w:val="00C9389B"/>
    <w:rsid w:val="00C93974"/>
    <w:rsid w:val="00C939BE"/>
    <w:rsid w:val="00C93B23"/>
    <w:rsid w:val="00C93C15"/>
    <w:rsid w:val="00C93C2B"/>
    <w:rsid w:val="00C93C2F"/>
    <w:rsid w:val="00C93D4F"/>
    <w:rsid w:val="00C93D72"/>
    <w:rsid w:val="00C9419C"/>
    <w:rsid w:val="00C941FB"/>
    <w:rsid w:val="00C942E4"/>
    <w:rsid w:val="00C94431"/>
    <w:rsid w:val="00C944C6"/>
    <w:rsid w:val="00C94564"/>
    <w:rsid w:val="00C945BC"/>
    <w:rsid w:val="00C94976"/>
    <w:rsid w:val="00C94CD4"/>
    <w:rsid w:val="00C94DC7"/>
    <w:rsid w:val="00C94E9C"/>
    <w:rsid w:val="00C94EA7"/>
    <w:rsid w:val="00C94F40"/>
    <w:rsid w:val="00C94F86"/>
    <w:rsid w:val="00C94FF1"/>
    <w:rsid w:val="00C9508B"/>
    <w:rsid w:val="00C95191"/>
    <w:rsid w:val="00C955C7"/>
    <w:rsid w:val="00C9567B"/>
    <w:rsid w:val="00C956B1"/>
    <w:rsid w:val="00C95757"/>
    <w:rsid w:val="00C95AE7"/>
    <w:rsid w:val="00C95B94"/>
    <w:rsid w:val="00C95C20"/>
    <w:rsid w:val="00C95D52"/>
    <w:rsid w:val="00C95D67"/>
    <w:rsid w:val="00C95D6F"/>
    <w:rsid w:val="00C95F1F"/>
    <w:rsid w:val="00C95FEC"/>
    <w:rsid w:val="00C9612E"/>
    <w:rsid w:val="00C966A4"/>
    <w:rsid w:val="00C96773"/>
    <w:rsid w:val="00C96B48"/>
    <w:rsid w:val="00C96B8E"/>
    <w:rsid w:val="00C96B99"/>
    <w:rsid w:val="00C96BA9"/>
    <w:rsid w:val="00C96D37"/>
    <w:rsid w:val="00C96EB2"/>
    <w:rsid w:val="00C970BE"/>
    <w:rsid w:val="00C974D1"/>
    <w:rsid w:val="00C976BF"/>
    <w:rsid w:val="00C9770F"/>
    <w:rsid w:val="00C977AC"/>
    <w:rsid w:val="00C97A10"/>
    <w:rsid w:val="00C97BA1"/>
    <w:rsid w:val="00C97F50"/>
    <w:rsid w:val="00CA01B3"/>
    <w:rsid w:val="00CA02D7"/>
    <w:rsid w:val="00CA0397"/>
    <w:rsid w:val="00CA0578"/>
    <w:rsid w:val="00CA05C2"/>
    <w:rsid w:val="00CA05E7"/>
    <w:rsid w:val="00CA06A8"/>
    <w:rsid w:val="00CA07DA"/>
    <w:rsid w:val="00CA096E"/>
    <w:rsid w:val="00CA09ED"/>
    <w:rsid w:val="00CA0C15"/>
    <w:rsid w:val="00CA0E3D"/>
    <w:rsid w:val="00CA1022"/>
    <w:rsid w:val="00CA103B"/>
    <w:rsid w:val="00CA10CC"/>
    <w:rsid w:val="00CA11EF"/>
    <w:rsid w:val="00CA1382"/>
    <w:rsid w:val="00CA1387"/>
    <w:rsid w:val="00CA1996"/>
    <w:rsid w:val="00CA1B14"/>
    <w:rsid w:val="00CA1BC0"/>
    <w:rsid w:val="00CA1CE9"/>
    <w:rsid w:val="00CA1CEE"/>
    <w:rsid w:val="00CA1EF8"/>
    <w:rsid w:val="00CA1F5D"/>
    <w:rsid w:val="00CA1F82"/>
    <w:rsid w:val="00CA205A"/>
    <w:rsid w:val="00CA20F9"/>
    <w:rsid w:val="00CA21A2"/>
    <w:rsid w:val="00CA229C"/>
    <w:rsid w:val="00CA22D6"/>
    <w:rsid w:val="00CA23B8"/>
    <w:rsid w:val="00CA2497"/>
    <w:rsid w:val="00CA2529"/>
    <w:rsid w:val="00CA2562"/>
    <w:rsid w:val="00CA279D"/>
    <w:rsid w:val="00CA2821"/>
    <w:rsid w:val="00CA2828"/>
    <w:rsid w:val="00CA2831"/>
    <w:rsid w:val="00CA287D"/>
    <w:rsid w:val="00CA2883"/>
    <w:rsid w:val="00CA2975"/>
    <w:rsid w:val="00CA298B"/>
    <w:rsid w:val="00CA298C"/>
    <w:rsid w:val="00CA2B7D"/>
    <w:rsid w:val="00CA2CD8"/>
    <w:rsid w:val="00CA2DE0"/>
    <w:rsid w:val="00CA2E53"/>
    <w:rsid w:val="00CA2FCF"/>
    <w:rsid w:val="00CA3073"/>
    <w:rsid w:val="00CA316C"/>
    <w:rsid w:val="00CA31A0"/>
    <w:rsid w:val="00CA31C9"/>
    <w:rsid w:val="00CA31FC"/>
    <w:rsid w:val="00CA376C"/>
    <w:rsid w:val="00CA38CB"/>
    <w:rsid w:val="00CA39D3"/>
    <w:rsid w:val="00CA39FC"/>
    <w:rsid w:val="00CA3A35"/>
    <w:rsid w:val="00CA3AF2"/>
    <w:rsid w:val="00CA3C6E"/>
    <w:rsid w:val="00CA3DC9"/>
    <w:rsid w:val="00CA4060"/>
    <w:rsid w:val="00CA40EC"/>
    <w:rsid w:val="00CA4185"/>
    <w:rsid w:val="00CA447F"/>
    <w:rsid w:val="00CA44E7"/>
    <w:rsid w:val="00CA46FB"/>
    <w:rsid w:val="00CA48BD"/>
    <w:rsid w:val="00CA49A1"/>
    <w:rsid w:val="00CA4A63"/>
    <w:rsid w:val="00CA4B1E"/>
    <w:rsid w:val="00CA4C6B"/>
    <w:rsid w:val="00CA4CC7"/>
    <w:rsid w:val="00CA4D55"/>
    <w:rsid w:val="00CA4E39"/>
    <w:rsid w:val="00CA4FE0"/>
    <w:rsid w:val="00CA4FF6"/>
    <w:rsid w:val="00CA507F"/>
    <w:rsid w:val="00CA509F"/>
    <w:rsid w:val="00CA519D"/>
    <w:rsid w:val="00CA51DA"/>
    <w:rsid w:val="00CA52B5"/>
    <w:rsid w:val="00CA52EE"/>
    <w:rsid w:val="00CA5318"/>
    <w:rsid w:val="00CA56CD"/>
    <w:rsid w:val="00CA576B"/>
    <w:rsid w:val="00CA5A50"/>
    <w:rsid w:val="00CA5AD3"/>
    <w:rsid w:val="00CA5ADD"/>
    <w:rsid w:val="00CA5BCC"/>
    <w:rsid w:val="00CA5CAA"/>
    <w:rsid w:val="00CA5DE7"/>
    <w:rsid w:val="00CA60B0"/>
    <w:rsid w:val="00CA621A"/>
    <w:rsid w:val="00CA624F"/>
    <w:rsid w:val="00CA6271"/>
    <w:rsid w:val="00CA64FA"/>
    <w:rsid w:val="00CA66D0"/>
    <w:rsid w:val="00CA6741"/>
    <w:rsid w:val="00CA6A23"/>
    <w:rsid w:val="00CA6B52"/>
    <w:rsid w:val="00CA6BDC"/>
    <w:rsid w:val="00CA6D46"/>
    <w:rsid w:val="00CA6E7A"/>
    <w:rsid w:val="00CA6F16"/>
    <w:rsid w:val="00CA70F0"/>
    <w:rsid w:val="00CA7133"/>
    <w:rsid w:val="00CA7352"/>
    <w:rsid w:val="00CA750D"/>
    <w:rsid w:val="00CA7792"/>
    <w:rsid w:val="00CA77A0"/>
    <w:rsid w:val="00CA788A"/>
    <w:rsid w:val="00CA7AA9"/>
    <w:rsid w:val="00CA7AB1"/>
    <w:rsid w:val="00CA7BD7"/>
    <w:rsid w:val="00CA7BD9"/>
    <w:rsid w:val="00CB003C"/>
    <w:rsid w:val="00CB016D"/>
    <w:rsid w:val="00CB02BA"/>
    <w:rsid w:val="00CB03F5"/>
    <w:rsid w:val="00CB050A"/>
    <w:rsid w:val="00CB052D"/>
    <w:rsid w:val="00CB05DC"/>
    <w:rsid w:val="00CB0642"/>
    <w:rsid w:val="00CB06F5"/>
    <w:rsid w:val="00CB0919"/>
    <w:rsid w:val="00CB0C85"/>
    <w:rsid w:val="00CB0E6E"/>
    <w:rsid w:val="00CB0F4B"/>
    <w:rsid w:val="00CB1145"/>
    <w:rsid w:val="00CB1748"/>
    <w:rsid w:val="00CB2005"/>
    <w:rsid w:val="00CB20CC"/>
    <w:rsid w:val="00CB216A"/>
    <w:rsid w:val="00CB2207"/>
    <w:rsid w:val="00CB22F5"/>
    <w:rsid w:val="00CB232C"/>
    <w:rsid w:val="00CB23AA"/>
    <w:rsid w:val="00CB2489"/>
    <w:rsid w:val="00CB2499"/>
    <w:rsid w:val="00CB2693"/>
    <w:rsid w:val="00CB2712"/>
    <w:rsid w:val="00CB27C4"/>
    <w:rsid w:val="00CB2A31"/>
    <w:rsid w:val="00CB2B31"/>
    <w:rsid w:val="00CB2BDE"/>
    <w:rsid w:val="00CB2FFD"/>
    <w:rsid w:val="00CB3029"/>
    <w:rsid w:val="00CB32F1"/>
    <w:rsid w:val="00CB33C0"/>
    <w:rsid w:val="00CB363F"/>
    <w:rsid w:val="00CB37B1"/>
    <w:rsid w:val="00CB388D"/>
    <w:rsid w:val="00CB39FA"/>
    <w:rsid w:val="00CB3ADD"/>
    <w:rsid w:val="00CB3C2D"/>
    <w:rsid w:val="00CB3C72"/>
    <w:rsid w:val="00CB3CA8"/>
    <w:rsid w:val="00CB3CF5"/>
    <w:rsid w:val="00CB400D"/>
    <w:rsid w:val="00CB4128"/>
    <w:rsid w:val="00CB4175"/>
    <w:rsid w:val="00CB420F"/>
    <w:rsid w:val="00CB44C0"/>
    <w:rsid w:val="00CB45B8"/>
    <w:rsid w:val="00CB4775"/>
    <w:rsid w:val="00CB482E"/>
    <w:rsid w:val="00CB49B8"/>
    <w:rsid w:val="00CB4C85"/>
    <w:rsid w:val="00CB4EF5"/>
    <w:rsid w:val="00CB4F8F"/>
    <w:rsid w:val="00CB5210"/>
    <w:rsid w:val="00CB54F5"/>
    <w:rsid w:val="00CB5509"/>
    <w:rsid w:val="00CB574B"/>
    <w:rsid w:val="00CB57D4"/>
    <w:rsid w:val="00CB5A73"/>
    <w:rsid w:val="00CB5B20"/>
    <w:rsid w:val="00CB5B2D"/>
    <w:rsid w:val="00CB5B4E"/>
    <w:rsid w:val="00CB5E18"/>
    <w:rsid w:val="00CB5FD0"/>
    <w:rsid w:val="00CB609D"/>
    <w:rsid w:val="00CB6262"/>
    <w:rsid w:val="00CB63F1"/>
    <w:rsid w:val="00CB6468"/>
    <w:rsid w:val="00CB653A"/>
    <w:rsid w:val="00CB66EE"/>
    <w:rsid w:val="00CB675E"/>
    <w:rsid w:val="00CB6809"/>
    <w:rsid w:val="00CB6873"/>
    <w:rsid w:val="00CB69ED"/>
    <w:rsid w:val="00CB6AA1"/>
    <w:rsid w:val="00CB6B60"/>
    <w:rsid w:val="00CB6F64"/>
    <w:rsid w:val="00CB7144"/>
    <w:rsid w:val="00CB7148"/>
    <w:rsid w:val="00CB716C"/>
    <w:rsid w:val="00CB74FC"/>
    <w:rsid w:val="00CB76DA"/>
    <w:rsid w:val="00CB76E7"/>
    <w:rsid w:val="00CB798F"/>
    <w:rsid w:val="00CB7B69"/>
    <w:rsid w:val="00CB7D7E"/>
    <w:rsid w:val="00CC026C"/>
    <w:rsid w:val="00CC03C5"/>
    <w:rsid w:val="00CC06FC"/>
    <w:rsid w:val="00CC08F2"/>
    <w:rsid w:val="00CC0926"/>
    <w:rsid w:val="00CC0951"/>
    <w:rsid w:val="00CC0A39"/>
    <w:rsid w:val="00CC0C79"/>
    <w:rsid w:val="00CC0CFE"/>
    <w:rsid w:val="00CC0D27"/>
    <w:rsid w:val="00CC10F2"/>
    <w:rsid w:val="00CC11A3"/>
    <w:rsid w:val="00CC12A2"/>
    <w:rsid w:val="00CC1667"/>
    <w:rsid w:val="00CC1693"/>
    <w:rsid w:val="00CC16AF"/>
    <w:rsid w:val="00CC1765"/>
    <w:rsid w:val="00CC188F"/>
    <w:rsid w:val="00CC1892"/>
    <w:rsid w:val="00CC18B0"/>
    <w:rsid w:val="00CC1C5E"/>
    <w:rsid w:val="00CC1DBD"/>
    <w:rsid w:val="00CC1DE8"/>
    <w:rsid w:val="00CC1FC2"/>
    <w:rsid w:val="00CC2025"/>
    <w:rsid w:val="00CC23D1"/>
    <w:rsid w:val="00CC244F"/>
    <w:rsid w:val="00CC2475"/>
    <w:rsid w:val="00CC2491"/>
    <w:rsid w:val="00CC25D7"/>
    <w:rsid w:val="00CC26ED"/>
    <w:rsid w:val="00CC26F6"/>
    <w:rsid w:val="00CC28F7"/>
    <w:rsid w:val="00CC2998"/>
    <w:rsid w:val="00CC2AAC"/>
    <w:rsid w:val="00CC2B41"/>
    <w:rsid w:val="00CC2C13"/>
    <w:rsid w:val="00CC2FAA"/>
    <w:rsid w:val="00CC30CD"/>
    <w:rsid w:val="00CC3106"/>
    <w:rsid w:val="00CC311D"/>
    <w:rsid w:val="00CC3267"/>
    <w:rsid w:val="00CC3288"/>
    <w:rsid w:val="00CC3325"/>
    <w:rsid w:val="00CC335F"/>
    <w:rsid w:val="00CC33AD"/>
    <w:rsid w:val="00CC33DD"/>
    <w:rsid w:val="00CC3498"/>
    <w:rsid w:val="00CC363F"/>
    <w:rsid w:val="00CC36A5"/>
    <w:rsid w:val="00CC3809"/>
    <w:rsid w:val="00CC38EB"/>
    <w:rsid w:val="00CC3C49"/>
    <w:rsid w:val="00CC3D7C"/>
    <w:rsid w:val="00CC4117"/>
    <w:rsid w:val="00CC4138"/>
    <w:rsid w:val="00CC4165"/>
    <w:rsid w:val="00CC42A0"/>
    <w:rsid w:val="00CC4412"/>
    <w:rsid w:val="00CC4440"/>
    <w:rsid w:val="00CC4737"/>
    <w:rsid w:val="00CC4A8D"/>
    <w:rsid w:val="00CC4C93"/>
    <w:rsid w:val="00CC4D34"/>
    <w:rsid w:val="00CC4E22"/>
    <w:rsid w:val="00CC4E31"/>
    <w:rsid w:val="00CC52FC"/>
    <w:rsid w:val="00CC53A4"/>
    <w:rsid w:val="00CC53EC"/>
    <w:rsid w:val="00CC560E"/>
    <w:rsid w:val="00CC5707"/>
    <w:rsid w:val="00CC5918"/>
    <w:rsid w:val="00CC5A2C"/>
    <w:rsid w:val="00CC5B8F"/>
    <w:rsid w:val="00CC5BD8"/>
    <w:rsid w:val="00CC5C8A"/>
    <w:rsid w:val="00CC5D53"/>
    <w:rsid w:val="00CC5D80"/>
    <w:rsid w:val="00CC5E0E"/>
    <w:rsid w:val="00CC5E5B"/>
    <w:rsid w:val="00CC5F7B"/>
    <w:rsid w:val="00CC6012"/>
    <w:rsid w:val="00CC6267"/>
    <w:rsid w:val="00CC6292"/>
    <w:rsid w:val="00CC62D0"/>
    <w:rsid w:val="00CC637D"/>
    <w:rsid w:val="00CC659F"/>
    <w:rsid w:val="00CC66A6"/>
    <w:rsid w:val="00CC6732"/>
    <w:rsid w:val="00CC69EE"/>
    <w:rsid w:val="00CC6BC2"/>
    <w:rsid w:val="00CC6DB1"/>
    <w:rsid w:val="00CC6E41"/>
    <w:rsid w:val="00CC6F43"/>
    <w:rsid w:val="00CC7011"/>
    <w:rsid w:val="00CC705F"/>
    <w:rsid w:val="00CC71C2"/>
    <w:rsid w:val="00CC72F6"/>
    <w:rsid w:val="00CC73FA"/>
    <w:rsid w:val="00CC75C1"/>
    <w:rsid w:val="00CC78BA"/>
    <w:rsid w:val="00CC7CA1"/>
    <w:rsid w:val="00CC7F0A"/>
    <w:rsid w:val="00CD0073"/>
    <w:rsid w:val="00CD024B"/>
    <w:rsid w:val="00CD0344"/>
    <w:rsid w:val="00CD04D3"/>
    <w:rsid w:val="00CD0511"/>
    <w:rsid w:val="00CD0579"/>
    <w:rsid w:val="00CD05BB"/>
    <w:rsid w:val="00CD0638"/>
    <w:rsid w:val="00CD0719"/>
    <w:rsid w:val="00CD077E"/>
    <w:rsid w:val="00CD0792"/>
    <w:rsid w:val="00CD07AC"/>
    <w:rsid w:val="00CD0836"/>
    <w:rsid w:val="00CD083E"/>
    <w:rsid w:val="00CD08E1"/>
    <w:rsid w:val="00CD0AE0"/>
    <w:rsid w:val="00CD0AE5"/>
    <w:rsid w:val="00CD0C16"/>
    <w:rsid w:val="00CD0CF1"/>
    <w:rsid w:val="00CD0DF9"/>
    <w:rsid w:val="00CD0F42"/>
    <w:rsid w:val="00CD10E1"/>
    <w:rsid w:val="00CD1292"/>
    <w:rsid w:val="00CD1375"/>
    <w:rsid w:val="00CD1429"/>
    <w:rsid w:val="00CD1538"/>
    <w:rsid w:val="00CD155B"/>
    <w:rsid w:val="00CD1751"/>
    <w:rsid w:val="00CD17AE"/>
    <w:rsid w:val="00CD1868"/>
    <w:rsid w:val="00CD1904"/>
    <w:rsid w:val="00CD194B"/>
    <w:rsid w:val="00CD1AD1"/>
    <w:rsid w:val="00CD1B1A"/>
    <w:rsid w:val="00CD1B5F"/>
    <w:rsid w:val="00CD1D0E"/>
    <w:rsid w:val="00CD24A6"/>
    <w:rsid w:val="00CD24E3"/>
    <w:rsid w:val="00CD252A"/>
    <w:rsid w:val="00CD2547"/>
    <w:rsid w:val="00CD260E"/>
    <w:rsid w:val="00CD2620"/>
    <w:rsid w:val="00CD2741"/>
    <w:rsid w:val="00CD27B2"/>
    <w:rsid w:val="00CD2885"/>
    <w:rsid w:val="00CD2AE3"/>
    <w:rsid w:val="00CD2BFB"/>
    <w:rsid w:val="00CD2C7C"/>
    <w:rsid w:val="00CD2EBF"/>
    <w:rsid w:val="00CD2EEE"/>
    <w:rsid w:val="00CD303A"/>
    <w:rsid w:val="00CD3203"/>
    <w:rsid w:val="00CD3336"/>
    <w:rsid w:val="00CD335A"/>
    <w:rsid w:val="00CD342B"/>
    <w:rsid w:val="00CD34EB"/>
    <w:rsid w:val="00CD364B"/>
    <w:rsid w:val="00CD3692"/>
    <w:rsid w:val="00CD3784"/>
    <w:rsid w:val="00CD37CD"/>
    <w:rsid w:val="00CD3817"/>
    <w:rsid w:val="00CD38BA"/>
    <w:rsid w:val="00CD3A5E"/>
    <w:rsid w:val="00CD3B11"/>
    <w:rsid w:val="00CD3DC2"/>
    <w:rsid w:val="00CD404A"/>
    <w:rsid w:val="00CD41AC"/>
    <w:rsid w:val="00CD41D4"/>
    <w:rsid w:val="00CD41E2"/>
    <w:rsid w:val="00CD421C"/>
    <w:rsid w:val="00CD468E"/>
    <w:rsid w:val="00CD4934"/>
    <w:rsid w:val="00CD4A0E"/>
    <w:rsid w:val="00CD4D4A"/>
    <w:rsid w:val="00CD4E11"/>
    <w:rsid w:val="00CD4F27"/>
    <w:rsid w:val="00CD52B2"/>
    <w:rsid w:val="00CD53DE"/>
    <w:rsid w:val="00CD5532"/>
    <w:rsid w:val="00CD56FC"/>
    <w:rsid w:val="00CD5703"/>
    <w:rsid w:val="00CD573D"/>
    <w:rsid w:val="00CD5788"/>
    <w:rsid w:val="00CD5790"/>
    <w:rsid w:val="00CD58AC"/>
    <w:rsid w:val="00CD594B"/>
    <w:rsid w:val="00CD59D4"/>
    <w:rsid w:val="00CD5D60"/>
    <w:rsid w:val="00CD5F76"/>
    <w:rsid w:val="00CD6084"/>
    <w:rsid w:val="00CD60A0"/>
    <w:rsid w:val="00CD60D7"/>
    <w:rsid w:val="00CD616B"/>
    <w:rsid w:val="00CD6610"/>
    <w:rsid w:val="00CD6655"/>
    <w:rsid w:val="00CD67C7"/>
    <w:rsid w:val="00CD6805"/>
    <w:rsid w:val="00CD6C61"/>
    <w:rsid w:val="00CD6CC6"/>
    <w:rsid w:val="00CD6D5B"/>
    <w:rsid w:val="00CD6D99"/>
    <w:rsid w:val="00CD6DC7"/>
    <w:rsid w:val="00CD6EB3"/>
    <w:rsid w:val="00CD70DD"/>
    <w:rsid w:val="00CD725C"/>
    <w:rsid w:val="00CD731C"/>
    <w:rsid w:val="00CD7374"/>
    <w:rsid w:val="00CD7512"/>
    <w:rsid w:val="00CD7608"/>
    <w:rsid w:val="00CD7770"/>
    <w:rsid w:val="00CD788C"/>
    <w:rsid w:val="00CD7995"/>
    <w:rsid w:val="00CD79A8"/>
    <w:rsid w:val="00CD7AC8"/>
    <w:rsid w:val="00CD7BC2"/>
    <w:rsid w:val="00CD7C87"/>
    <w:rsid w:val="00CD7E18"/>
    <w:rsid w:val="00CD7F91"/>
    <w:rsid w:val="00CE023D"/>
    <w:rsid w:val="00CE0264"/>
    <w:rsid w:val="00CE071D"/>
    <w:rsid w:val="00CE071F"/>
    <w:rsid w:val="00CE07AE"/>
    <w:rsid w:val="00CE0930"/>
    <w:rsid w:val="00CE0AED"/>
    <w:rsid w:val="00CE0B11"/>
    <w:rsid w:val="00CE0C30"/>
    <w:rsid w:val="00CE0D66"/>
    <w:rsid w:val="00CE0DB7"/>
    <w:rsid w:val="00CE0DD3"/>
    <w:rsid w:val="00CE0F09"/>
    <w:rsid w:val="00CE0F68"/>
    <w:rsid w:val="00CE14AD"/>
    <w:rsid w:val="00CE1586"/>
    <w:rsid w:val="00CE168D"/>
    <w:rsid w:val="00CE16BD"/>
    <w:rsid w:val="00CE1941"/>
    <w:rsid w:val="00CE1A92"/>
    <w:rsid w:val="00CE1AC3"/>
    <w:rsid w:val="00CE1D52"/>
    <w:rsid w:val="00CE2072"/>
    <w:rsid w:val="00CE221F"/>
    <w:rsid w:val="00CE22AF"/>
    <w:rsid w:val="00CE2500"/>
    <w:rsid w:val="00CE2563"/>
    <w:rsid w:val="00CE285C"/>
    <w:rsid w:val="00CE28C5"/>
    <w:rsid w:val="00CE28CC"/>
    <w:rsid w:val="00CE2AA8"/>
    <w:rsid w:val="00CE2BC8"/>
    <w:rsid w:val="00CE2C3F"/>
    <w:rsid w:val="00CE2CBF"/>
    <w:rsid w:val="00CE2EB9"/>
    <w:rsid w:val="00CE2EC4"/>
    <w:rsid w:val="00CE3113"/>
    <w:rsid w:val="00CE3158"/>
    <w:rsid w:val="00CE34B9"/>
    <w:rsid w:val="00CE38F4"/>
    <w:rsid w:val="00CE3975"/>
    <w:rsid w:val="00CE3A0E"/>
    <w:rsid w:val="00CE3A71"/>
    <w:rsid w:val="00CE3AB3"/>
    <w:rsid w:val="00CE3AF1"/>
    <w:rsid w:val="00CE3BA6"/>
    <w:rsid w:val="00CE3D55"/>
    <w:rsid w:val="00CE3E1B"/>
    <w:rsid w:val="00CE3FB8"/>
    <w:rsid w:val="00CE3FDA"/>
    <w:rsid w:val="00CE407C"/>
    <w:rsid w:val="00CE4084"/>
    <w:rsid w:val="00CE416F"/>
    <w:rsid w:val="00CE41D1"/>
    <w:rsid w:val="00CE4238"/>
    <w:rsid w:val="00CE42FD"/>
    <w:rsid w:val="00CE468F"/>
    <w:rsid w:val="00CE4755"/>
    <w:rsid w:val="00CE48DD"/>
    <w:rsid w:val="00CE4B2F"/>
    <w:rsid w:val="00CE4BF6"/>
    <w:rsid w:val="00CE4CA3"/>
    <w:rsid w:val="00CE4F01"/>
    <w:rsid w:val="00CE5113"/>
    <w:rsid w:val="00CE528C"/>
    <w:rsid w:val="00CE5462"/>
    <w:rsid w:val="00CE54CE"/>
    <w:rsid w:val="00CE56B0"/>
    <w:rsid w:val="00CE5702"/>
    <w:rsid w:val="00CE58BA"/>
    <w:rsid w:val="00CE5DD1"/>
    <w:rsid w:val="00CE5FDD"/>
    <w:rsid w:val="00CE6171"/>
    <w:rsid w:val="00CE617E"/>
    <w:rsid w:val="00CE6200"/>
    <w:rsid w:val="00CE66D1"/>
    <w:rsid w:val="00CE6BF5"/>
    <w:rsid w:val="00CE6CEA"/>
    <w:rsid w:val="00CE6D29"/>
    <w:rsid w:val="00CE6D50"/>
    <w:rsid w:val="00CE6E79"/>
    <w:rsid w:val="00CE7404"/>
    <w:rsid w:val="00CE740A"/>
    <w:rsid w:val="00CE746E"/>
    <w:rsid w:val="00CE7691"/>
    <w:rsid w:val="00CE76DC"/>
    <w:rsid w:val="00CE77BA"/>
    <w:rsid w:val="00CE7A1D"/>
    <w:rsid w:val="00CE7B39"/>
    <w:rsid w:val="00CE7B59"/>
    <w:rsid w:val="00CE7C42"/>
    <w:rsid w:val="00CE7E0D"/>
    <w:rsid w:val="00CE7EA6"/>
    <w:rsid w:val="00CE7FEF"/>
    <w:rsid w:val="00CF0063"/>
    <w:rsid w:val="00CF0242"/>
    <w:rsid w:val="00CF04DC"/>
    <w:rsid w:val="00CF0540"/>
    <w:rsid w:val="00CF07C2"/>
    <w:rsid w:val="00CF08AE"/>
    <w:rsid w:val="00CF08F1"/>
    <w:rsid w:val="00CF0A62"/>
    <w:rsid w:val="00CF0B60"/>
    <w:rsid w:val="00CF0C01"/>
    <w:rsid w:val="00CF0C2E"/>
    <w:rsid w:val="00CF0F28"/>
    <w:rsid w:val="00CF0FD3"/>
    <w:rsid w:val="00CF1183"/>
    <w:rsid w:val="00CF11EE"/>
    <w:rsid w:val="00CF12F2"/>
    <w:rsid w:val="00CF136E"/>
    <w:rsid w:val="00CF1760"/>
    <w:rsid w:val="00CF1917"/>
    <w:rsid w:val="00CF1BA6"/>
    <w:rsid w:val="00CF1E23"/>
    <w:rsid w:val="00CF20F7"/>
    <w:rsid w:val="00CF2177"/>
    <w:rsid w:val="00CF21BB"/>
    <w:rsid w:val="00CF25D6"/>
    <w:rsid w:val="00CF26FD"/>
    <w:rsid w:val="00CF2DC2"/>
    <w:rsid w:val="00CF2F29"/>
    <w:rsid w:val="00CF3010"/>
    <w:rsid w:val="00CF3020"/>
    <w:rsid w:val="00CF30B7"/>
    <w:rsid w:val="00CF32DF"/>
    <w:rsid w:val="00CF3404"/>
    <w:rsid w:val="00CF341A"/>
    <w:rsid w:val="00CF3613"/>
    <w:rsid w:val="00CF362A"/>
    <w:rsid w:val="00CF3663"/>
    <w:rsid w:val="00CF36E2"/>
    <w:rsid w:val="00CF3731"/>
    <w:rsid w:val="00CF38A4"/>
    <w:rsid w:val="00CF38A5"/>
    <w:rsid w:val="00CF38D2"/>
    <w:rsid w:val="00CF397C"/>
    <w:rsid w:val="00CF3995"/>
    <w:rsid w:val="00CF3A35"/>
    <w:rsid w:val="00CF3AB2"/>
    <w:rsid w:val="00CF3C77"/>
    <w:rsid w:val="00CF3DF8"/>
    <w:rsid w:val="00CF3EA5"/>
    <w:rsid w:val="00CF409E"/>
    <w:rsid w:val="00CF40D1"/>
    <w:rsid w:val="00CF40EF"/>
    <w:rsid w:val="00CF4287"/>
    <w:rsid w:val="00CF433C"/>
    <w:rsid w:val="00CF46DE"/>
    <w:rsid w:val="00CF498F"/>
    <w:rsid w:val="00CF4B4E"/>
    <w:rsid w:val="00CF4BD1"/>
    <w:rsid w:val="00CF4D2E"/>
    <w:rsid w:val="00CF4F1A"/>
    <w:rsid w:val="00CF502D"/>
    <w:rsid w:val="00CF551F"/>
    <w:rsid w:val="00CF58B8"/>
    <w:rsid w:val="00CF58E8"/>
    <w:rsid w:val="00CF5957"/>
    <w:rsid w:val="00CF5A96"/>
    <w:rsid w:val="00CF5E79"/>
    <w:rsid w:val="00CF61DF"/>
    <w:rsid w:val="00CF61F1"/>
    <w:rsid w:val="00CF6292"/>
    <w:rsid w:val="00CF63C3"/>
    <w:rsid w:val="00CF6661"/>
    <w:rsid w:val="00CF67BD"/>
    <w:rsid w:val="00CF6A98"/>
    <w:rsid w:val="00CF6BFE"/>
    <w:rsid w:val="00CF6D05"/>
    <w:rsid w:val="00CF6D70"/>
    <w:rsid w:val="00CF7044"/>
    <w:rsid w:val="00CF70ED"/>
    <w:rsid w:val="00CF71BD"/>
    <w:rsid w:val="00CF73ED"/>
    <w:rsid w:val="00CF73F6"/>
    <w:rsid w:val="00CF7723"/>
    <w:rsid w:val="00CF7753"/>
    <w:rsid w:val="00CF7A9F"/>
    <w:rsid w:val="00CF7B51"/>
    <w:rsid w:val="00CF7C4A"/>
    <w:rsid w:val="00CF7CD3"/>
    <w:rsid w:val="00CF7D3D"/>
    <w:rsid w:val="00CF7F88"/>
    <w:rsid w:val="00D00126"/>
    <w:rsid w:val="00D002AD"/>
    <w:rsid w:val="00D002E8"/>
    <w:rsid w:val="00D0037E"/>
    <w:rsid w:val="00D00447"/>
    <w:rsid w:val="00D005CC"/>
    <w:rsid w:val="00D00828"/>
    <w:rsid w:val="00D0089F"/>
    <w:rsid w:val="00D00BFB"/>
    <w:rsid w:val="00D00C68"/>
    <w:rsid w:val="00D00CB7"/>
    <w:rsid w:val="00D00D21"/>
    <w:rsid w:val="00D01006"/>
    <w:rsid w:val="00D0105B"/>
    <w:rsid w:val="00D010F8"/>
    <w:rsid w:val="00D01117"/>
    <w:rsid w:val="00D0113C"/>
    <w:rsid w:val="00D01354"/>
    <w:rsid w:val="00D01355"/>
    <w:rsid w:val="00D013E5"/>
    <w:rsid w:val="00D015D0"/>
    <w:rsid w:val="00D01824"/>
    <w:rsid w:val="00D01856"/>
    <w:rsid w:val="00D019AB"/>
    <w:rsid w:val="00D01A1B"/>
    <w:rsid w:val="00D01C8C"/>
    <w:rsid w:val="00D01D05"/>
    <w:rsid w:val="00D01D83"/>
    <w:rsid w:val="00D01FE0"/>
    <w:rsid w:val="00D0212E"/>
    <w:rsid w:val="00D02278"/>
    <w:rsid w:val="00D02339"/>
    <w:rsid w:val="00D0275F"/>
    <w:rsid w:val="00D02818"/>
    <w:rsid w:val="00D02A16"/>
    <w:rsid w:val="00D02BE9"/>
    <w:rsid w:val="00D02D15"/>
    <w:rsid w:val="00D02D6F"/>
    <w:rsid w:val="00D0302B"/>
    <w:rsid w:val="00D0310C"/>
    <w:rsid w:val="00D0313C"/>
    <w:rsid w:val="00D0348E"/>
    <w:rsid w:val="00D03754"/>
    <w:rsid w:val="00D03A2C"/>
    <w:rsid w:val="00D03B31"/>
    <w:rsid w:val="00D03D90"/>
    <w:rsid w:val="00D03E50"/>
    <w:rsid w:val="00D03E70"/>
    <w:rsid w:val="00D03ED9"/>
    <w:rsid w:val="00D03F68"/>
    <w:rsid w:val="00D03F88"/>
    <w:rsid w:val="00D040DD"/>
    <w:rsid w:val="00D041DF"/>
    <w:rsid w:val="00D0435A"/>
    <w:rsid w:val="00D045EE"/>
    <w:rsid w:val="00D04887"/>
    <w:rsid w:val="00D048D0"/>
    <w:rsid w:val="00D04908"/>
    <w:rsid w:val="00D049F3"/>
    <w:rsid w:val="00D04AF6"/>
    <w:rsid w:val="00D04B2D"/>
    <w:rsid w:val="00D04D3A"/>
    <w:rsid w:val="00D04D75"/>
    <w:rsid w:val="00D04D91"/>
    <w:rsid w:val="00D04DBF"/>
    <w:rsid w:val="00D04E2A"/>
    <w:rsid w:val="00D04E6F"/>
    <w:rsid w:val="00D04F03"/>
    <w:rsid w:val="00D050DB"/>
    <w:rsid w:val="00D05107"/>
    <w:rsid w:val="00D052E0"/>
    <w:rsid w:val="00D054F6"/>
    <w:rsid w:val="00D05518"/>
    <w:rsid w:val="00D0576A"/>
    <w:rsid w:val="00D05A8F"/>
    <w:rsid w:val="00D05B7A"/>
    <w:rsid w:val="00D05CCB"/>
    <w:rsid w:val="00D05D46"/>
    <w:rsid w:val="00D05D83"/>
    <w:rsid w:val="00D05DF1"/>
    <w:rsid w:val="00D05F6A"/>
    <w:rsid w:val="00D06010"/>
    <w:rsid w:val="00D0606C"/>
    <w:rsid w:val="00D06175"/>
    <w:rsid w:val="00D061A7"/>
    <w:rsid w:val="00D06267"/>
    <w:rsid w:val="00D06403"/>
    <w:rsid w:val="00D06646"/>
    <w:rsid w:val="00D0666F"/>
    <w:rsid w:val="00D066B3"/>
    <w:rsid w:val="00D06773"/>
    <w:rsid w:val="00D069F5"/>
    <w:rsid w:val="00D06A28"/>
    <w:rsid w:val="00D06A8E"/>
    <w:rsid w:val="00D06A96"/>
    <w:rsid w:val="00D06ABD"/>
    <w:rsid w:val="00D06F0E"/>
    <w:rsid w:val="00D06FC9"/>
    <w:rsid w:val="00D0714F"/>
    <w:rsid w:val="00D0734F"/>
    <w:rsid w:val="00D0743E"/>
    <w:rsid w:val="00D0747E"/>
    <w:rsid w:val="00D074B4"/>
    <w:rsid w:val="00D078B8"/>
    <w:rsid w:val="00D07A3B"/>
    <w:rsid w:val="00D07A6E"/>
    <w:rsid w:val="00D07AAD"/>
    <w:rsid w:val="00D07BEB"/>
    <w:rsid w:val="00D07C39"/>
    <w:rsid w:val="00D07D2F"/>
    <w:rsid w:val="00D07F4A"/>
    <w:rsid w:val="00D07FAF"/>
    <w:rsid w:val="00D1018A"/>
    <w:rsid w:val="00D1049C"/>
    <w:rsid w:val="00D106BA"/>
    <w:rsid w:val="00D107B9"/>
    <w:rsid w:val="00D10828"/>
    <w:rsid w:val="00D1087C"/>
    <w:rsid w:val="00D10931"/>
    <w:rsid w:val="00D10A85"/>
    <w:rsid w:val="00D10E5F"/>
    <w:rsid w:val="00D10ED4"/>
    <w:rsid w:val="00D10F3C"/>
    <w:rsid w:val="00D10F53"/>
    <w:rsid w:val="00D10F63"/>
    <w:rsid w:val="00D11026"/>
    <w:rsid w:val="00D11123"/>
    <w:rsid w:val="00D111C7"/>
    <w:rsid w:val="00D11249"/>
    <w:rsid w:val="00D11274"/>
    <w:rsid w:val="00D113FC"/>
    <w:rsid w:val="00D11987"/>
    <w:rsid w:val="00D11A5B"/>
    <w:rsid w:val="00D11B17"/>
    <w:rsid w:val="00D11B46"/>
    <w:rsid w:val="00D11C61"/>
    <w:rsid w:val="00D11E27"/>
    <w:rsid w:val="00D11E9B"/>
    <w:rsid w:val="00D11FFB"/>
    <w:rsid w:val="00D12031"/>
    <w:rsid w:val="00D121E4"/>
    <w:rsid w:val="00D1230B"/>
    <w:rsid w:val="00D12595"/>
    <w:rsid w:val="00D127AD"/>
    <w:rsid w:val="00D127E8"/>
    <w:rsid w:val="00D1293B"/>
    <w:rsid w:val="00D129A9"/>
    <w:rsid w:val="00D129BF"/>
    <w:rsid w:val="00D129F4"/>
    <w:rsid w:val="00D12B33"/>
    <w:rsid w:val="00D12D6E"/>
    <w:rsid w:val="00D132E9"/>
    <w:rsid w:val="00D132F6"/>
    <w:rsid w:val="00D1333F"/>
    <w:rsid w:val="00D1334B"/>
    <w:rsid w:val="00D13433"/>
    <w:rsid w:val="00D13600"/>
    <w:rsid w:val="00D13AAB"/>
    <w:rsid w:val="00D13B6D"/>
    <w:rsid w:val="00D13CD0"/>
    <w:rsid w:val="00D13F13"/>
    <w:rsid w:val="00D13F46"/>
    <w:rsid w:val="00D14035"/>
    <w:rsid w:val="00D14157"/>
    <w:rsid w:val="00D14780"/>
    <w:rsid w:val="00D14966"/>
    <w:rsid w:val="00D14B88"/>
    <w:rsid w:val="00D14D33"/>
    <w:rsid w:val="00D14D5C"/>
    <w:rsid w:val="00D14DB8"/>
    <w:rsid w:val="00D14E37"/>
    <w:rsid w:val="00D14EC1"/>
    <w:rsid w:val="00D14F0C"/>
    <w:rsid w:val="00D15116"/>
    <w:rsid w:val="00D152AA"/>
    <w:rsid w:val="00D152D7"/>
    <w:rsid w:val="00D1531F"/>
    <w:rsid w:val="00D15365"/>
    <w:rsid w:val="00D1546B"/>
    <w:rsid w:val="00D15512"/>
    <w:rsid w:val="00D1552A"/>
    <w:rsid w:val="00D155F6"/>
    <w:rsid w:val="00D157D7"/>
    <w:rsid w:val="00D15879"/>
    <w:rsid w:val="00D15D5E"/>
    <w:rsid w:val="00D15D73"/>
    <w:rsid w:val="00D15DF2"/>
    <w:rsid w:val="00D15E3B"/>
    <w:rsid w:val="00D16044"/>
    <w:rsid w:val="00D16063"/>
    <w:rsid w:val="00D161B3"/>
    <w:rsid w:val="00D1642A"/>
    <w:rsid w:val="00D1660C"/>
    <w:rsid w:val="00D1671C"/>
    <w:rsid w:val="00D1674B"/>
    <w:rsid w:val="00D167CE"/>
    <w:rsid w:val="00D168A5"/>
    <w:rsid w:val="00D169BE"/>
    <w:rsid w:val="00D16A66"/>
    <w:rsid w:val="00D16A8C"/>
    <w:rsid w:val="00D16BC4"/>
    <w:rsid w:val="00D16C87"/>
    <w:rsid w:val="00D16DE1"/>
    <w:rsid w:val="00D16F1F"/>
    <w:rsid w:val="00D16FF7"/>
    <w:rsid w:val="00D170AD"/>
    <w:rsid w:val="00D17478"/>
    <w:rsid w:val="00D176DB"/>
    <w:rsid w:val="00D17887"/>
    <w:rsid w:val="00D1798B"/>
    <w:rsid w:val="00D179DA"/>
    <w:rsid w:val="00D17B81"/>
    <w:rsid w:val="00D17E5B"/>
    <w:rsid w:val="00D17EEA"/>
    <w:rsid w:val="00D20130"/>
    <w:rsid w:val="00D202F8"/>
    <w:rsid w:val="00D2032F"/>
    <w:rsid w:val="00D20418"/>
    <w:rsid w:val="00D20424"/>
    <w:rsid w:val="00D20556"/>
    <w:rsid w:val="00D20572"/>
    <w:rsid w:val="00D20574"/>
    <w:rsid w:val="00D205C5"/>
    <w:rsid w:val="00D206CA"/>
    <w:rsid w:val="00D2071C"/>
    <w:rsid w:val="00D20A6C"/>
    <w:rsid w:val="00D20AB7"/>
    <w:rsid w:val="00D20BE5"/>
    <w:rsid w:val="00D20BE7"/>
    <w:rsid w:val="00D20BFA"/>
    <w:rsid w:val="00D20C4F"/>
    <w:rsid w:val="00D20E06"/>
    <w:rsid w:val="00D20F7E"/>
    <w:rsid w:val="00D210AE"/>
    <w:rsid w:val="00D211FB"/>
    <w:rsid w:val="00D212A2"/>
    <w:rsid w:val="00D2132F"/>
    <w:rsid w:val="00D21791"/>
    <w:rsid w:val="00D2189E"/>
    <w:rsid w:val="00D2196F"/>
    <w:rsid w:val="00D21A39"/>
    <w:rsid w:val="00D21AC7"/>
    <w:rsid w:val="00D2200E"/>
    <w:rsid w:val="00D2223F"/>
    <w:rsid w:val="00D222EF"/>
    <w:rsid w:val="00D2237E"/>
    <w:rsid w:val="00D2244F"/>
    <w:rsid w:val="00D22725"/>
    <w:rsid w:val="00D229FF"/>
    <w:rsid w:val="00D22ACF"/>
    <w:rsid w:val="00D22ADD"/>
    <w:rsid w:val="00D22C9D"/>
    <w:rsid w:val="00D22CEE"/>
    <w:rsid w:val="00D22D34"/>
    <w:rsid w:val="00D22DBD"/>
    <w:rsid w:val="00D22DD8"/>
    <w:rsid w:val="00D22EDE"/>
    <w:rsid w:val="00D22F2F"/>
    <w:rsid w:val="00D232B8"/>
    <w:rsid w:val="00D23318"/>
    <w:rsid w:val="00D2332E"/>
    <w:rsid w:val="00D23491"/>
    <w:rsid w:val="00D2376C"/>
    <w:rsid w:val="00D23833"/>
    <w:rsid w:val="00D238E7"/>
    <w:rsid w:val="00D23917"/>
    <w:rsid w:val="00D23B5A"/>
    <w:rsid w:val="00D23BB6"/>
    <w:rsid w:val="00D23BDB"/>
    <w:rsid w:val="00D23C0D"/>
    <w:rsid w:val="00D23D5A"/>
    <w:rsid w:val="00D23EAC"/>
    <w:rsid w:val="00D23EEA"/>
    <w:rsid w:val="00D24100"/>
    <w:rsid w:val="00D242A9"/>
    <w:rsid w:val="00D24403"/>
    <w:rsid w:val="00D244C4"/>
    <w:rsid w:val="00D2482B"/>
    <w:rsid w:val="00D24919"/>
    <w:rsid w:val="00D2499F"/>
    <w:rsid w:val="00D249CA"/>
    <w:rsid w:val="00D24A06"/>
    <w:rsid w:val="00D24A7F"/>
    <w:rsid w:val="00D24AC2"/>
    <w:rsid w:val="00D24CE7"/>
    <w:rsid w:val="00D24F6D"/>
    <w:rsid w:val="00D250E3"/>
    <w:rsid w:val="00D25104"/>
    <w:rsid w:val="00D25235"/>
    <w:rsid w:val="00D25271"/>
    <w:rsid w:val="00D253A4"/>
    <w:rsid w:val="00D255E4"/>
    <w:rsid w:val="00D2562D"/>
    <w:rsid w:val="00D25C0C"/>
    <w:rsid w:val="00D25CE6"/>
    <w:rsid w:val="00D261EB"/>
    <w:rsid w:val="00D26235"/>
    <w:rsid w:val="00D26405"/>
    <w:rsid w:val="00D265D0"/>
    <w:rsid w:val="00D26657"/>
    <w:rsid w:val="00D2674D"/>
    <w:rsid w:val="00D2677D"/>
    <w:rsid w:val="00D268E2"/>
    <w:rsid w:val="00D268F8"/>
    <w:rsid w:val="00D26A1B"/>
    <w:rsid w:val="00D26BA1"/>
    <w:rsid w:val="00D26C4B"/>
    <w:rsid w:val="00D26CA4"/>
    <w:rsid w:val="00D26E2F"/>
    <w:rsid w:val="00D26EE0"/>
    <w:rsid w:val="00D26FA2"/>
    <w:rsid w:val="00D273CC"/>
    <w:rsid w:val="00D274A7"/>
    <w:rsid w:val="00D27567"/>
    <w:rsid w:val="00D27971"/>
    <w:rsid w:val="00D27B2C"/>
    <w:rsid w:val="00D27F4C"/>
    <w:rsid w:val="00D27F68"/>
    <w:rsid w:val="00D3009F"/>
    <w:rsid w:val="00D301A2"/>
    <w:rsid w:val="00D301B7"/>
    <w:rsid w:val="00D301E2"/>
    <w:rsid w:val="00D302C7"/>
    <w:rsid w:val="00D304C7"/>
    <w:rsid w:val="00D304C9"/>
    <w:rsid w:val="00D30515"/>
    <w:rsid w:val="00D3058C"/>
    <w:rsid w:val="00D30603"/>
    <w:rsid w:val="00D3067E"/>
    <w:rsid w:val="00D307C7"/>
    <w:rsid w:val="00D30812"/>
    <w:rsid w:val="00D30A4B"/>
    <w:rsid w:val="00D30B3B"/>
    <w:rsid w:val="00D30D70"/>
    <w:rsid w:val="00D30E77"/>
    <w:rsid w:val="00D30EE0"/>
    <w:rsid w:val="00D310F6"/>
    <w:rsid w:val="00D3118F"/>
    <w:rsid w:val="00D313F8"/>
    <w:rsid w:val="00D316DD"/>
    <w:rsid w:val="00D317BD"/>
    <w:rsid w:val="00D31A48"/>
    <w:rsid w:val="00D31ADA"/>
    <w:rsid w:val="00D31B71"/>
    <w:rsid w:val="00D31BEB"/>
    <w:rsid w:val="00D31C0B"/>
    <w:rsid w:val="00D31C89"/>
    <w:rsid w:val="00D31D0F"/>
    <w:rsid w:val="00D31D4E"/>
    <w:rsid w:val="00D31DB5"/>
    <w:rsid w:val="00D31E39"/>
    <w:rsid w:val="00D31EA7"/>
    <w:rsid w:val="00D31FC6"/>
    <w:rsid w:val="00D321E9"/>
    <w:rsid w:val="00D323AE"/>
    <w:rsid w:val="00D32532"/>
    <w:rsid w:val="00D325C9"/>
    <w:rsid w:val="00D328A4"/>
    <w:rsid w:val="00D32A77"/>
    <w:rsid w:val="00D32D83"/>
    <w:rsid w:val="00D32E58"/>
    <w:rsid w:val="00D33071"/>
    <w:rsid w:val="00D33085"/>
    <w:rsid w:val="00D33147"/>
    <w:rsid w:val="00D33291"/>
    <w:rsid w:val="00D33484"/>
    <w:rsid w:val="00D33537"/>
    <w:rsid w:val="00D335A5"/>
    <w:rsid w:val="00D33AC8"/>
    <w:rsid w:val="00D33B06"/>
    <w:rsid w:val="00D33BF0"/>
    <w:rsid w:val="00D3412B"/>
    <w:rsid w:val="00D3435A"/>
    <w:rsid w:val="00D345FC"/>
    <w:rsid w:val="00D34831"/>
    <w:rsid w:val="00D348CF"/>
    <w:rsid w:val="00D34A97"/>
    <w:rsid w:val="00D34ACB"/>
    <w:rsid w:val="00D34B8D"/>
    <w:rsid w:val="00D34BAE"/>
    <w:rsid w:val="00D34C83"/>
    <w:rsid w:val="00D34FAD"/>
    <w:rsid w:val="00D350C6"/>
    <w:rsid w:val="00D350C8"/>
    <w:rsid w:val="00D35545"/>
    <w:rsid w:val="00D3572E"/>
    <w:rsid w:val="00D35844"/>
    <w:rsid w:val="00D35854"/>
    <w:rsid w:val="00D358D5"/>
    <w:rsid w:val="00D359A7"/>
    <w:rsid w:val="00D35A70"/>
    <w:rsid w:val="00D35B57"/>
    <w:rsid w:val="00D35BF0"/>
    <w:rsid w:val="00D35C9A"/>
    <w:rsid w:val="00D35E7D"/>
    <w:rsid w:val="00D35F1E"/>
    <w:rsid w:val="00D35F8D"/>
    <w:rsid w:val="00D36047"/>
    <w:rsid w:val="00D36108"/>
    <w:rsid w:val="00D361AC"/>
    <w:rsid w:val="00D3634A"/>
    <w:rsid w:val="00D36542"/>
    <w:rsid w:val="00D36787"/>
    <w:rsid w:val="00D36793"/>
    <w:rsid w:val="00D367EA"/>
    <w:rsid w:val="00D36944"/>
    <w:rsid w:val="00D3699F"/>
    <w:rsid w:val="00D36C46"/>
    <w:rsid w:val="00D36DC2"/>
    <w:rsid w:val="00D36E1E"/>
    <w:rsid w:val="00D36EDA"/>
    <w:rsid w:val="00D3716D"/>
    <w:rsid w:val="00D37199"/>
    <w:rsid w:val="00D372E9"/>
    <w:rsid w:val="00D374AF"/>
    <w:rsid w:val="00D375CF"/>
    <w:rsid w:val="00D376F8"/>
    <w:rsid w:val="00D3774F"/>
    <w:rsid w:val="00D377EB"/>
    <w:rsid w:val="00D37955"/>
    <w:rsid w:val="00D37983"/>
    <w:rsid w:val="00D379E3"/>
    <w:rsid w:val="00D37A9B"/>
    <w:rsid w:val="00D37ACD"/>
    <w:rsid w:val="00D37C67"/>
    <w:rsid w:val="00D37CF4"/>
    <w:rsid w:val="00D37DEF"/>
    <w:rsid w:val="00D37E64"/>
    <w:rsid w:val="00D37F42"/>
    <w:rsid w:val="00D37FA5"/>
    <w:rsid w:val="00D40115"/>
    <w:rsid w:val="00D4028B"/>
    <w:rsid w:val="00D40363"/>
    <w:rsid w:val="00D40579"/>
    <w:rsid w:val="00D409E3"/>
    <w:rsid w:val="00D409FD"/>
    <w:rsid w:val="00D40A8D"/>
    <w:rsid w:val="00D40B6C"/>
    <w:rsid w:val="00D40D29"/>
    <w:rsid w:val="00D40DE2"/>
    <w:rsid w:val="00D4105C"/>
    <w:rsid w:val="00D41210"/>
    <w:rsid w:val="00D41695"/>
    <w:rsid w:val="00D41766"/>
    <w:rsid w:val="00D4182E"/>
    <w:rsid w:val="00D41A44"/>
    <w:rsid w:val="00D41AC4"/>
    <w:rsid w:val="00D41AEE"/>
    <w:rsid w:val="00D41B31"/>
    <w:rsid w:val="00D41C6B"/>
    <w:rsid w:val="00D41C97"/>
    <w:rsid w:val="00D41F0A"/>
    <w:rsid w:val="00D420B6"/>
    <w:rsid w:val="00D420F6"/>
    <w:rsid w:val="00D4217D"/>
    <w:rsid w:val="00D421D4"/>
    <w:rsid w:val="00D4234D"/>
    <w:rsid w:val="00D42375"/>
    <w:rsid w:val="00D425A5"/>
    <w:rsid w:val="00D426DC"/>
    <w:rsid w:val="00D42708"/>
    <w:rsid w:val="00D428FE"/>
    <w:rsid w:val="00D42A76"/>
    <w:rsid w:val="00D42C26"/>
    <w:rsid w:val="00D42D2B"/>
    <w:rsid w:val="00D42E07"/>
    <w:rsid w:val="00D42E52"/>
    <w:rsid w:val="00D43267"/>
    <w:rsid w:val="00D43541"/>
    <w:rsid w:val="00D43611"/>
    <w:rsid w:val="00D43651"/>
    <w:rsid w:val="00D43692"/>
    <w:rsid w:val="00D436D7"/>
    <w:rsid w:val="00D43780"/>
    <w:rsid w:val="00D4397B"/>
    <w:rsid w:val="00D43BB6"/>
    <w:rsid w:val="00D43BCC"/>
    <w:rsid w:val="00D43D63"/>
    <w:rsid w:val="00D43FB1"/>
    <w:rsid w:val="00D44030"/>
    <w:rsid w:val="00D44045"/>
    <w:rsid w:val="00D44089"/>
    <w:rsid w:val="00D441DA"/>
    <w:rsid w:val="00D44248"/>
    <w:rsid w:val="00D4428D"/>
    <w:rsid w:val="00D44781"/>
    <w:rsid w:val="00D44924"/>
    <w:rsid w:val="00D4499D"/>
    <w:rsid w:val="00D44A8A"/>
    <w:rsid w:val="00D44CA2"/>
    <w:rsid w:val="00D4501F"/>
    <w:rsid w:val="00D45059"/>
    <w:rsid w:val="00D4520D"/>
    <w:rsid w:val="00D455E3"/>
    <w:rsid w:val="00D456B8"/>
    <w:rsid w:val="00D457FE"/>
    <w:rsid w:val="00D45962"/>
    <w:rsid w:val="00D45DCD"/>
    <w:rsid w:val="00D460AF"/>
    <w:rsid w:val="00D463EF"/>
    <w:rsid w:val="00D46492"/>
    <w:rsid w:val="00D46513"/>
    <w:rsid w:val="00D46587"/>
    <w:rsid w:val="00D467F1"/>
    <w:rsid w:val="00D46803"/>
    <w:rsid w:val="00D46B95"/>
    <w:rsid w:val="00D46F30"/>
    <w:rsid w:val="00D471A6"/>
    <w:rsid w:val="00D471EA"/>
    <w:rsid w:val="00D471FF"/>
    <w:rsid w:val="00D47300"/>
    <w:rsid w:val="00D4742C"/>
    <w:rsid w:val="00D47449"/>
    <w:rsid w:val="00D47ABB"/>
    <w:rsid w:val="00D47B6B"/>
    <w:rsid w:val="00D47BE6"/>
    <w:rsid w:val="00D47C97"/>
    <w:rsid w:val="00D47E67"/>
    <w:rsid w:val="00D47FA4"/>
    <w:rsid w:val="00D501D5"/>
    <w:rsid w:val="00D50304"/>
    <w:rsid w:val="00D50392"/>
    <w:rsid w:val="00D5048A"/>
    <w:rsid w:val="00D50552"/>
    <w:rsid w:val="00D5075C"/>
    <w:rsid w:val="00D507C3"/>
    <w:rsid w:val="00D508AB"/>
    <w:rsid w:val="00D50ABB"/>
    <w:rsid w:val="00D50E51"/>
    <w:rsid w:val="00D51066"/>
    <w:rsid w:val="00D51118"/>
    <w:rsid w:val="00D51120"/>
    <w:rsid w:val="00D51281"/>
    <w:rsid w:val="00D5140B"/>
    <w:rsid w:val="00D51634"/>
    <w:rsid w:val="00D516F1"/>
    <w:rsid w:val="00D517B3"/>
    <w:rsid w:val="00D518F3"/>
    <w:rsid w:val="00D51B26"/>
    <w:rsid w:val="00D51D2C"/>
    <w:rsid w:val="00D51E11"/>
    <w:rsid w:val="00D51E9C"/>
    <w:rsid w:val="00D51F8A"/>
    <w:rsid w:val="00D52032"/>
    <w:rsid w:val="00D526CF"/>
    <w:rsid w:val="00D526ED"/>
    <w:rsid w:val="00D526FD"/>
    <w:rsid w:val="00D5276E"/>
    <w:rsid w:val="00D52993"/>
    <w:rsid w:val="00D52A8E"/>
    <w:rsid w:val="00D52CA0"/>
    <w:rsid w:val="00D52CF5"/>
    <w:rsid w:val="00D52D85"/>
    <w:rsid w:val="00D52DBA"/>
    <w:rsid w:val="00D52EA5"/>
    <w:rsid w:val="00D53034"/>
    <w:rsid w:val="00D53064"/>
    <w:rsid w:val="00D53069"/>
    <w:rsid w:val="00D53092"/>
    <w:rsid w:val="00D53209"/>
    <w:rsid w:val="00D5328E"/>
    <w:rsid w:val="00D53339"/>
    <w:rsid w:val="00D5343A"/>
    <w:rsid w:val="00D5348E"/>
    <w:rsid w:val="00D5349B"/>
    <w:rsid w:val="00D536A3"/>
    <w:rsid w:val="00D53A04"/>
    <w:rsid w:val="00D53B10"/>
    <w:rsid w:val="00D53B76"/>
    <w:rsid w:val="00D53C8E"/>
    <w:rsid w:val="00D53E29"/>
    <w:rsid w:val="00D53F75"/>
    <w:rsid w:val="00D54100"/>
    <w:rsid w:val="00D541C3"/>
    <w:rsid w:val="00D54325"/>
    <w:rsid w:val="00D54334"/>
    <w:rsid w:val="00D54BB8"/>
    <w:rsid w:val="00D54C86"/>
    <w:rsid w:val="00D54CB1"/>
    <w:rsid w:val="00D54D7F"/>
    <w:rsid w:val="00D54E56"/>
    <w:rsid w:val="00D55003"/>
    <w:rsid w:val="00D55037"/>
    <w:rsid w:val="00D55171"/>
    <w:rsid w:val="00D551A7"/>
    <w:rsid w:val="00D554BD"/>
    <w:rsid w:val="00D55517"/>
    <w:rsid w:val="00D55744"/>
    <w:rsid w:val="00D55A21"/>
    <w:rsid w:val="00D55A54"/>
    <w:rsid w:val="00D55AFC"/>
    <w:rsid w:val="00D55B35"/>
    <w:rsid w:val="00D55C49"/>
    <w:rsid w:val="00D55EA1"/>
    <w:rsid w:val="00D55F82"/>
    <w:rsid w:val="00D5600D"/>
    <w:rsid w:val="00D56263"/>
    <w:rsid w:val="00D56304"/>
    <w:rsid w:val="00D56557"/>
    <w:rsid w:val="00D5666C"/>
    <w:rsid w:val="00D566DD"/>
    <w:rsid w:val="00D5672D"/>
    <w:rsid w:val="00D56908"/>
    <w:rsid w:val="00D56BAD"/>
    <w:rsid w:val="00D56BB2"/>
    <w:rsid w:val="00D56C06"/>
    <w:rsid w:val="00D56D7D"/>
    <w:rsid w:val="00D56EBE"/>
    <w:rsid w:val="00D56ED3"/>
    <w:rsid w:val="00D56FC5"/>
    <w:rsid w:val="00D5707C"/>
    <w:rsid w:val="00D570E5"/>
    <w:rsid w:val="00D5710C"/>
    <w:rsid w:val="00D57168"/>
    <w:rsid w:val="00D571BA"/>
    <w:rsid w:val="00D5732E"/>
    <w:rsid w:val="00D57343"/>
    <w:rsid w:val="00D573FE"/>
    <w:rsid w:val="00D574CF"/>
    <w:rsid w:val="00D57600"/>
    <w:rsid w:val="00D57690"/>
    <w:rsid w:val="00D57A1A"/>
    <w:rsid w:val="00D57BEF"/>
    <w:rsid w:val="00D60199"/>
    <w:rsid w:val="00D60349"/>
    <w:rsid w:val="00D607DA"/>
    <w:rsid w:val="00D609DC"/>
    <w:rsid w:val="00D60A65"/>
    <w:rsid w:val="00D60BBB"/>
    <w:rsid w:val="00D60C65"/>
    <w:rsid w:val="00D612E7"/>
    <w:rsid w:val="00D613AA"/>
    <w:rsid w:val="00D6161D"/>
    <w:rsid w:val="00D616F1"/>
    <w:rsid w:val="00D6173D"/>
    <w:rsid w:val="00D61888"/>
    <w:rsid w:val="00D61902"/>
    <w:rsid w:val="00D61941"/>
    <w:rsid w:val="00D61B65"/>
    <w:rsid w:val="00D61D86"/>
    <w:rsid w:val="00D61D9E"/>
    <w:rsid w:val="00D6202A"/>
    <w:rsid w:val="00D621BD"/>
    <w:rsid w:val="00D62200"/>
    <w:rsid w:val="00D62269"/>
    <w:rsid w:val="00D623F0"/>
    <w:rsid w:val="00D6248F"/>
    <w:rsid w:val="00D625F5"/>
    <w:rsid w:val="00D6260B"/>
    <w:rsid w:val="00D62666"/>
    <w:rsid w:val="00D627DA"/>
    <w:rsid w:val="00D62923"/>
    <w:rsid w:val="00D6298C"/>
    <w:rsid w:val="00D62A9E"/>
    <w:rsid w:val="00D62EBD"/>
    <w:rsid w:val="00D62F33"/>
    <w:rsid w:val="00D62F58"/>
    <w:rsid w:val="00D62F5B"/>
    <w:rsid w:val="00D63071"/>
    <w:rsid w:val="00D630E5"/>
    <w:rsid w:val="00D63112"/>
    <w:rsid w:val="00D632BF"/>
    <w:rsid w:val="00D63370"/>
    <w:rsid w:val="00D63616"/>
    <w:rsid w:val="00D6362A"/>
    <w:rsid w:val="00D63660"/>
    <w:rsid w:val="00D63919"/>
    <w:rsid w:val="00D63983"/>
    <w:rsid w:val="00D639D2"/>
    <w:rsid w:val="00D63A33"/>
    <w:rsid w:val="00D63A3B"/>
    <w:rsid w:val="00D63C20"/>
    <w:rsid w:val="00D63CD9"/>
    <w:rsid w:val="00D641AB"/>
    <w:rsid w:val="00D64692"/>
    <w:rsid w:val="00D6488D"/>
    <w:rsid w:val="00D648D3"/>
    <w:rsid w:val="00D648D7"/>
    <w:rsid w:val="00D64901"/>
    <w:rsid w:val="00D64943"/>
    <w:rsid w:val="00D64961"/>
    <w:rsid w:val="00D6497F"/>
    <w:rsid w:val="00D64A63"/>
    <w:rsid w:val="00D64C24"/>
    <w:rsid w:val="00D64C93"/>
    <w:rsid w:val="00D64D74"/>
    <w:rsid w:val="00D64F32"/>
    <w:rsid w:val="00D64F4C"/>
    <w:rsid w:val="00D650AD"/>
    <w:rsid w:val="00D6552E"/>
    <w:rsid w:val="00D6558F"/>
    <w:rsid w:val="00D6575B"/>
    <w:rsid w:val="00D6591E"/>
    <w:rsid w:val="00D6599F"/>
    <w:rsid w:val="00D65A5A"/>
    <w:rsid w:val="00D65CE7"/>
    <w:rsid w:val="00D65FC4"/>
    <w:rsid w:val="00D661C8"/>
    <w:rsid w:val="00D6628C"/>
    <w:rsid w:val="00D66466"/>
    <w:rsid w:val="00D66478"/>
    <w:rsid w:val="00D6651A"/>
    <w:rsid w:val="00D666E3"/>
    <w:rsid w:val="00D66A3B"/>
    <w:rsid w:val="00D66ACD"/>
    <w:rsid w:val="00D66F80"/>
    <w:rsid w:val="00D672FD"/>
    <w:rsid w:val="00D67325"/>
    <w:rsid w:val="00D67425"/>
    <w:rsid w:val="00D6759E"/>
    <w:rsid w:val="00D6777A"/>
    <w:rsid w:val="00D6777F"/>
    <w:rsid w:val="00D6785C"/>
    <w:rsid w:val="00D678A8"/>
    <w:rsid w:val="00D679FA"/>
    <w:rsid w:val="00D67A75"/>
    <w:rsid w:val="00D67B74"/>
    <w:rsid w:val="00D67B97"/>
    <w:rsid w:val="00D67C0C"/>
    <w:rsid w:val="00D67C4F"/>
    <w:rsid w:val="00D67D63"/>
    <w:rsid w:val="00D67E83"/>
    <w:rsid w:val="00D67ED1"/>
    <w:rsid w:val="00D67EFA"/>
    <w:rsid w:val="00D67F33"/>
    <w:rsid w:val="00D703CC"/>
    <w:rsid w:val="00D7051A"/>
    <w:rsid w:val="00D7065A"/>
    <w:rsid w:val="00D708D5"/>
    <w:rsid w:val="00D7098C"/>
    <w:rsid w:val="00D70B85"/>
    <w:rsid w:val="00D70CE3"/>
    <w:rsid w:val="00D70F40"/>
    <w:rsid w:val="00D71389"/>
    <w:rsid w:val="00D71393"/>
    <w:rsid w:val="00D716CF"/>
    <w:rsid w:val="00D716FC"/>
    <w:rsid w:val="00D71860"/>
    <w:rsid w:val="00D71878"/>
    <w:rsid w:val="00D718D9"/>
    <w:rsid w:val="00D7192C"/>
    <w:rsid w:val="00D7193C"/>
    <w:rsid w:val="00D71946"/>
    <w:rsid w:val="00D71950"/>
    <w:rsid w:val="00D71B5D"/>
    <w:rsid w:val="00D71E22"/>
    <w:rsid w:val="00D71F54"/>
    <w:rsid w:val="00D71FAC"/>
    <w:rsid w:val="00D72185"/>
    <w:rsid w:val="00D7232D"/>
    <w:rsid w:val="00D726E1"/>
    <w:rsid w:val="00D72704"/>
    <w:rsid w:val="00D72705"/>
    <w:rsid w:val="00D7272A"/>
    <w:rsid w:val="00D727C7"/>
    <w:rsid w:val="00D727DD"/>
    <w:rsid w:val="00D727E8"/>
    <w:rsid w:val="00D72838"/>
    <w:rsid w:val="00D728A0"/>
    <w:rsid w:val="00D72B19"/>
    <w:rsid w:val="00D72BDE"/>
    <w:rsid w:val="00D72C79"/>
    <w:rsid w:val="00D72DF0"/>
    <w:rsid w:val="00D73290"/>
    <w:rsid w:val="00D73319"/>
    <w:rsid w:val="00D733B2"/>
    <w:rsid w:val="00D734D7"/>
    <w:rsid w:val="00D738B7"/>
    <w:rsid w:val="00D738FF"/>
    <w:rsid w:val="00D73A1D"/>
    <w:rsid w:val="00D73A26"/>
    <w:rsid w:val="00D73C4D"/>
    <w:rsid w:val="00D73FD3"/>
    <w:rsid w:val="00D740C8"/>
    <w:rsid w:val="00D74577"/>
    <w:rsid w:val="00D74798"/>
    <w:rsid w:val="00D74E75"/>
    <w:rsid w:val="00D74E80"/>
    <w:rsid w:val="00D74FD0"/>
    <w:rsid w:val="00D7508D"/>
    <w:rsid w:val="00D75092"/>
    <w:rsid w:val="00D750F7"/>
    <w:rsid w:val="00D75142"/>
    <w:rsid w:val="00D751CA"/>
    <w:rsid w:val="00D75318"/>
    <w:rsid w:val="00D75493"/>
    <w:rsid w:val="00D754C9"/>
    <w:rsid w:val="00D75698"/>
    <w:rsid w:val="00D7574B"/>
    <w:rsid w:val="00D757D6"/>
    <w:rsid w:val="00D7583A"/>
    <w:rsid w:val="00D758D3"/>
    <w:rsid w:val="00D75950"/>
    <w:rsid w:val="00D75A84"/>
    <w:rsid w:val="00D75BB6"/>
    <w:rsid w:val="00D75D7C"/>
    <w:rsid w:val="00D75E7A"/>
    <w:rsid w:val="00D75EB8"/>
    <w:rsid w:val="00D7600E"/>
    <w:rsid w:val="00D761FB"/>
    <w:rsid w:val="00D764DB"/>
    <w:rsid w:val="00D76715"/>
    <w:rsid w:val="00D76748"/>
    <w:rsid w:val="00D7685F"/>
    <w:rsid w:val="00D76B11"/>
    <w:rsid w:val="00D76C69"/>
    <w:rsid w:val="00D76EF1"/>
    <w:rsid w:val="00D76F60"/>
    <w:rsid w:val="00D7702B"/>
    <w:rsid w:val="00D773DD"/>
    <w:rsid w:val="00D77479"/>
    <w:rsid w:val="00D774CB"/>
    <w:rsid w:val="00D774D7"/>
    <w:rsid w:val="00D775E1"/>
    <w:rsid w:val="00D77771"/>
    <w:rsid w:val="00D777B2"/>
    <w:rsid w:val="00D7791E"/>
    <w:rsid w:val="00D77986"/>
    <w:rsid w:val="00D779E4"/>
    <w:rsid w:val="00D77C31"/>
    <w:rsid w:val="00D77D03"/>
    <w:rsid w:val="00D77FC4"/>
    <w:rsid w:val="00D8018B"/>
    <w:rsid w:val="00D80252"/>
    <w:rsid w:val="00D802CC"/>
    <w:rsid w:val="00D803C9"/>
    <w:rsid w:val="00D803EE"/>
    <w:rsid w:val="00D80415"/>
    <w:rsid w:val="00D804A4"/>
    <w:rsid w:val="00D80544"/>
    <w:rsid w:val="00D80595"/>
    <w:rsid w:val="00D80608"/>
    <w:rsid w:val="00D8066A"/>
    <w:rsid w:val="00D80771"/>
    <w:rsid w:val="00D80793"/>
    <w:rsid w:val="00D808B5"/>
    <w:rsid w:val="00D809DE"/>
    <w:rsid w:val="00D80C8B"/>
    <w:rsid w:val="00D80CFC"/>
    <w:rsid w:val="00D80F8C"/>
    <w:rsid w:val="00D81137"/>
    <w:rsid w:val="00D81184"/>
    <w:rsid w:val="00D81188"/>
    <w:rsid w:val="00D81566"/>
    <w:rsid w:val="00D81595"/>
    <w:rsid w:val="00D8164B"/>
    <w:rsid w:val="00D81651"/>
    <w:rsid w:val="00D818B0"/>
    <w:rsid w:val="00D81951"/>
    <w:rsid w:val="00D81B7F"/>
    <w:rsid w:val="00D81F0E"/>
    <w:rsid w:val="00D81F85"/>
    <w:rsid w:val="00D820F2"/>
    <w:rsid w:val="00D823EE"/>
    <w:rsid w:val="00D82813"/>
    <w:rsid w:val="00D82938"/>
    <w:rsid w:val="00D8295F"/>
    <w:rsid w:val="00D82A2E"/>
    <w:rsid w:val="00D82A8F"/>
    <w:rsid w:val="00D82A96"/>
    <w:rsid w:val="00D82B7C"/>
    <w:rsid w:val="00D82C4D"/>
    <w:rsid w:val="00D82D19"/>
    <w:rsid w:val="00D82D5F"/>
    <w:rsid w:val="00D82DC1"/>
    <w:rsid w:val="00D82E06"/>
    <w:rsid w:val="00D82E7F"/>
    <w:rsid w:val="00D82F72"/>
    <w:rsid w:val="00D82FB1"/>
    <w:rsid w:val="00D834D2"/>
    <w:rsid w:val="00D83653"/>
    <w:rsid w:val="00D837EF"/>
    <w:rsid w:val="00D83ADF"/>
    <w:rsid w:val="00D83C9B"/>
    <w:rsid w:val="00D83CE2"/>
    <w:rsid w:val="00D83E18"/>
    <w:rsid w:val="00D84063"/>
    <w:rsid w:val="00D84091"/>
    <w:rsid w:val="00D840E9"/>
    <w:rsid w:val="00D8420D"/>
    <w:rsid w:val="00D842DD"/>
    <w:rsid w:val="00D84379"/>
    <w:rsid w:val="00D843C4"/>
    <w:rsid w:val="00D844E7"/>
    <w:rsid w:val="00D84533"/>
    <w:rsid w:val="00D84534"/>
    <w:rsid w:val="00D84A09"/>
    <w:rsid w:val="00D84B04"/>
    <w:rsid w:val="00D84B6B"/>
    <w:rsid w:val="00D84C08"/>
    <w:rsid w:val="00D84CAB"/>
    <w:rsid w:val="00D84D25"/>
    <w:rsid w:val="00D84D64"/>
    <w:rsid w:val="00D84EF4"/>
    <w:rsid w:val="00D84F81"/>
    <w:rsid w:val="00D850F8"/>
    <w:rsid w:val="00D85449"/>
    <w:rsid w:val="00D85616"/>
    <w:rsid w:val="00D8573B"/>
    <w:rsid w:val="00D85920"/>
    <w:rsid w:val="00D85988"/>
    <w:rsid w:val="00D85AD7"/>
    <w:rsid w:val="00D85D0C"/>
    <w:rsid w:val="00D85F2D"/>
    <w:rsid w:val="00D8600E"/>
    <w:rsid w:val="00D860EC"/>
    <w:rsid w:val="00D8613E"/>
    <w:rsid w:val="00D86167"/>
    <w:rsid w:val="00D861F2"/>
    <w:rsid w:val="00D862A0"/>
    <w:rsid w:val="00D862DA"/>
    <w:rsid w:val="00D8647B"/>
    <w:rsid w:val="00D86526"/>
    <w:rsid w:val="00D866D6"/>
    <w:rsid w:val="00D8679C"/>
    <w:rsid w:val="00D86802"/>
    <w:rsid w:val="00D86D13"/>
    <w:rsid w:val="00D86D54"/>
    <w:rsid w:val="00D86E54"/>
    <w:rsid w:val="00D87062"/>
    <w:rsid w:val="00D87171"/>
    <w:rsid w:val="00D871C1"/>
    <w:rsid w:val="00D874A0"/>
    <w:rsid w:val="00D874D3"/>
    <w:rsid w:val="00D874E7"/>
    <w:rsid w:val="00D8761C"/>
    <w:rsid w:val="00D876BE"/>
    <w:rsid w:val="00D8774D"/>
    <w:rsid w:val="00D87865"/>
    <w:rsid w:val="00D878D3"/>
    <w:rsid w:val="00D878E2"/>
    <w:rsid w:val="00D87981"/>
    <w:rsid w:val="00D87B9F"/>
    <w:rsid w:val="00D87E2C"/>
    <w:rsid w:val="00D87F87"/>
    <w:rsid w:val="00D87FAF"/>
    <w:rsid w:val="00D87FD5"/>
    <w:rsid w:val="00D90062"/>
    <w:rsid w:val="00D90074"/>
    <w:rsid w:val="00D900BB"/>
    <w:rsid w:val="00D900E6"/>
    <w:rsid w:val="00D90296"/>
    <w:rsid w:val="00D902FA"/>
    <w:rsid w:val="00D903D8"/>
    <w:rsid w:val="00D90680"/>
    <w:rsid w:val="00D906D2"/>
    <w:rsid w:val="00D9073B"/>
    <w:rsid w:val="00D90A49"/>
    <w:rsid w:val="00D90A7B"/>
    <w:rsid w:val="00D90A95"/>
    <w:rsid w:val="00D90AEF"/>
    <w:rsid w:val="00D90CCB"/>
    <w:rsid w:val="00D90FAA"/>
    <w:rsid w:val="00D91055"/>
    <w:rsid w:val="00D91188"/>
    <w:rsid w:val="00D914FD"/>
    <w:rsid w:val="00D918BF"/>
    <w:rsid w:val="00D91B53"/>
    <w:rsid w:val="00D91D88"/>
    <w:rsid w:val="00D91DB4"/>
    <w:rsid w:val="00D91E6A"/>
    <w:rsid w:val="00D91E88"/>
    <w:rsid w:val="00D92071"/>
    <w:rsid w:val="00D92182"/>
    <w:rsid w:val="00D922B2"/>
    <w:rsid w:val="00D92310"/>
    <w:rsid w:val="00D92546"/>
    <w:rsid w:val="00D9256F"/>
    <w:rsid w:val="00D92885"/>
    <w:rsid w:val="00D928C8"/>
    <w:rsid w:val="00D92B13"/>
    <w:rsid w:val="00D92B43"/>
    <w:rsid w:val="00D92B9B"/>
    <w:rsid w:val="00D92C2F"/>
    <w:rsid w:val="00D92D0C"/>
    <w:rsid w:val="00D92DCA"/>
    <w:rsid w:val="00D930E7"/>
    <w:rsid w:val="00D935BD"/>
    <w:rsid w:val="00D9394F"/>
    <w:rsid w:val="00D939F7"/>
    <w:rsid w:val="00D93A6D"/>
    <w:rsid w:val="00D93C88"/>
    <w:rsid w:val="00D93D07"/>
    <w:rsid w:val="00D93D57"/>
    <w:rsid w:val="00D93F5E"/>
    <w:rsid w:val="00D93FC5"/>
    <w:rsid w:val="00D9412B"/>
    <w:rsid w:val="00D941DE"/>
    <w:rsid w:val="00D94223"/>
    <w:rsid w:val="00D943C3"/>
    <w:rsid w:val="00D944D9"/>
    <w:rsid w:val="00D94699"/>
    <w:rsid w:val="00D94743"/>
    <w:rsid w:val="00D947F7"/>
    <w:rsid w:val="00D94AEC"/>
    <w:rsid w:val="00D94B5D"/>
    <w:rsid w:val="00D94BC1"/>
    <w:rsid w:val="00D94C43"/>
    <w:rsid w:val="00D94D08"/>
    <w:rsid w:val="00D94E59"/>
    <w:rsid w:val="00D94E6C"/>
    <w:rsid w:val="00D9519D"/>
    <w:rsid w:val="00D9531C"/>
    <w:rsid w:val="00D9533B"/>
    <w:rsid w:val="00D953D2"/>
    <w:rsid w:val="00D956AE"/>
    <w:rsid w:val="00D9575D"/>
    <w:rsid w:val="00D95796"/>
    <w:rsid w:val="00D957C5"/>
    <w:rsid w:val="00D957CC"/>
    <w:rsid w:val="00D957EF"/>
    <w:rsid w:val="00D95844"/>
    <w:rsid w:val="00D9590E"/>
    <w:rsid w:val="00D95AF9"/>
    <w:rsid w:val="00D95B77"/>
    <w:rsid w:val="00D95CD4"/>
    <w:rsid w:val="00D95CD9"/>
    <w:rsid w:val="00D95E6A"/>
    <w:rsid w:val="00D96070"/>
    <w:rsid w:val="00D960EF"/>
    <w:rsid w:val="00D96143"/>
    <w:rsid w:val="00D96355"/>
    <w:rsid w:val="00D964A0"/>
    <w:rsid w:val="00D96896"/>
    <w:rsid w:val="00D968C8"/>
    <w:rsid w:val="00D96936"/>
    <w:rsid w:val="00D971FD"/>
    <w:rsid w:val="00D97681"/>
    <w:rsid w:val="00D976E6"/>
    <w:rsid w:val="00D97902"/>
    <w:rsid w:val="00D97985"/>
    <w:rsid w:val="00D97D96"/>
    <w:rsid w:val="00D97DD0"/>
    <w:rsid w:val="00D97DDB"/>
    <w:rsid w:val="00DA0228"/>
    <w:rsid w:val="00DA0320"/>
    <w:rsid w:val="00DA0339"/>
    <w:rsid w:val="00DA046B"/>
    <w:rsid w:val="00DA0601"/>
    <w:rsid w:val="00DA063F"/>
    <w:rsid w:val="00DA0954"/>
    <w:rsid w:val="00DA0B0C"/>
    <w:rsid w:val="00DA0DD0"/>
    <w:rsid w:val="00DA0DD3"/>
    <w:rsid w:val="00DA0E28"/>
    <w:rsid w:val="00DA11CF"/>
    <w:rsid w:val="00DA12FE"/>
    <w:rsid w:val="00DA1495"/>
    <w:rsid w:val="00DA169C"/>
    <w:rsid w:val="00DA198E"/>
    <w:rsid w:val="00DA1AD2"/>
    <w:rsid w:val="00DA1AF2"/>
    <w:rsid w:val="00DA1B18"/>
    <w:rsid w:val="00DA1B80"/>
    <w:rsid w:val="00DA1BB0"/>
    <w:rsid w:val="00DA1C18"/>
    <w:rsid w:val="00DA1C31"/>
    <w:rsid w:val="00DA1C35"/>
    <w:rsid w:val="00DA1C5C"/>
    <w:rsid w:val="00DA1CF9"/>
    <w:rsid w:val="00DA213C"/>
    <w:rsid w:val="00DA2258"/>
    <w:rsid w:val="00DA2345"/>
    <w:rsid w:val="00DA234D"/>
    <w:rsid w:val="00DA234F"/>
    <w:rsid w:val="00DA27DF"/>
    <w:rsid w:val="00DA2810"/>
    <w:rsid w:val="00DA28B8"/>
    <w:rsid w:val="00DA2907"/>
    <w:rsid w:val="00DA2A78"/>
    <w:rsid w:val="00DA2A90"/>
    <w:rsid w:val="00DA2AB0"/>
    <w:rsid w:val="00DA2C21"/>
    <w:rsid w:val="00DA2D34"/>
    <w:rsid w:val="00DA2DA7"/>
    <w:rsid w:val="00DA2F2F"/>
    <w:rsid w:val="00DA3039"/>
    <w:rsid w:val="00DA31B2"/>
    <w:rsid w:val="00DA3292"/>
    <w:rsid w:val="00DA332D"/>
    <w:rsid w:val="00DA33B8"/>
    <w:rsid w:val="00DA34B4"/>
    <w:rsid w:val="00DA36E6"/>
    <w:rsid w:val="00DA378B"/>
    <w:rsid w:val="00DA3A08"/>
    <w:rsid w:val="00DA3BCC"/>
    <w:rsid w:val="00DA3C0A"/>
    <w:rsid w:val="00DA3D2B"/>
    <w:rsid w:val="00DA3EA0"/>
    <w:rsid w:val="00DA4023"/>
    <w:rsid w:val="00DA40E1"/>
    <w:rsid w:val="00DA4226"/>
    <w:rsid w:val="00DA423C"/>
    <w:rsid w:val="00DA42C7"/>
    <w:rsid w:val="00DA44E5"/>
    <w:rsid w:val="00DA44F5"/>
    <w:rsid w:val="00DA451B"/>
    <w:rsid w:val="00DA4539"/>
    <w:rsid w:val="00DA46F4"/>
    <w:rsid w:val="00DA492E"/>
    <w:rsid w:val="00DA4973"/>
    <w:rsid w:val="00DA4AA3"/>
    <w:rsid w:val="00DA4BF6"/>
    <w:rsid w:val="00DA4DD6"/>
    <w:rsid w:val="00DA5089"/>
    <w:rsid w:val="00DA5237"/>
    <w:rsid w:val="00DA5365"/>
    <w:rsid w:val="00DA53A9"/>
    <w:rsid w:val="00DA540B"/>
    <w:rsid w:val="00DA5723"/>
    <w:rsid w:val="00DA58A3"/>
    <w:rsid w:val="00DA58A6"/>
    <w:rsid w:val="00DA58DC"/>
    <w:rsid w:val="00DA5925"/>
    <w:rsid w:val="00DA5AE5"/>
    <w:rsid w:val="00DA5B0E"/>
    <w:rsid w:val="00DA5DDA"/>
    <w:rsid w:val="00DA604D"/>
    <w:rsid w:val="00DA60A7"/>
    <w:rsid w:val="00DA62C2"/>
    <w:rsid w:val="00DA630B"/>
    <w:rsid w:val="00DA6558"/>
    <w:rsid w:val="00DA65C4"/>
    <w:rsid w:val="00DA681E"/>
    <w:rsid w:val="00DA6A94"/>
    <w:rsid w:val="00DA6B68"/>
    <w:rsid w:val="00DA6BBA"/>
    <w:rsid w:val="00DA6D38"/>
    <w:rsid w:val="00DA6DB3"/>
    <w:rsid w:val="00DA6DC8"/>
    <w:rsid w:val="00DA6FD7"/>
    <w:rsid w:val="00DA70DE"/>
    <w:rsid w:val="00DA729C"/>
    <w:rsid w:val="00DA72CA"/>
    <w:rsid w:val="00DA7413"/>
    <w:rsid w:val="00DA76FB"/>
    <w:rsid w:val="00DA78F3"/>
    <w:rsid w:val="00DA7A11"/>
    <w:rsid w:val="00DA7AE8"/>
    <w:rsid w:val="00DA7EB6"/>
    <w:rsid w:val="00DA7F71"/>
    <w:rsid w:val="00DA7F80"/>
    <w:rsid w:val="00DB00CA"/>
    <w:rsid w:val="00DB0347"/>
    <w:rsid w:val="00DB08D1"/>
    <w:rsid w:val="00DB0A55"/>
    <w:rsid w:val="00DB0B5D"/>
    <w:rsid w:val="00DB0B66"/>
    <w:rsid w:val="00DB0B77"/>
    <w:rsid w:val="00DB0C5E"/>
    <w:rsid w:val="00DB0CF2"/>
    <w:rsid w:val="00DB0D01"/>
    <w:rsid w:val="00DB10A0"/>
    <w:rsid w:val="00DB1212"/>
    <w:rsid w:val="00DB136C"/>
    <w:rsid w:val="00DB1440"/>
    <w:rsid w:val="00DB157E"/>
    <w:rsid w:val="00DB15B0"/>
    <w:rsid w:val="00DB171F"/>
    <w:rsid w:val="00DB17A4"/>
    <w:rsid w:val="00DB1938"/>
    <w:rsid w:val="00DB19AD"/>
    <w:rsid w:val="00DB19FB"/>
    <w:rsid w:val="00DB1C28"/>
    <w:rsid w:val="00DB1C89"/>
    <w:rsid w:val="00DB1CB4"/>
    <w:rsid w:val="00DB1CE6"/>
    <w:rsid w:val="00DB1CFD"/>
    <w:rsid w:val="00DB1D70"/>
    <w:rsid w:val="00DB1F45"/>
    <w:rsid w:val="00DB210F"/>
    <w:rsid w:val="00DB24B4"/>
    <w:rsid w:val="00DB2528"/>
    <w:rsid w:val="00DB257D"/>
    <w:rsid w:val="00DB264E"/>
    <w:rsid w:val="00DB297A"/>
    <w:rsid w:val="00DB2988"/>
    <w:rsid w:val="00DB29CE"/>
    <w:rsid w:val="00DB29EB"/>
    <w:rsid w:val="00DB29EF"/>
    <w:rsid w:val="00DB2A7C"/>
    <w:rsid w:val="00DB2C09"/>
    <w:rsid w:val="00DB2E15"/>
    <w:rsid w:val="00DB2EC2"/>
    <w:rsid w:val="00DB2F6D"/>
    <w:rsid w:val="00DB2FCC"/>
    <w:rsid w:val="00DB2FF3"/>
    <w:rsid w:val="00DB3091"/>
    <w:rsid w:val="00DB3129"/>
    <w:rsid w:val="00DB3297"/>
    <w:rsid w:val="00DB338B"/>
    <w:rsid w:val="00DB34D6"/>
    <w:rsid w:val="00DB36ED"/>
    <w:rsid w:val="00DB3894"/>
    <w:rsid w:val="00DB3AA1"/>
    <w:rsid w:val="00DB3B40"/>
    <w:rsid w:val="00DB3DEA"/>
    <w:rsid w:val="00DB3E3E"/>
    <w:rsid w:val="00DB3E97"/>
    <w:rsid w:val="00DB3F6D"/>
    <w:rsid w:val="00DB4108"/>
    <w:rsid w:val="00DB4477"/>
    <w:rsid w:val="00DB44C6"/>
    <w:rsid w:val="00DB4747"/>
    <w:rsid w:val="00DB4772"/>
    <w:rsid w:val="00DB497F"/>
    <w:rsid w:val="00DB4D7B"/>
    <w:rsid w:val="00DB50E9"/>
    <w:rsid w:val="00DB514C"/>
    <w:rsid w:val="00DB527C"/>
    <w:rsid w:val="00DB5314"/>
    <w:rsid w:val="00DB55EF"/>
    <w:rsid w:val="00DB5902"/>
    <w:rsid w:val="00DB5950"/>
    <w:rsid w:val="00DB59AC"/>
    <w:rsid w:val="00DB5ACA"/>
    <w:rsid w:val="00DB5BD1"/>
    <w:rsid w:val="00DB5CA3"/>
    <w:rsid w:val="00DB5CB5"/>
    <w:rsid w:val="00DB5F35"/>
    <w:rsid w:val="00DB609F"/>
    <w:rsid w:val="00DB60D0"/>
    <w:rsid w:val="00DB6244"/>
    <w:rsid w:val="00DB62C8"/>
    <w:rsid w:val="00DB659C"/>
    <w:rsid w:val="00DB65FF"/>
    <w:rsid w:val="00DB69B9"/>
    <w:rsid w:val="00DB6B8F"/>
    <w:rsid w:val="00DB6D07"/>
    <w:rsid w:val="00DB6EDC"/>
    <w:rsid w:val="00DB6F6F"/>
    <w:rsid w:val="00DB6FB1"/>
    <w:rsid w:val="00DB7047"/>
    <w:rsid w:val="00DB7370"/>
    <w:rsid w:val="00DB74E6"/>
    <w:rsid w:val="00DB77FE"/>
    <w:rsid w:val="00DB7854"/>
    <w:rsid w:val="00DB791D"/>
    <w:rsid w:val="00DB7C71"/>
    <w:rsid w:val="00DB7DD1"/>
    <w:rsid w:val="00DB7DD9"/>
    <w:rsid w:val="00DB7E50"/>
    <w:rsid w:val="00DC00E7"/>
    <w:rsid w:val="00DC0250"/>
    <w:rsid w:val="00DC02B1"/>
    <w:rsid w:val="00DC0780"/>
    <w:rsid w:val="00DC088C"/>
    <w:rsid w:val="00DC0A3D"/>
    <w:rsid w:val="00DC0CB5"/>
    <w:rsid w:val="00DC0D42"/>
    <w:rsid w:val="00DC0F10"/>
    <w:rsid w:val="00DC106F"/>
    <w:rsid w:val="00DC11C9"/>
    <w:rsid w:val="00DC1430"/>
    <w:rsid w:val="00DC16E3"/>
    <w:rsid w:val="00DC17D0"/>
    <w:rsid w:val="00DC199C"/>
    <w:rsid w:val="00DC1CAC"/>
    <w:rsid w:val="00DC1EE7"/>
    <w:rsid w:val="00DC201E"/>
    <w:rsid w:val="00DC205D"/>
    <w:rsid w:val="00DC2171"/>
    <w:rsid w:val="00DC222A"/>
    <w:rsid w:val="00DC2235"/>
    <w:rsid w:val="00DC233E"/>
    <w:rsid w:val="00DC248B"/>
    <w:rsid w:val="00DC24E7"/>
    <w:rsid w:val="00DC26A9"/>
    <w:rsid w:val="00DC271E"/>
    <w:rsid w:val="00DC287A"/>
    <w:rsid w:val="00DC29EC"/>
    <w:rsid w:val="00DC2E65"/>
    <w:rsid w:val="00DC32F9"/>
    <w:rsid w:val="00DC3469"/>
    <w:rsid w:val="00DC34B4"/>
    <w:rsid w:val="00DC3718"/>
    <w:rsid w:val="00DC37FC"/>
    <w:rsid w:val="00DC39CE"/>
    <w:rsid w:val="00DC3A3B"/>
    <w:rsid w:val="00DC3ACF"/>
    <w:rsid w:val="00DC3CDF"/>
    <w:rsid w:val="00DC3E83"/>
    <w:rsid w:val="00DC4076"/>
    <w:rsid w:val="00DC4247"/>
    <w:rsid w:val="00DC44E5"/>
    <w:rsid w:val="00DC4574"/>
    <w:rsid w:val="00DC4689"/>
    <w:rsid w:val="00DC46AA"/>
    <w:rsid w:val="00DC47D6"/>
    <w:rsid w:val="00DC491E"/>
    <w:rsid w:val="00DC4B77"/>
    <w:rsid w:val="00DC4CB1"/>
    <w:rsid w:val="00DC4D52"/>
    <w:rsid w:val="00DC4D89"/>
    <w:rsid w:val="00DC4D8B"/>
    <w:rsid w:val="00DC4DA8"/>
    <w:rsid w:val="00DC4E83"/>
    <w:rsid w:val="00DC4EC1"/>
    <w:rsid w:val="00DC4F30"/>
    <w:rsid w:val="00DC50EA"/>
    <w:rsid w:val="00DC55D4"/>
    <w:rsid w:val="00DC5694"/>
    <w:rsid w:val="00DC589A"/>
    <w:rsid w:val="00DC58AD"/>
    <w:rsid w:val="00DC59FC"/>
    <w:rsid w:val="00DC5F0D"/>
    <w:rsid w:val="00DC5FD4"/>
    <w:rsid w:val="00DC60A7"/>
    <w:rsid w:val="00DC6399"/>
    <w:rsid w:val="00DC65AF"/>
    <w:rsid w:val="00DC65D6"/>
    <w:rsid w:val="00DC68DE"/>
    <w:rsid w:val="00DC6A30"/>
    <w:rsid w:val="00DC6A34"/>
    <w:rsid w:val="00DC6AE6"/>
    <w:rsid w:val="00DC6C37"/>
    <w:rsid w:val="00DC6CC8"/>
    <w:rsid w:val="00DC6CF2"/>
    <w:rsid w:val="00DC6F13"/>
    <w:rsid w:val="00DC7010"/>
    <w:rsid w:val="00DC718C"/>
    <w:rsid w:val="00DC7287"/>
    <w:rsid w:val="00DC73C4"/>
    <w:rsid w:val="00DC778A"/>
    <w:rsid w:val="00DC77F2"/>
    <w:rsid w:val="00DC78A3"/>
    <w:rsid w:val="00DC79D2"/>
    <w:rsid w:val="00DC7C92"/>
    <w:rsid w:val="00DC7D18"/>
    <w:rsid w:val="00DC7D7B"/>
    <w:rsid w:val="00DC7E5A"/>
    <w:rsid w:val="00DC7FFA"/>
    <w:rsid w:val="00DD02CF"/>
    <w:rsid w:val="00DD03EA"/>
    <w:rsid w:val="00DD054D"/>
    <w:rsid w:val="00DD0752"/>
    <w:rsid w:val="00DD0E96"/>
    <w:rsid w:val="00DD0F87"/>
    <w:rsid w:val="00DD0FE8"/>
    <w:rsid w:val="00DD0FFC"/>
    <w:rsid w:val="00DD114D"/>
    <w:rsid w:val="00DD1203"/>
    <w:rsid w:val="00DD120A"/>
    <w:rsid w:val="00DD1259"/>
    <w:rsid w:val="00DD1303"/>
    <w:rsid w:val="00DD1628"/>
    <w:rsid w:val="00DD18D1"/>
    <w:rsid w:val="00DD18FC"/>
    <w:rsid w:val="00DD196A"/>
    <w:rsid w:val="00DD1B5D"/>
    <w:rsid w:val="00DD1DCA"/>
    <w:rsid w:val="00DD240B"/>
    <w:rsid w:val="00DD277C"/>
    <w:rsid w:val="00DD28A8"/>
    <w:rsid w:val="00DD2C57"/>
    <w:rsid w:val="00DD2C98"/>
    <w:rsid w:val="00DD2E47"/>
    <w:rsid w:val="00DD2EF7"/>
    <w:rsid w:val="00DD2FFF"/>
    <w:rsid w:val="00DD3038"/>
    <w:rsid w:val="00DD3044"/>
    <w:rsid w:val="00DD3069"/>
    <w:rsid w:val="00DD3172"/>
    <w:rsid w:val="00DD3483"/>
    <w:rsid w:val="00DD372A"/>
    <w:rsid w:val="00DD3A88"/>
    <w:rsid w:val="00DD3D93"/>
    <w:rsid w:val="00DD3F6F"/>
    <w:rsid w:val="00DD406A"/>
    <w:rsid w:val="00DD41F7"/>
    <w:rsid w:val="00DD43A7"/>
    <w:rsid w:val="00DD46E6"/>
    <w:rsid w:val="00DD4A56"/>
    <w:rsid w:val="00DD4ACA"/>
    <w:rsid w:val="00DD4B40"/>
    <w:rsid w:val="00DD4F18"/>
    <w:rsid w:val="00DD5041"/>
    <w:rsid w:val="00DD50B5"/>
    <w:rsid w:val="00DD50D3"/>
    <w:rsid w:val="00DD5314"/>
    <w:rsid w:val="00DD53D1"/>
    <w:rsid w:val="00DD5407"/>
    <w:rsid w:val="00DD5430"/>
    <w:rsid w:val="00DD5507"/>
    <w:rsid w:val="00DD550B"/>
    <w:rsid w:val="00DD5749"/>
    <w:rsid w:val="00DD59D2"/>
    <w:rsid w:val="00DD59D9"/>
    <w:rsid w:val="00DD5A12"/>
    <w:rsid w:val="00DD5C08"/>
    <w:rsid w:val="00DD5C0E"/>
    <w:rsid w:val="00DD5C20"/>
    <w:rsid w:val="00DD5CA2"/>
    <w:rsid w:val="00DD5D5E"/>
    <w:rsid w:val="00DD5FEC"/>
    <w:rsid w:val="00DD6093"/>
    <w:rsid w:val="00DD65D7"/>
    <w:rsid w:val="00DD6868"/>
    <w:rsid w:val="00DD6AAC"/>
    <w:rsid w:val="00DD6AF5"/>
    <w:rsid w:val="00DD6B1E"/>
    <w:rsid w:val="00DD6B64"/>
    <w:rsid w:val="00DD6E36"/>
    <w:rsid w:val="00DD7067"/>
    <w:rsid w:val="00DD710B"/>
    <w:rsid w:val="00DD72F9"/>
    <w:rsid w:val="00DD7370"/>
    <w:rsid w:val="00DD73C1"/>
    <w:rsid w:val="00DD7460"/>
    <w:rsid w:val="00DD759A"/>
    <w:rsid w:val="00DD763A"/>
    <w:rsid w:val="00DD767F"/>
    <w:rsid w:val="00DD7697"/>
    <w:rsid w:val="00DD7768"/>
    <w:rsid w:val="00DD78A2"/>
    <w:rsid w:val="00DD78FE"/>
    <w:rsid w:val="00DD78FF"/>
    <w:rsid w:val="00DD7948"/>
    <w:rsid w:val="00DD79E3"/>
    <w:rsid w:val="00DD7B31"/>
    <w:rsid w:val="00DE0183"/>
    <w:rsid w:val="00DE0457"/>
    <w:rsid w:val="00DE0462"/>
    <w:rsid w:val="00DE04BB"/>
    <w:rsid w:val="00DE04D6"/>
    <w:rsid w:val="00DE05DF"/>
    <w:rsid w:val="00DE0E58"/>
    <w:rsid w:val="00DE0E9B"/>
    <w:rsid w:val="00DE0F76"/>
    <w:rsid w:val="00DE0FD6"/>
    <w:rsid w:val="00DE11D7"/>
    <w:rsid w:val="00DE1283"/>
    <w:rsid w:val="00DE1457"/>
    <w:rsid w:val="00DE1567"/>
    <w:rsid w:val="00DE1B23"/>
    <w:rsid w:val="00DE1B5A"/>
    <w:rsid w:val="00DE1BA1"/>
    <w:rsid w:val="00DE2000"/>
    <w:rsid w:val="00DE207B"/>
    <w:rsid w:val="00DE244F"/>
    <w:rsid w:val="00DE255D"/>
    <w:rsid w:val="00DE2741"/>
    <w:rsid w:val="00DE29BB"/>
    <w:rsid w:val="00DE29E4"/>
    <w:rsid w:val="00DE2BF0"/>
    <w:rsid w:val="00DE2C69"/>
    <w:rsid w:val="00DE2CFE"/>
    <w:rsid w:val="00DE2E5B"/>
    <w:rsid w:val="00DE2E89"/>
    <w:rsid w:val="00DE2F67"/>
    <w:rsid w:val="00DE31EA"/>
    <w:rsid w:val="00DE32CC"/>
    <w:rsid w:val="00DE37DE"/>
    <w:rsid w:val="00DE3906"/>
    <w:rsid w:val="00DE39C4"/>
    <w:rsid w:val="00DE3B12"/>
    <w:rsid w:val="00DE3B4C"/>
    <w:rsid w:val="00DE3BCD"/>
    <w:rsid w:val="00DE4240"/>
    <w:rsid w:val="00DE4266"/>
    <w:rsid w:val="00DE433B"/>
    <w:rsid w:val="00DE43EA"/>
    <w:rsid w:val="00DE476A"/>
    <w:rsid w:val="00DE4B23"/>
    <w:rsid w:val="00DE4BAA"/>
    <w:rsid w:val="00DE4D08"/>
    <w:rsid w:val="00DE4D15"/>
    <w:rsid w:val="00DE4D53"/>
    <w:rsid w:val="00DE4DDA"/>
    <w:rsid w:val="00DE4DF3"/>
    <w:rsid w:val="00DE4E6D"/>
    <w:rsid w:val="00DE4F17"/>
    <w:rsid w:val="00DE4FED"/>
    <w:rsid w:val="00DE5024"/>
    <w:rsid w:val="00DE5192"/>
    <w:rsid w:val="00DE52A1"/>
    <w:rsid w:val="00DE52A7"/>
    <w:rsid w:val="00DE53C1"/>
    <w:rsid w:val="00DE54AE"/>
    <w:rsid w:val="00DE5597"/>
    <w:rsid w:val="00DE56D1"/>
    <w:rsid w:val="00DE5955"/>
    <w:rsid w:val="00DE597D"/>
    <w:rsid w:val="00DE59C6"/>
    <w:rsid w:val="00DE5B84"/>
    <w:rsid w:val="00DE5D29"/>
    <w:rsid w:val="00DE5E6B"/>
    <w:rsid w:val="00DE5F24"/>
    <w:rsid w:val="00DE5F47"/>
    <w:rsid w:val="00DE60D1"/>
    <w:rsid w:val="00DE60EE"/>
    <w:rsid w:val="00DE644F"/>
    <w:rsid w:val="00DE650F"/>
    <w:rsid w:val="00DE66C2"/>
    <w:rsid w:val="00DE66F2"/>
    <w:rsid w:val="00DE6A2E"/>
    <w:rsid w:val="00DE6B6C"/>
    <w:rsid w:val="00DE6DEF"/>
    <w:rsid w:val="00DE6FE4"/>
    <w:rsid w:val="00DE704B"/>
    <w:rsid w:val="00DE71F7"/>
    <w:rsid w:val="00DE720B"/>
    <w:rsid w:val="00DE76EB"/>
    <w:rsid w:val="00DE77D4"/>
    <w:rsid w:val="00DE7802"/>
    <w:rsid w:val="00DE799E"/>
    <w:rsid w:val="00DE79C3"/>
    <w:rsid w:val="00DE7BB5"/>
    <w:rsid w:val="00DE7BDD"/>
    <w:rsid w:val="00DE7DD4"/>
    <w:rsid w:val="00DE7E6F"/>
    <w:rsid w:val="00DE7EC7"/>
    <w:rsid w:val="00DE7FD9"/>
    <w:rsid w:val="00DF034F"/>
    <w:rsid w:val="00DF037E"/>
    <w:rsid w:val="00DF047C"/>
    <w:rsid w:val="00DF04B3"/>
    <w:rsid w:val="00DF0506"/>
    <w:rsid w:val="00DF0686"/>
    <w:rsid w:val="00DF0752"/>
    <w:rsid w:val="00DF0868"/>
    <w:rsid w:val="00DF08AB"/>
    <w:rsid w:val="00DF08AC"/>
    <w:rsid w:val="00DF08D0"/>
    <w:rsid w:val="00DF0CED"/>
    <w:rsid w:val="00DF0E03"/>
    <w:rsid w:val="00DF0F28"/>
    <w:rsid w:val="00DF1058"/>
    <w:rsid w:val="00DF105F"/>
    <w:rsid w:val="00DF12D6"/>
    <w:rsid w:val="00DF12F2"/>
    <w:rsid w:val="00DF13F7"/>
    <w:rsid w:val="00DF1523"/>
    <w:rsid w:val="00DF166E"/>
    <w:rsid w:val="00DF16F5"/>
    <w:rsid w:val="00DF1704"/>
    <w:rsid w:val="00DF173C"/>
    <w:rsid w:val="00DF18B0"/>
    <w:rsid w:val="00DF191C"/>
    <w:rsid w:val="00DF1A9A"/>
    <w:rsid w:val="00DF1BF8"/>
    <w:rsid w:val="00DF1C34"/>
    <w:rsid w:val="00DF1E77"/>
    <w:rsid w:val="00DF1FC2"/>
    <w:rsid w:val="00DF2053"/>
    <w:rsid w:val="00DF21E2"/>
    <w:rsid w:val="00DF222A"/>
    <w:rsid w:val="00DF22B3"/>
    <w:rsid w:val="00DF24B2"/>
    <w:rsid w:val="00DF24FE"/>
    <w:rsid w:val="00DF2536"/>
    <w:rsid w:val="00DF2806"/>
    <w:rsid w:val="00DF286E"/>
    <w:rsid w:val="00DF28F3"/>
    <w:rsid w:val="00DF29A6"/>
    <w:rsid w:val="00DF2AE3"/>
    <w:rsid w:val="00DF2B49"/>
    <w:rsid w:val="00DF2BEC"/>
    <w:rsid w:val="00DF2BF6"/>
    <w:rsid w:val="00DF2C1D"/>
    <w:rsid w:val="00DF2CCC"/>
    <w:rsid w:val="00DF2CDC"/>
    <w:rsid w:val="00DF2DA3"/>
    <w:rsid w:val="00DF2F35"/>
    <w:rsid w:val="00DF2F94"/>
    <w:rsid w:val="00DF3227"/>
    <w:rsid w:val="00DF334A"/>
    <w:rsid w:val="00DF3586"/>
    <w:rsid w:val="00DF3665"/>
    <w:rsid w:val="00DF36D2"/>
    <w:rsid w:val="00DF37CA"/>
    <w:rsid w:val="00DF3840"/>
    <w:rsid w:val="00DF3940"/>
    <w:rsid w:val="00DF3A77"/>
    <w:rsid w:val="00DF3B7E"/>
    <w:rsid w:val="00DF3C13"/>
    <w:rsid w:val="00DF3C83"/>
    <w:rsid w:val="00DF3C8F"/>
    <w:rsid w:val="00DF3CDE"/>
    <w:rsid w:val="00DF3D2B"/>
    <w:rsid w:val="00DF3E52"/>
    <w:rsid w:val="00DF3E7B"/>
    <w:rsid w:val="00DF3ED5"/>
    <w:rsid w:val="00DF4088"/>
    <w:rsid w:val="00DF4123"/>
    <w:rsid w:val="00DF4254"/>
    <w:rsid w:val="00DF4780"/>
    <w:rsid w:val="00DF4BC8"/>
    <w:rsid w:val="00DF4BFE"/>
    <w:rsid w:val="00DF4CAD"/>
    <w:rsid w:val="00DF4D71"/>
    <w:rsid w:val="00DF4D7F"/>
    <w:rsid w:val="00DF4DD7"/>
    <w:rsid w:val="00DF4E3D"/>
    <w:rsid w:val="00DF4ED8"/>
    <w:rsid w:val="00DF518B"/>
    <w:rsid w:val="00DF548A"/>
    <w:rsid w:val="00DF5637"/>
    <w:rsid w:val="00DF58DD"/>
    <w:rsid w:val="00DF58EB"/>
    <w:rsid w:val="00DF5BFB"/>
    <w:rsid w:val="00DF5BFC"/>
    <w:rsid w:val="00DF5E4C"/>
    <w:rsid w:val="00DF5F31"/>
    <w:rsid w:val="00DF5F75"/>
    <w:rsid w:val="00DF5F95"/>
    <w:rsid w:val="00DF6073"/>
    <w:rsid w:val="00DF677A"/>
    <w:rsid w:val="00DF6CCA"/>
    <w:rsid w:val="00DF6CDD"/>
    <w:rsid w:val="00DF6E17"/>
    <w:rsid w:val="00DF6F68"/>
    <w:rsid w:val="00DF6FD7"/>
    <w:rsid w:val="00DF7195"/>
    <w:rsid w:val="00DF71DC"/>
    <w:rsid w:val="00DF7408"/>
    <w:rsid w:val="00DF7451"/>
    <w:rsid w:val="00DF7462"/>
    <w:rsid w:val="00DF7532"/>
    <w:rsid w:val="00DF75C6"/>
    <w:rsid w:val="00DF76ED"/>
    <w:rsid w:val="00DF781D"/>
    <w:rsid w:val="00DF78BF"/>
    <w:rsid w:val="00DF7989"/>
    <w:rsid w:val="00DF7B5A"/>
    <w:rsid w:val="00DF7C6B"/>
    <w:rsid w:val="00DF7D0B"/>
    <w:rsid w:val="00DF7DA5"/>
    <w:rsid w:val="00E00337"/>
    <w:rsid w:val="00E00623"/>
    <w:rsid w:val="00E006C2"/>
    <w:rsid w:val="00E00728"/>
    <w:rsid w:val="00E00850"/>
    <w:rsid w:val="00E009B4"/>
    <w:rsid w:val="00E00ED0"/>
    <w:rsid w:val="00E00F5D"/>
    <w:rsid w:val="00E00FF7"/>
    <w:rsid w:val="00E010AB"/>
    <w:rsid w:val="00E012A2"/>
    <w:rsid w:val="00E012C0"/>
    <w:rsid w:val="00E012F1"/>
    <w:rsid w:val="00E014BE"/>
    <w:rsid w:val="00E01577"/>
    <w:rsid w:val="00E015C7"/>
    <w:rsid w:val="00E0183D"/>
    <w:rsid w:val="00E01A1A"/>
    <w:rsid w:val="00E01CD9"/>
    <w:rsid w:val="00E01CF9"/>
    <w:rsid w:val="00E02117"/>
    <w:rsid w:val="00E024E3"/>
    <w:rsid w:val="00E02639"/>
    <w:rsid w:val="00E026B9"/>
    <w:rsid w:val="00E02770"/>
    <w:rsid w:val="00E028B8"/>
    <w:rsid w:val="00E02922"/>
    <w:rsid w:val="00E029C8"/>
    <w:rsid w:val="00E029EB"/>
    <w:rsid w:val="00E02C9D"/>
    <w:rsid w:val="00E02CE0"/>
    <w:rsid w:val="00E02CF4"/>
    <w:rsid w:val="00E02DBF"/>
    <w:rsid w:val="00E02F04"/>
    <w:rsid w:val="00E02F36"/>
    <w:rsid w:val="00E02FA2"/>
    <w:rsid w:val="00E03096"/>
    <w:rsid w:val="00E030CC"/>
    <w:rsid w:val="00E0312C"/>
    <w:rsid w:val="00E03162"/>
    <w:rsid w:val="00E0316C"/>
    <w:rsid w:val="00E0378E"/>
    <w:rsid w:val="00E0389E"/>
    <w:rsid w:val="00E03A8E"/>
    <w:rsid w:val="00E03A9B"/>
    <w:rsid w:val="00E03BA8"/>
    <w:rsid w:val="00E03BE5"/>
    <w:rsid w:val="00E03C82"/>
    <w:rsid w:val="00E03D42"/>
    <w:rsid w:val="00E03D91"/>
    <w:rsid w:val="00E03E03"/>
    <w:rsid w:val="00E03E95"/>
    <w:rsid w:val="00E04015"/>
    <w:rsid w:val="00E0440F"/>
    <w:rsid w:val="00E04442"/>
    <w:rsid w:val="00E04482"/>
    <w:rsid w:val="00E0452F"/>
    <w:rsid w:val="00E04708"/>
    <w:rsid w:val="00E04731"/>
    <w:rsid w:val="00E04834"/>
    <w:rsid w:val="00E048F7"/>
    <w:rsid w:val="00E049EA"/>
    <w:rsid w:val="00E04ACB"/>
    <w:rsid w:val="00E04D3C"/>
    <w:rsid w:val="00E05079"/>
    <w:rsid w:val="00E050EA"/>
    <w:rsid w:val="00E05200"/>
    <w:rsid w:val="00E0533C"/>
    <w:rsid w:val="00E0533F"/>
    <w:rsid w:val="00E0545B"/>
    <w:rsid w:val="00E054C2"/>
    <w:rsid w:val="00E05533"/>
    <w:rsid w:val="00E055F2"/>
    <w:rsid w:val="00E0567F"/>
    <w:rsid w:val="00E058E7"/>
    <w:rsid w:val="00E05995"/>
    <w:rsid w:val="00E05A5A"/>
    <w:rsid w:val="00E05BD5"/>
    <w:rsid w:val="00E05BE1"/>
    <w:rsid w:val="00E05F1D"/>
    <w:rsid w:val="00E06080"/>
    <w:rsid w:val="00E060A0"/>
    <w:rsid w:val="00E0629F"/>
    <w:rsid w:val="00E06336"/>
    <w:rsid w:val="00E06541"/>
    <w:rsid w:val="00E0667B"/>
    <w:rsid w:val="00E0670E"/>
    <w:rsid w:val="00E06828"/>
    <w:rsid w:val="00E0686E"/>
    <w:rsid w:val="00E06A8F"/>
    <w:rsid w:val="00E06D63"/>
    <w:rsid w:val="00E06E93"/>
    <w:rsid w:val="00E072AB"/>
    <w:rsid w:val="00E072EB"/>
    <w:rsid w:val="00E074F4"/>
    <w:rsid w:val="00E0756B"/>
    <w:rsid w:val="00E0757B"/>
    <w:rsid w:val="00E075BA"/>
    <w:rsid w:val="00E076F7"/>
    <w:rsid w:val="00E07A47"/>
    <w:rsid w:val="00E07ACF"/>
    <w:rsid w:val="00E07DE3"/>
    <w:rsid w:val="00E100E0"/>
    <w:rsid w:val="00E10156"/>
    <w:rsid w:val="00E1022E"/>
    <w:rsid w:val="00E10470"/>
    <w:rsid w:val="00E10478"/>
    <w:rsid w:val="00E10659"/>
    <w:rsid w:val="00E1079D"/>
    <w:rsid w:val="00E107FF"/>
    <w:rsid w:val="00E10872"/>
    <w:rsid w:val="00E1087C"/>
    <w:rsid w:val="00E10893"/>
    <w:rsid w:val="00E1096F"/>
    <w:rsid w:val="00E10A4E"/>
    <w:rsid w:val="00E10DB8"/>
    <w:rsid w:val="00E10F3E"/>
    <w:rsid w:val="00E117BB"/>
    <w:rsid w:val="00E11892"/>
    <w:rsid w:val="00E119F5"/>
    <w:rsid w:val="00E11C63"/>
    <w:rsid w:val="00E11ECF"/>
    <w:rsid w:val="00E11F38"/>
    <w:rsid w:val="00E1234B"/>
    <w:rsid w:val="00E12482"/>
    <w:rsid w:val="00E124AC"/>
    <w:rsid w:val="00E1254C"/>
    <w:rsid w:val="00E126C3"/>
    <w:rsid w:val="00E127D0"/>
    <w:rsid w:val="00E12945"/>
    <w:rsid w:val="00E12A3F"/>
    <w:rsid w:val="00E12AA7"/>
    <w:rsid w:val="00E12AFF"/>
    <w:rsid w:val="00E12CAF"/>
    <w:rsid w:val="00E12CC0"/>
    <w:rsid w:val="00E13303"/>
    <w:rsid w:val="00E133B8"/>
    <w:rsid w:val="00E13597"/>
    <w:rsid w:val="00E13684"/>
    <w:rsid w:val="00E13B53"/>
    <w:rsid w:val="00E13E73"/>
    <w:rsid w:val="00E14152"/>
    <w:rsid w:val="00E14191"/>
    <w:rsid w:val="00E143B6"/>
    <w:rsid w:val="00E1455B"/>
    <w:rsid w:val="00E14A04"/>
    <w:rsid w:val="00E14A07"/>
    <w:rsid w:val="00E150A8"/>
    <w:rsid w:val="00E150D3"/>
    <w:rsid w:val="00E15102"/>
    <w:rsid w:val="00E15202"/>
    <w:rsid w:val="00E15442"/>
    <w:rsid w:val="00E154DD"/>
    <w:rsid w:val="00E15635"/>
    <w:rsid w:val="00E1568C"/>
    <w:rsid w:val="00E156CF"/>
    <w:rsid w:val="00E15795"/>
    <w:rsid w:val="00E15A0F"/>
    <w:rsid w:val="00E15AAC"/>
    <w:rsid w:val="00E15AFE"/>
    <w:rsid w:val="00E15EC5"/>
    <w:rsid w:val="00E15F38"/>
    <w:rsid w:val="00E16040"/>
    <w:rsid w:val="00E1615A"/>
    <w:rsid w:val="00E161B3"/>
    <w:rsid w:val="00E162D5"/>
    <w:rsid w:val="00E16326"/>
    <w:rsid w:val="00E163E2"/>
    <w:rsid w:val="00E163F2"/>
    <w:rsid w:val="00E16588"/>
    <w:rsid w:val="00E1692C"/>
    <w:rsid w:val="00E16A57"/>
    <w:rsid w:val="00E16D62"/>
    <w:rsid w:val="00E16D97"/>
    <w:rsid w:val="00E16E5C"/>
    <w:rsid w:val="00E16E65"/>
    <w:rsid w:val="00E17000"/>
    <w:rsid w:val="00E173A2"/>
    <w:rsid w:val="00E175E7"/>
    <w:rsid w:val="00E1766D"/>
    <w:rsid w:val="00E176D7"/>
    <w:rsid w:val="00E1796B"/>
    <w:rsid w:val="00E17B97"/>
    <w:rsid w:val="00E17BCC"/>
    <w:rsid w:val="00E17CB3"/>
    <w:rsid w:val="00E17CCD"/>
    <w:rsid w:val="00E17DDA"/>
    <w:rsid w:val="00E17E16"/>
    <w:rsid w:val="00E17F8A"/>
    <w:rsid w:val="00E20399"/>
    <w:rsid w:val="00E2041C"/>
    <w:rsid w:val="00E209B1"/>
    <w:rsid w:val="00E20A43"/>
    <w:rsid w:val="00E20B1B"/>
    <w:rsid w:val="00E20B90"/>
    <w:rsid w:val="00E20CB5"/>
    <w:rsid w:val="00E20CD6"/>
    <w:rsid w:val="00E20D08"/>
    <w:rsid w:val="00E20DEE"/>
    <w:rsid w:val="00E21034"/>
    <w:rsid w:val="00E2120F"/>
    <w:rsid w:val="00E2136B"/>
    <w:rsid w:val="00E21483"/>
    <w:rsid w:val="00E21597"/>
    <w:rsid w:val="00E218B0"/>
    <w:rsid w:val="00E218BE"/>
    <w:rsid w:val="00E218E5"/>
    <w:rsid w:val="00E21961"/>
    <w:rsid w:val="00E21985"/>
    <w:rsid w:val="00E219AF"/>
    <w:rsid w:val="00E21AD7"/>
    <w:rsid w:val="00E21B78"/>
    <w:rsid w:val="00E21BF0"/>
    <w:rsid w:val="00E21D83"/>
    <w:rsid w:val="00E22226"/>
    <w:rsid w:val="00E222BA"/>
    <w:rsid w:val="00E2239D"/>
    <w:rsid w:val="00E22530"/>
    <w:rsid w:val="00E2278A"/>
    <w:rsid w:val="00E22B1A"/>
    <w:rsid w:val="00E22C42"/>
    <w:rsid w:val="00E22C4C"/>
    <w:rsid w:val="00E22E6C"/>
    <w:rsid w:val="00E23066"/>
    <w:rsid w:val="00E2317A"/>
    <w:rsid w:val="00E233A3"/>
    <w:rsid w:val="00E234F7"/>
    <w:rsid w:val="00E2358D"/>
    <w:rsid w:val="00E235DC"/>
    <w:rsid w:val="00E23696"/>
    <w:rsid w:val="00E237CA"/>
    <w:rsid w:val="00E237FD"/>
    <w:rsid w:val="00E23899"/>
    <w:rsid w:val="00E238A1"/>
    <w:rsid w:val="00E23D7B"/>
    <w:rsid w:val="00E23DF4"/>
    <w:rsid w:val="00E23EBC"/>
    <w:rsid w:val="00E23F2F"/>
    <w:rsid w:val="00E23FBE"/>
    <w:rsid w:val="00E23FFE"/>
    <w:rsid w:val="00E24493"/>
    <w:rsid w:val="00E24780"/>
    <w:rsid w:val="00E2483E"/>
    <w:rsid w:val="00E248DF"/>
    <w:rsid w:val="00E24A6E"/>
    <w:rsid w:val="00E24BFE"/>
    <w:rsid w:val="00E24E07"/>
    <w:rsid w:val="00E24EEB"/>
    <w:rsid w:val="00E25009"/>
    <w:rsid w:val="00E25226"/>
    <w:rsid w:val="00E25241"/>
    <w:rsid w:val="00E253F6"/>
    <w:rsid w:val="00E25549"/>
    <w:rsid w:val="00E25593"/>
    <w:rsid w:val="00E255BC"/>
    <w:rsid w:val="00E257BB"/>
    <w:rsid w:val="00E25827"/>
    <w:rsid w:val="00E259EA"/>
    <w:rsid w:val="00E25A04"/>
    <w:rsid w:val="00E25A09"/>
    <w:rsid w:val="00E25A87"/>
    <w:rsid w:val="00E25C93"/>
    <w:rsid w:val="00E25CC0"/>
    <w:rsid w:val="00E263BF"/>
    <w:rsid w:val="00E2651C"/>
    <w:rsid w:val="00E26583"/>
    <w:rsid w:val="00E26711"/>
    <w:rsid w:val="00E269A1"/>
    <w:rsid w:val="00E269A3"/>
    <w:rsid w:val="00E269AC"/>
    <w:rsid w:val="00E26A01"/>
    <w:rsid w:val="00E26B8A"/>
    <w:rsid w:val="00E26B8F"/>
    <w:rsid w:val="00E26C19"/>
    <w:rsid w:val="00E26C30"/>
    <w:rsid w:val="00E270C9"/>
    <w:rsid w:val="00E273BB"/>
    <w:rsid w:val="00E27400"/>
    <w:rsid w:val="00E2749B"/>
    <w:rsid w:val="00E27572"/>
    <w:rsid w:val="00E275F5"/>
    <w:rsid w:val="00E27699"/>
    <w:rsid w:val="00E27738"/>
    <w:rsid w:val="00E2773A"/>
    <w:rsid w:val="00E277F8"/>
    <w:rsid w:val="00E2793C"/>
    <w:rsid w:val="00E279D2"/>
    <w:rsid w:val="00E27A8E"/>
    <w:rsid w:val="00E27CBD"/>
    <w:rsid w:val="00E27F0B"/>
    <w:rsid w:val="00E30461"/>
    <w:rsid w:val="00E3060B"/>
    <w:rsid w:val="00E3070C"/>
    <w:rsid w:val="00E30AF3"/>
    <w:rsid w:val="00E30C99"/>
    <w:rsid w:val="00E3143C"/>
    <w:rsid w:val="00E314DE"/>
    <w:rsid w:val="00E31629"/>
    <w:rsid w:val="00E318CF"/>
    <w:rsid w:val="00E31967"/>
    <w:rsid w:val="00E31974"/>
    <w:rsid w:val="00E31BA8"/>
    <w:rsid w:val="00E31BE7"/>
    <w:rsid w:val="00E31F00"/>
    <w:rsid w:val="00E31F19"/>
    <w:rsid w:val="00E32077"/>
    <w:rsid w:val="00E32152"/>
    <w:rsid w:val="00E3218C"/>
    <w:rsid w:val="00E32271"/>
    <w:rsid w:val="00E3228F"/>
    <w:rsid w:val="00E323E6"/>
    <w:rsid w:val="00E323F5"/>
    <w:rsid w:val="00E324CF"/>
    <w:rsid w:val="00E324F6"/>
    <w:rsid w:val="00E32790"/>
    <w:rsid w:val="00E32952"/>
    <w:rsid w:val="00E32970"/>
    <w:rsid w:val="00E32A03"/>
    <w:rsid w:val="00E32B4F"/>
    <w:rsid w:val="00E32D0E"/>
    <w:rsid w:val="00E32D8F"/>
    <w:rsid w:val="00E32D95"/>
    <w:rsid w:val="00E32DB4"/>
    <w:rsid w:val="00E32F98"/>
    <w:rsid w:val="00E32FB6"/>
    <w:rsid w:val="00E33075"/>
    <w:rsid w:val="00E330FD"/>
    <w:rsid w:val="00E333F0"/>
    <w:rsid w:val="00E3347A"/>
    <w:rsid w:val="00E336BA"/>
    <w:rsid w:val="00E33736"/>
    <w:rsid w:val="00E337B1"/>
    <w:rsid w:val="00E33967"/>
    <w:rsid w:val="00E33BC8"/>
    <w:rsid w:val="00E33CBB"/>
    <w:rsid w:val="00E33E40"/>
    <w:rsid w:val="00E33FE8"/>
    <w:rsid w:val="00E34036"/>
    <w:rsid w:val="00E340E4"/>
    <w:rsid w:val="00E3413B"/>
    <w:rsid w:val="00E34177"/>
    <w:rsid w:val="00E341E9"/>
    <w:rsid w:val="00E341EC"/>
    <w:rsid w:val="00E344E4"/>
    <w:rsid w:val="00E3455E"/>
    <w:rsid w:val="00E345F3"/>
    <w:rsid w:val="00E34738"/>
    <w:rsid w:val="00E34A20"/>
    <w:rsid w:val="00E34A74"/>
    <w:rsid w:val="00E34BA3"/>
    <w:rsid w:val="00E34C88"/>
    <w:rsid w:val="00E34D38"/>
    <w:rsid w:val="00E34E35"/>
    <w:rsid w:val="00E35097"/>
    <w:rsid w:val="00E352D7"/>
    <w:rsid w:val="00E353CE"/>
    <w:rsid w:val="00E354A6"/>
    <w:rsid w:val="00E3558B"/>
    <w:rsid w:val="00E358B5"/>
    <w:rsid w:val="00E35913"/>
    <w:rsid w:val="00E359A8"/>
    <w:rsid w:val="00E35AE9"/>
    <w:rsid w:val="00E35BB9"/>
    <w:rsid w:val="00E35C8E"/>
    <w:rsid w:val="00E35CAE"/>
    <w:rsid w:val="00E35ED3"/>
    <w:rsid w:val="00E360B9"/>
    <w:rsid w:val="00E36250"/>
    <w:rsid w:val="00E3625A"/>
    <w:rsid w:val="00E363A2"/>
    <w:rsid w:val="00E364CA"/>
    <w:rsid w:val="00E36613"/>
    <w:rsid w:val="00E366B9"/>
    <w:rsid w:val="00E36726"/>
    <w:rsid w:val="00E367B2"/>
    <w:rsid w:val="00E3681A"/>
    <w:rsid w:val="00E36910"/>
    <w:rsid w:val="00E36D3D"/>
    <w:rsid w:val="00E36E4F"/>
    <w:rsid w:val="00E36E5D"/>
    <w:rsid w:val="00E36FBC"/>
    <w:rsid w:val="00E36FDA"/>
    <w:rsid w:val="00E3716E"/>
    <w:rsid w:val="00E3717C"/>
    <w:rsid w:val="00E3717E"/>
    <w:rsid w:val="00E37303"/>
    <w:rsid w:val="00E3764C"/>
    <w:rsid w:val="00E37865"/>
    <w:rsid w:val="00E37880"/>
    <w:rsid w:val="00E37A8A"/>
    <w:rsid w:val="00E37C73"/>
    <w:rsid w:val="00E37F7B"/>
    <w:rsid w:val="00E40009"/>
    <w:rsid w:val="00E4000A"/>
    <w:rsid w:val="00E401B6"/>
    <w:rsid w:val="00E405A1"/>
    <w:rsid w:val="00E40891"/>
    <w:rsid w:val="00E40A80"/>
    <w:rsid w:val="00E40A85"/>
    <w:rsid w:val="00E40B79"/>
    <w:rsid w:val="00E40BA3"/>
    <w:rsid w:val="00E40EE3"/>
    <w:rsid w:val="00E41019"/>
    <w:rsid w:val="00E41038"/>
    <w:rsid w:val="00E41160"/>
    <w:rsid w:val="00E413B1"/>
    <w:rsid w:val="00E41447"/>
    <w:rsid w:val="00E41735"/>
    <w:rsid w:val="00E417A1"/>
    <w:rsid w:val="00E41825"/>
    <w:rsid w:val="00E419BF"/>
    <w:rsid w:val="00E41A3A"/>
    <w:rsid w:val="00E41AFC"/>
    <w:rsid w:val="00E41CB1"/>
    <w:rsid w:val="00E42164"/>
    <w:rsid w:val="00E42332"/>
    <w:rsid w:val="00E42400"/>
    <w:rsid w:val="00E424A0"/>
    <w:rsid w:val="00E4255F"/>
    <w:rsid w:val="00E4257D"/>
    <w:rsid w:val="00E427CC"/>
    <w:rsid w:val="00E428E1"/>
    <w:rsid w:val="00E42A1A"/>
    <w:rsid w:val="00E42A72"/>
    <w:rsid w:val="00E42BF5"/>
    <w:rsid w:val="00E43024"/>
    <w:rsid w:val="00E43190"/>
    <w:rsid w:val="00E4322F"/>
    <w:rsid w:val="00E43506"/>
    <w:rsid w:val="00E43564"/>
    <w:rsid w:val="00E435A0"/>
    <w:rsid w:val="00E43756"/>
    <w:rsid w:val="00E438AA"/>
    <w:rsid w:val="00E43978"/>
    <w:rsid w:val="00E43A32"/>
    <w:rsid w:val="00E43B0B"/>
    <w:rsid w:val="00E43BBB"/>
    <w:rsid w:val="00E43C1D"/>
    <w:rsid w:val="00E43C77"/>
    <w:rsid w:val="00E43E3E"/>
    <w:rsid w:val="00E44088"/>
    <w:rsid w:val="00E4411C"/>
    <w:rsid w:val="00E4418B"/>
    <w:rsid w:val="00E444BC"/>
    <w:rsid w:val="00E44679"/>
    <w:rsid w:val="00E447A0"/>
    <w:rsid w:val="00E448A4"/>
    <w:rsid w:val="00E44943"/>
    <w:rsid w:val="00E44950"/>
    <w:rsid w:val="00E44983"/>
    <w:rsid w:val="00E449A6"/>
    <w:rsid w:val="00E44B62"/>
    <w:rsid w:val="00E44C61"/>
    <w:rsid w:val="00E44CDD"/>
    <w:rsid w:val="00E44D77"/>
    <w:rsid w:val="00E44F11"/>
    <w:rsid w:val="00E44F90"/>
    <w:rsid w:val="00E45326"/>
    <w:rsid w:val="00E453B1"/>
    <w:rsid w:val="00E454D1"/>
    <w:rsid w:val="00E45590"/>
    <w:rsid w:val="00E4564B"/>
    <w:rsid w:val="00E45A22"/>
    <w:rsid w:val="00E45B09"/>
    <w:rsid w:val="00E45B3F"/>
    <w:rsid w:val="00E45BE4"/>
    <w:rsid w:val="00E45D0C"/>
    <w:rsid w:val="00E45D17"/>
    <w:rsid w:val="00E45E5D"/>
    <w:rsid w:val="00E45EC8"/>
    <w:rsid w:val="00E45EE8"/>
    <w:rsid w:val="00E45F5F"/>
    <w:rsid w:val="00E46203"/>
    <w:rsid w:val="00E46297"/>
    <w:rsid w:val="00E462CF"/>
    <w:rsid w:val="00E462F9"/>
    <w:rsid w:val="00E46486"/>
    <w:rsid w:val="00E466F1"/>
    <w:rsid w:val="00E46840"/>
    <w:rsid w:val="00E469CC"/>
    <w:rsid w:val="00E46B44"/>
    <w:rsid w:val="00E46E9E"/>
    <w:rsid w:val="00E46EAC"/>
    <w:rsid w:val="00E46F18"/>
    <w:rsid w:val="00E46F3D"/>
    <w:rsid w:val="00E46F6D"/>
    <w:rsid w:val="00E470C3"/>
    <w:rsid w:val="00E4721A"/>
    <w:rsid w:val="00E47343"/>
    <w:rsid w:val="00E47478"/>
    <w:rsid w:val="00E474E9"/>
    <w:rsid w:val="00E474F1"/>
    <w:rsid w:val="00E4751C"/>
    <w:rsid w:val="00E477C0"/>
    <w:rsid w:val="00E477DC"/>
    <w:rsid w:val="00E477EB"/>
    <w:rsid w:val="00E47861"/>
    <w:rsid w:val="00E47B25"/>
    <w:rsid w:val="00E47B93"/>
    <w:rsid w:val="00E47BEB"/>
    <w:rsid w:val="00E47C33"/>
    <w:rsid w:val="00E47D53"/>
    <w:rsid w:val="00E47DFC"/>
    <w:rsid w:val="00E47F39"/>
    <w:rsid w:val="00E47FAD"/>
    <w:rsid w:val="00E50018"/>
    <w:rsid w:val="00E50631"/>
    <w:rsid w:val="00E507C8"/>
    <w:rsid w:val="00E508F6"/>
    <w:rsid w:val="00E509F2"/>
    <w:rsid w:val="00E50A57"/>
    <w:rsid w:val="00E50BA0"/>
    <w:rsid w:val="00E50BA3"/>
    <w:rsid w:val="00E50E4D"/>
    <w:rsid w:val="00E50F23"/>
    <w:rsid w:val="00E50FAF"/>
    <w:rsid w:val="00E5100F"/>
    <w:rsid w:val="00E51059"/>
    <w:rsid w:val="00E511BD"/>
    <w:rsid w:val="00E51457"/>
    <w:rsid w:val="00E51614"/>
    <w:rsid w:val="00E51898"/>
    <w:rsid w:val="00E5196F"/>
    <w:rsid w:val="00E519D6"/>
    <w:rsid w:val="00E51A4E"/>
    <w:rsid w:val="00E51C97"/>
    <w:rsid w:val="00E51DFC"/>
    <w:rsid w:val="00E51EA4"/>
    <w:rsid w:val="00E51FD2"/>
    <w:rsid w:val="00E52010"/>
    <w:rsid w:val="00E52363"/>
    <w:rsid w:val="00E52892"/>
    <w:rsid w:val="00E52961"/>
    <w:rsid w:val="00E52A35"/>
    <w:rsid w:val="00E52A86"/>
    <w:rsid w:val="00E52B86"/>
    <w:rsid w:val="00E52C45"/>
    <w:rsid w:val="00E52F36"/>
    <w:rsid w:val="00E52F7B"/>
    <w:rsid w:val="00E52FBC"/>
    <w:rsid w:val="00E5300C"/>
    <w:rsid w:val="00E5308F"/>
    <w:rsid w:val="00E53165"/>
    <w:rsid w:val="00E53231"/>
    <w:rsid w:val="00E53332"/>
    <w:rsid w:val="00E533E2"/>
    <w:rsid w:val="00E53A11"/>
    <w:rsid w:val="00E53B4B"/>
    <w:rsid w:val="00E53DDD"/>
    <w:rsid w:val="00E53E99"/>
    <w:rsid w:val="00E541B0"/>
    <w:rsid w:val="00E54281"/>
    <w:rsid w:val="00E542B4"/>
    <w:rsid w:val="00E543CB"/>
    <w:rsid w:val="00E5456E"/>
    <w:rsid w:val="00E545DB"/>
    <w:rsid w:val="00E54608"/>
    <w:rsid w:val="00E54672"/>
    <w:rsid w:val="00E5467D"/>
    <w:rsid w:val="00E548AC"/>
    <w:rsid w:val="00E54A95"/>
    <w:rsid w:val="00E54AC1"/>
    <w:rsid w:val="00E54CB4"/>
    <w:rsid w:val="00E54E9F"/>
    <w:rsid w:val="00E54EBE"/>
    <w:rsid w:val="00E54EEB"/>
    <w:rsid w:val="00E54F86"/>
    <w:rsid w:val="00E55145"/>
    <w:rsid w:val="00E551CE"/>
    <w:rsid w:val="00E553C0"/>
    <w:rsid w:val="00E553EF"/>
    <w:rsid w:val="00E55543"/>
    <w:rsid w:val="00E555EF"/>
    <w:rsid w:val="00E556CC"/>
    <w:rsid w:val="00E55A25"/>
    <w:rsid w:val="00E55D5A"/>
    <w:rsid w:val="00E55E4B"/>
    <w:rsid w:val="00E5607C"/>
    <w:rsid w:val="00E5611D"/>
    <w:rsid w:val="00E5614C"/>
    <w:rsid w:val="00E56152"/>
    <w:rsid w:val="00E561DE"/>
    <w:rsid w:val="00E5633F"/>
    <w:rsid w:val="00E56454"/>
    <w:rsid w:val="00E56982"/>
    <w:rsid w:val="00E569BB"/>
    <w:rsid w:val="00E569F1"/>
    <w:rsid w:val="00E56A0C"/>
    <w:rsid w:val="00E56CDC"/>
    <w:rsid w:val="00E56D1E"/>
    <w:rsid w:val="00E56D43"/>
    <w:rsid w:val="00E56E2C"/>
    <w:rsid w:val="00E57169"/>
    <w:rsid w:val="00E57171"/>
    <w:rsid w:val="00E57198"/>
    <w:rsid w:val="00E571B5"/>
    <w:rsid w:val="00E572DC"/>
    <w:rsid w:val="00E575E9"/>
    <w:rsid w:val="00E5773A"/>
    <w:rsid w:val="00E57AF2"/>
    <w:rsid w:val="00E57B43"/>
    <w:rsid w:val="00E57DD4"/>
    <w:rsid w:val="00E6016F"/>
    <w:rsid w:val="00E60260"/>
    <w:rsid w:val="00E6040D"/>
    <w:rsid w:val="00E60485"/>
    <w:rsid w:val="00E604E4"/>
    <w:rsid w:val="00E60517"/>
    <w:rsid w:val="00E60759"/>
    <w:rsid w:val="00E609D1"/>
    <w:rsid w:val="00E60A5E"/>
    <w:rsid w:val="00E60C11"/>
    <w:rsid w:val="00E60D29"/>
    <w:rsid w:val="00E60DB3"/>
    <w:rsid w:val="00E60EA5"/>
    <w:rsid w:val="00E60FAE"/>
    <w:rsid w:val="00E61358"/>
    <w:rsid w:val="00E61430"/>
    <w:rsid w:val="00E61583"/>
    <w:rsid w:val="00E61789"/>
    <w:rsid w:val="00E61A80"/>
    <w:rsid w:val="00E61C1D"/>
    <w:rsid w:val="00E61CD4"/>
    <w:rsid w:val="00E61D54"/>
    <w:rsid w:val="00E61F5E"/>
    <w:rsid w:val="00E61F87"/>
    <w:rsid w:val="00E62380"/>
    <w:rsid w:val="00E623DC"/>
    <w:rsid w:val="00E62418"/>
    <w:rsid w:val="00E62488"/>
    <w:rsid w:val="00E6260E"/>
    <w:rsid w:val="00E626DC"/>
    <w:rsid w:val="00E62866"/>
    <w:rsid w:val="00E62B79"/>
    <w:rsid w:val="00E630E9"/>
    <w:rsid w:val="00E636D6"/>
    <w:rsid w:val="00E63700"/>
    <w:rsid w:val="00E637CC"/>
    <w:rsid w:val="00E63845"/>
    <w:rsid w:val="00E6384D"/>
    <w:rsid w:val="00E6390B"/>
    <w:rsid w:val="00E6394C"/>
    <w:rsid w:val="00E63A43"/>
    <w:rsid w:val="00E63AAC"/>
    <w:rsid w:val="00E63BDA"/>
    <w:rsid w:val="00E63C07"/>
    <w:rsid w:val="00E63C4B"/>
    <w:rsid w:val="00E63CEB"/>
    <w:rsid w:val="00E63D49"/>
    <w:rsid w:val="00E63F6E"/>
    <w:rsid w:val="00E63F78"/>
    <w:rsid w:val="00E6404E"/>
    <w:rsid w:val="00E646D1"/>
    <w:rsid w:val="00E649A8"/>
    <w:rsid w:val="00E649E4"/>
    <w:rsid w:val="00E64BE3"/>
    <w:rsid w:val="00E64C6C"/>
    <w:rsid w:val="00E64CEA"/>
    <w:rsid w:val="00E64D5E"/>
    <w:rsid w:val="00E64E3B"/>
    <w:rsid w:val="00E6504F"/>
    <w:rsid w:val="00E65201"/>
    <w:rsid w:val="00E6528C"/>
    <w:rsid w:val="00E65304"/>
    <w:rsid w:val="00E65336"/>
    <w:rsid w:val="00E6537A"/>
    <w:rsid w:val="00E655F5"/>
    <w:rsid w:val="00E65832"/>
    <w:rsid w:val="00E65866"/>
    <w:rsid w:val="00E659DD"/>
    <w:rsid w:val="00E65B13"/>
    <w:rsid w:val="00E65BDE"/>
    <w:rsid w:val="00E65BF6"/>
    <w:rsid w:val="00E65BFF"/>
    <w:rsid w:val="00E65C36"/>
    <w:rsid w:val="00E65C40"/>
    <w:rsid w:val="00E65F62"/>
    <w:rsid w:val="00E66015"/>
    <w:rsid w:val="00E66034"/>
    <w:rsid w:val="00E6618E"/>
    <w:rsid w:val="00E66254"/>
    <w:rsid w:val="00E66E72"/>
    <w:rsid w:val="00E66EA9"/>
    <w:rsid w:val="00E66EF4"/>
    <w:rsid w:val="00E67013"/>
    <w:rsid w:val="00E6744C"/>
    <w:rsid w:val="00E67807"/>
    <w:rsid w:val="00E6784F"/>
    <w:rsid w:val="00E67A0F"/>
    <w:rsid w:val="00E67A17"/>
    <w:rsid w:val="00E67AE3"/>
    <w:rsid w:val="00E67B57"/>
    <w:rsid w:val="00E67BBE"/>
    <w:rsid w:val="00E67DD5"/>
    <w:rsid w:val="00E67FAA"/>
    <w:rsid w:val="00E70056"/>
    <w:rsid w:val="00E702F3"/>
    <w:rsid w:val="00E70333"/>
    <w:rsid w:val="00E70425"/>
    <w:rsid w:val="00E7043B"/>
    <w:rsid w:val="00E70589"/>
    <w:rsid w:val="00E70794"/>
    <w:rsid w:val="00E70C74"/>
    <w:rsid w:val="00E70CE6"/>
    <w:rsid w:val="00E70DB5"/>
    <w:rsid w:val="00E70E6A"/>
    <w:rsid w:val="00E70F34"/>
    <w:rsid w:val="00E71048"/>
    <w:rsid w:val="00E7114B"/>
    <w:rsid w:val="00E71323"/>
    <w:rsid w:val="00E7132D"/>
    <w:rsid w:val="00E71368"/>
    <w:rsid w:val="00E7136D"/>
    <w:rsid w:val="00E713A9"/>
    <w:rsid w:val="00E715E2"/>
    <w:rsid w:val="00E7165B"/>
    <w:rsid w:val="00E716CD"/>
    <w:rsid w:val="00E716D6"/>
    <w:rsid w:val="00E71771"/>
    <w:rsid w:val="00E71A19"/>
    <w:rsid w:val="00E71C12"/>
    <w:rsid w:val="00E71D5F"/>
    <w:rsid w:val="00E71D79"/>
    <w:rsid w:val="00E71DBC"/>
    <w:rsid w:val="00E72007"/>
    <w:rsid w:val="00E72060"/>
    <w:rsid w:val="00E72199"/>
    <w:rsid w:val="00E723F8"/>
    <w:rsid w:val="00E72453"/>
    <w:rsid w:val="00E7253B"/>
    <w:rsid w:val="00E725D5"/>
    <w:rsid w:val="00E726E1"/>
    <w:rsid w:val="00E72753"/>
    <w:rsid w:val="00E7287A"/>
    <w:rsid w:val="00E72BB9"/>
    <w:rsid w:val="00E72BFF"/>
    <w:rsid w:val="00E72E2C"/>
    <w:rsid w:val="00E72F1B"/>
    <w:rsid w:val="00E72F1E"/>
    <w:rsid w:val="00E73029"/>
    <w:rsid w:val="00E73081"/>
    <w:rsid w:val="00E7333E"/>
    <w:rsid w:val="00E7360E"/>
    <w:rsid w:val="00E7364A"/>
    <w:rsid w:val="00E736FE"/>
    <w:rsid w:val="00E737B0"/>
    <w:rsid w:val="00E73A2B"/>
    <w:rsid w:val="00E73B3C"/>
    <w:rsid w:val="00E73CD0"/>
    <w:rsid w:val="00E73CF7"/>
    <w:rsid w:val="00E73DE7"/>
    <w:rsid w:val="00E73E88"/>
    <w:rsid w:val="00E73FD4"/>
    <w:rsid w:val="00E74183"/>
    <w:rsid w:val="00E74212"/>
    <w:rsid w:val="00E74220"/>
    <w:rsid w:val="00E74394"/>
    <w:rsid w:val="00E743F1"/>
    <w:rsid w:val="00E7442B"/>
    <w:rsid w:val="00E7458F"/>
    <w:rsid w:val="00E745E1"/>
    <w:rsid w:val="00E7475D"/>
    <w:rsid w:val="00E7484B"/>
    <w:rsid w:val="00E748E2"/>
    <w:rsid w:val="00E74A5B"/>
    <w:rsid w:val="00E74ADB"/>
    <w:rsid w:val="00E74B6F"/>
    <w:rsid w:val="00E74BB2"/>
    <w:rsid w:val="00E74BF6"/>
    <w:rsid w:val="00E74C2B"/>
    <w:rsid w:val="00E74CFF"/>
    <w:rsid w:val="00E74E47"/>
    <w:rsid w:val="00E74F57"/>
    <w:rsid w:val="00E75123"/>
    <w:rsid w:val="00E753C8"/>
    <w:rsid w:val="00E753D9"/>
    <w:rsid w:val="00E75467"/>
    <w:rsid w:val="00E754C0"/>
    <w:rsid w:val="00E7554A"/>
    <w:rsid w:val="00E75B48"/>
    <w:rsid w:val="00E75F9A"/>
    <w:rsid w:val="00E762D4"/>
    <w:rsid w:val="00E76319"/>
    <w:rsid w:val="00E7650B"/>
    <w:rsid w:val="00E76652"/>
    <w:rsid w:val="00E7674F"/>
    <w:rsid w:val="00E7676B"/>
    <w:rsid w:val="00E76B72"/>
    <w:rsid w:val="00E76C8D"/>
    <w:rsid w:val="00E77158"/>
    <w:rsid w:val="00E7749C"/>
    <w:rsid w:val="00E77606"/>
    <w:rsid w:val="00E77728"/>
    <w:rsid w:val="00E777F2"/>
    <w:rsid w:val="00E77C88"/>
    <w:rsid w:val="00E77CF9"/>
    <w:rsid w:val="00E77EA1"/>
    <w:rsid w:val="00E8003B"/>
    <w:rsid w:val="00E805D6"/>
    <w:rsid w:val="00E805F0"/>
    <w:rsid w:val="00E805F2"/>
    <w:rsid w:val="00E80620"/>
    <w:rsid w:val="00E8075E"/>
    <w:rsid w:val="00E807D7"/>
    <w:rsid w:val="00E807FF"/>
    <w:rsid w:val="00E8084F"/>
    <w:rsid w:val="00E8088B"/>
    <w:rsid w:val="00E80A0F"/>
    <w:rsid w:val="00E80AB0"/>
    <w:rsid w:val="00E80B6C"/>
    <w:rsid w:val="00E80EB0"/>
    <w:rsid w:val="00E80FCE"/>
    <w:rsid w:val="00E81238"/>
    <w:rsid w:val="00E8134C"/>
    <w:rsid w:val="00E8145B"/>
    <w:rsid w:val="00E81515"/>
    <w:rsid w:val="00E81559"/>
    <w:rsid w:val="00E815E3"/>
    <w:rsid w:val="00E816E2"/>
    <w:rsid w:val="00E8175B"/>
    <w:rsid w:val="00E817AA"/>
    <w:rsid w:val="00E81885"/>
    <w:rsid w:val="00E81930"/>
    <w:rsid w:val="00E81B1B"/>
    <w:rsid w:val="00E81B38"/>
    <w:rsid w:val="00E81B61"/>
    <w:rsid w:val="00E81B95"/>
    <w:rsid w:val="00E81F62"/>
    <w:rsid w:val="00E81F6E"/>
    <w:rsid w:val="00E81FBF"/>
    <w:rsid w:val="00E8213E"/>
    <w:rsid w:val="00E824C6"/>
    <w:rsid w:val="00E82557"/>
    <w:rsid w:val="00E82579"/>
    <w:rsid w:val="00E82639"/>
    <w:rsid w:val="00E82784"/>
    <w:rsid w:val="00E828C0"/>
    <w:rsid w:val="00E828CB"/>
    <w:rsid w:val="00E8296E"/>
    <w:rsid w:val="00E829CC"/>
    <w:rsid w:val="00E8308C"/>
    <w:rsid w:val="00E8327E"/>
    <w:rsid w:val="00E83424"/>
    <w:rsid w:val="00E83493"/>
    <w:rsid w:val="00E834E5"/>
    <w:rsid w:val="00E83599"/>
    <w:rsid w:val="00E83696"/>
    <w:rsid w:val="00E8369B"/>
    <w:rsid w:val="00E836A2"/>
    <w:rsid w:val="00E836AD"/>
    <w:rsid w:val="00E8373E"/>
    <w:rsid w:val="00E83856"/>
    <w:rsid w:val="00E838BE"/>
    <w:rsid w:val="00E83A01"/>
    <w:rsid w:val="00E83BA0"/>
    <w:rsid w:val="00E83D80"/>
    <w:rsid w:val="00E84084"/>
    <w:rsid w:val="00E84099"/>
    <w:rsid w:val="00E8475B"/>
    <w:rsid w:val="00E8482D"/>
    <w:rsid w:val="00E84A43"/>
    <w:rsid w:val="00E84B51"/>
    <w:rsid w:val="00E84B5A"/>
    <w:rsid w:val="00E84C05"/>
    <w:rsid w:val="00E84D05"/>
    <w:rsid w:val="00E84F06"/>
    <w:rsid w:val="00E85156"/>
    <w:rsid w:val="00E852A3"/>
    <w:rsid w:val="00E8548F"/>
    <w:rsid w:val="00E8551E"/>
    <w:rsid w:val="00E8559C"/>
    <w:rsid w:val="00E85674"/>
    <w:rsid w:val="00E85A1F"/>
    <w:rsid w:val="00E85B2C"/>
    <w:rsid w:val="00E85D16"/>
    <w:rsid w:val="00E85E30"/>
    <w:rsid w:val="00E85F6A"/>
    <w:rsid w:val="00E86108"/>
    <w:rsid w:val="00E8614E"/>
    <w:rsid w:val="00E86332"/>
    <w:rsid w:val="00E86382"/>
    <w:rsid w:val="00E86410"/>
    <w:rsid w:val="00E8641D"/>
    <w:rsid w:val="00E865A4"/>
    <w:rsid w:val="00E866A5"/>
    <w:rsid w:val="00E86935"/>
    <w:rsid w:val="00E869BB"/>
    <w:rsid w:val="00E869C3"/>
    <w:rsid w:val="00E869D5"/>
    <w:rsid w:val="00E86D12"/>
    <w:rsid w:val="00E86D9F"/>
    <w:rsid w:val="00E86DA7"/>
    <w:rsid w:val="00E86F16"/>
    <w:rsid w:val="00E86F55"/>
    <w:rsid w:val="00E8721D"/>
    <w:rsid w:val="00E87239"/>
    <w:rsid w:val="00E87350"/>
    <w:rsid w:val="00E875EE"/>
    <w:rsid w:val="00E8775E"/>
    <w:rsid w:val="00E877D9"/>
    <w:rsid w:val="00E87A50"/>
    <w:rsid w:val="00E87B75"/>
    <w:rsid w:val="00E87CF3"/>
    <w:rsid w:val="00E90132"/>
    <w:rsid w:val="00E90341"/>
    <w:rsid w:val="00E903A4"/>
    <w:rsid w:val="00E90649"/>
    <w:rsid w:val="00E907D0"/>
    <w:rsid w:val="00E9082E"/>
    <w:rsid w:val="00E90A7C"/>
    <w:rsid w:val="00E90BD1"/>
    <w:rsid w:val="00E90E04"/>
    <w:rsid w:val="00E90E9E"/>
    <w:rsid w:val="00E911EF"/>
    <w:rsid w:val="00E912ED"/>
    <w:rsid w:val="00E91445"/>
    <w:rsid w:val="00E917B3"/>
    <w:rsid w:val="00E91823"/>
    <w:rsid w:val="00E918B9"/>
    <w:rsid w:val="00E918FC"/>
    <w:rsid w:val="00E91BF1"/>
    <w:rsid w:val="00E91CE4"/>
    <w:rsid w:val="00E91ED9"/>
    <w:rsid w:val="00E921E1"/>
    <w:rsid w:val="00E92337"/>
    <w:rsid w:val="00E92467"/>
    <w:rsid w:val="00E92532"/>
    <w:rsid w:val="00E9256E"/>
    <w:rsid w:val="00E92670"/>
    <w:rsid w:val="00E92820"/>
    <w:rsid w:val="00E92B9D"/>
    <w:rsid w:val="00E92C08"/>
    <w:rsid w:val="00E92FE2"/>
    <w:rsid w:val="00E9319B"/>
    <w:rsid w:val="00E93231"/>
    <w:rsid w:val="00E933CF"/>
    <w:rsid w:val="00E93456"/>
    <w:rsid w:val="00E934BA"/>
    <w:rsid w:val="00E9365C"/>
    <w:rsid w:val="00E93662"/>
    <w:rsid w:val="00E93870"/>
    <w:rsid w:val="00E938F8"/>
    <w:rsid w:val="00E9393E"/>
    <w:rsid w:val="00E93B71"/>
    <w:rsid w:val="00E93D50"/>
    <w:rsid w:val="00E9428C"/>
    <w:rsid w:val="00E943A9"/>
    <w:rsid w:val="00E943B7"/>
    <w:rsid w:val="00E944B8"/>
    <w:rsid w:val="00E9473A"/>
    <w:rsid w:val="00E94879"/>
    <w:rsid w:val="00E94AF4"/>
    <w:rsid w:val="00E94B04"/>
    <w:rsid w:val="00E94B16"/>
    <w:rsid w:val="00E94BCA"/>
    <w:rsid w:val="00E94C2D"/>
    <w:rsid w:val="00E94CE1"/>
    <w:rsid w:val="00E94D32"/>
    <w:rsid w:val="00E950F6"/>
    <w:rsid w:val="00E951AB"/>
    <w:rsid w:val="00E9540C"/>
    <w:rsid w:val="00E9546C"/>
    <w:rsid w:val="00E957AE"/>
    <w:rsid w:val="00E959F5"/>
    <w:rsid w:val="00E95ACB"/>
    <w:rsid w:val="00E961F1"/>
    <w:rsid w:val="00E962B0"/>
    <w:rsid w:val="00E96312"/>
    <w:rsid w:val="00E963AC"/>
    <w:rsid w:val="00E96463"/>
    <w:rsid w:val="00E964A2"/>
    <w:rsid w:val="00E964B1"/>
    <w:rsid w:val="00E9650D"/>
    <w:rsid w:val="00E965DE"/>
    <w:rsid w:val="00E96601"/>
    <w:rsid w:val="00E96991"/>
    <w:rsid w:val="00E969F5"/>
    <w:rsid w:val="00E969FB"/>
    <w:rsid w:val="00E96A73"/>
    <w:rsid w:val="00E96AF0"/>
    <w:rsid w:val="00E96CE4"/>
    <w:rsid w:val="00E96E22"/>
    <w:rsid w:val="00E96ED9"/>
    <w:rsid w:val="00E97003"/>
    <w:rsid w:val="00E97116"/>
    <w:rsid w:val="00E971A3"/>
    <w:rsid w:val="00E972CA"/>
    <w:rsid w:val="00E97520"/>
    <w:rsid w:val="00E97569"/>
    <w:rsid w:val="00E9756D"/>
    <w:rsid w:val="00E97703"/>
    <w:rsid w:val="00E97879"/>
    <w:rsid w:val="00E97D0C"/>
    <w:rsid w:val="00E97DEA"/>
    <w:rsid w:val="00E97E07"/>
    <w:rsid w:val="00E97E75"/>
    <w:rsid w:val="00E97F29"/>
    <w:rsid w:val="00EA0063"/>
    <w:rsid w:val="00EA010F"/>
    <w:rsid w:val="00EA0198"/>
    <w:rsid w:val="00EA03A3"/>
    <w:rsid w:val="00EA0581"/>
    <w:rsid w:val="00EA05D6"/>
    <w:rsid w:val="00EA05DD"/>
    <w:rsid w:val="00EA0C06"/>
    <w:rsid w:val="00EA0D13"/>
    <w:rsid w:val="00EA0DD5"/>
    <w:rsid w:val="00EA0DD7"/>
    <w:rsid w:val="00EA0DDC"/>
    <w:rsid w:val="00EA0E9C"/>
    <w:rsid w:val="00EA0EAC"/>
    <w:rsid w:val="00EA0F0F"/>
    <w:rsid w:val="00EA0FAD"/>
    <w:rsid w:val="00EA132A"/>
    <w:rsid w:val="00EA145A"/>
    <w:rsid w:val="00EA1503"/>
    <w:rsid w:val="00EA154C"/>
    <w:rsid w:val="00EA1741"/>
    <w:rsid w:val="00EA184B"/>
    <w:rsid w:val="00EA19E2"/>
    <w:rsid w:val="00EA1AC8"/>
    <w:rsid w:val="00EA1AE6"/>
    <w:rsid w:val="00EA1C35"/>
    <w:rsid w:val="00EA1C86"/>
    <w:rsid w:val="00EA1D69"/>
    <w:rsid w:val="00EA1DCD"/>
    <w:rsid w:val="00EA1EDE"/>
    <w:rsid w:val="00EA2060"/>
    <w:rsid w:val="00EA20DB"/>
    <w:rsid w:val="00EA2254"/>
    <w:rsid w:val="00EA227A"/>
    <w:rsid w:val="00EA24F1"/>
    <w:rsid w:val="00EA2802"/>
    <w:rsid w:val="00EA28BE"/>
    <w:rsid w:val="00EA2A4D"/>
    <w:rsid w:val="00EA2A50"/>
    <w:rsid w:val="00EA2A94"/>
    <w:rsid w:val="00EA2B3B"/>
    <w:rsid w:val="00EA2B9F"/>
    <w:rsid w:val="00EA2D3C"/>
    <w:rsid w:val="00EA2FDB"/>
    <w:rsid w:val="00EA2FFB"/>
    <w:rsid w:val="00EA3080"/>
    <w:rsid w:val="00EA314E"/>
    <w:rsid w:val="00EA31CE"/>
    <w:rsid w:val="00EA342C"/>
    <w:rsid w:val="00EA34B2"/>
    <w:rsid w:val="00EA34FB"/>
    <w:rsid w:val="00EA356F"/>
    <w:rsid w:val="00EA3756"/>
    <w:rsid w:val="00EA3947"/>
    <w:rsid w:val="00EA3E53"/>
    <w:rsid w:val="00EA3F1F"/>
    <w:rsid w:val="00EA416D"/>
    <w:rsid w:val="00EA41BE"/>
    <w:rsid w:val="00EA4385"/>
    <w:rsid w:val="00EA4799"/>
    <w:rsid w:val="00EA49A9"/>
    <w:rsid w:val="00EA4AFC"/>
    <w:rsid w:val="00EA4BF3"/>
    <w:rsid w:val="00EA4BF6"/>
    <w:rsid w:val="00EA4DD7"/>
    <w:rsid w:val="00EA506A"/>
    <w:rsid w:val="00EA508A"/>
    <w:rsid w:val="00EA50E7"/>
    <w:rsid w:val="00EA51E5"/>
    <w:rsid w:val="00EA5375"/>
    <w:rsid w:val="00EA581B"/>
    <w:rsid w:val="00EA5CA1"/>
    <w:rsid w:val="00EA6046"/>
    <w:rsid w:val="00EA60D6"/>
    <w:rsid w:val="00EA6152"/>
    <w:rsid w:val="00EA6439"/>
    <w:rsid w:val="00EA6791"/>
    <w:rsid w:val="00EA68D4"/>
    <w:rsid w:val="00EA6919"/>
    <w:rsid w:val="00EA6949"/>
    <w:rsid w:val="00EA6AA6"/>
    <w:rsid w:val="00EA6B85"/>
    <w:rsid w:val="00EA6C86"/>
    <w:rsid w:val="00EA6DE8"/>
    <w:rsid w:val="00EA6E0E"/>
    <w:rsid w:val="00EA6E3E"/>
    <w:rsid w:val="00EA6FEC"/>
    <w:rsid w:val="00EA725A"/>
    <w:rsid w:val="00EA7469"/>
    <w:rsid w:val="00EA758F"/>
    <w:rsid w:val="00EA7712"/>
    <w:rsid w:val="00EA7849"/>
    <w:rsid w:val="00EA78D1"/>
    <w:rsid w:val="00EA7B57"/>
    <w:rsid w:val="00EA7BB2"/>
    <w:rsid w:val="00EA7DB8"/>
    <w:rsid w:val="00EA7DFB"/>
    <w:rsid w:val="00EA7F21"/>
    <w:rsid w:val="00EB0036"/>
    <w:rsid w:val="00EB006F"/>
    <w:rsid w:val="00EB01DF"/>
    <w:rsid w:val="00EB01F5"/>
    <w:rsid w:val="00EB01FE"/>
    <w:rsid w:val="00EB0272"/>
    <w:rsid w:val="00EB0343"/>
    <w:rsid w:val="00EB04E4"/>
    <w:rsid w:val="00EB04F3"/>
    <w:rsid w:val="00EB0510"/>
    <w:rsid w:val="00EB05CE"/>
    <w:rsid w:val="00EB0696"/>
    <w:rsid w:val="00EB0777"/>
    <w:rsid w:val="00EB086F"/>
    <w:rsid w:val="00EB08F2"/>
    <w:rsid w:val="00EB09CE"/>
    <w:rsid w:val="00EB0A52"/>
    <w:rsid w:val="00EB0A95"/>
    <w:rsid w:val="00EB0EB0"/>
    <w:rsid w:val="00EB1048"/>
    <w:rsid w:val="00EB1061"/>
    <w:rsid w:val="00EB12C1"/>
    <w:rsid w:val="00EB13B8"/>
    <w:rsid w:val="00EB154C"/>
    <w:rsid w:val="00EB15E3"/>
    <w:rsid w:val="00EB166E"/>
    <w:rsid w:val="00EB1A80"/>
    <w:rsid w:val="00EB1AF0"/>
    <w:rsid w:val="00EB1B8E"/>
    <w:rsid w:val="00EB1D41"/>
    <w:rsid w:val="00EB1E67"/>
    <w:rsid w:val="00EB200D"/>
    <w:rsid w:val="00EB21A5"/>
    <w:rsid w:val="00EB237E"/>
    <w:rsid w:val="00EB259D"/>
    <w:rsid w:val="00EB25F3"/>
    <w:rsid w:val="00EB26DD"/>
    <w:rsid w:val="00EB27ED"/>
    <w:rsid w:val="00EB2860"/>
    <w:rsid w:val="00EB2956"/>
    <w:rsid w:val="00EB2C26"/>
    <w:rsid w:val="00EB315E"/>
    <w:rsid w:val="00EB31F9"/>
    <w:rsid w:val="00EB325E"/>
    <w:rsid w:val="00EB3347"/>
    <w:rsid w:val="00EB351D"/>
    <w:rsid w:val="00EB3559"/>
    <w:rsid w:val="00EB358E"/>
    <w:rsid w:val="00EB35F8"/>
    <w:rsid w:val="00EB360E"/>
    <w:rsid w:val="00EB367A"/>
    <w:rsid w:val="00EB399E"/>
    <w:rsid w:val="00EB3A6F"/>
    <w:rsid w:val="00EB3D92"/>
    <w:rsid w:val="00EB3ED8"/>
    <w:rsid w:val="00EB401C"/>
    <w:rsid w:val="00EB4181"/>
    <w:rsid w:val="00EB43EA"/>
    <w:rsid w:val="00EB4604"/>
    <w:rsid w:val="00EB4734"/>
    <w:rsid w:val="00EB488E"/>
    <w:rsid w:val="00EB497A"/>
    <w:rsid w:val="00EB4A51"/>
    <w:rsid w:val="00EB4A7C"/>
    <w:rsid w:val="00EB4B5D"/>
    <w:rsid w:val="00EB4C13"/>
    <w:rsid w:val="00EB4E21"/>
    <w:rsid w:val="00EB4F01"/>
    <w:rsid w:val="00EB51BE"/>
    <w:rsid w:val="00EB5276"/>
    <w:rsid w:val="00EB5459"/>
    <w:rsid w:val="00EB54D2"/>
    <w:rsid w:val="00EB5551"/>
    <w:rsid w:val="00EB576F"/>
    <w:rsid w:val="00EB5A7F"/>
    <w:rsid w:val="00EB5ABB"/>
    <w:rsid w:val="00EB5B6F"/>
    <w:rsid w:val="00EB5C6A"/>
    <w:rsid w:val="00EB5D68"/>
    <w:rsid w:val="00EB5D9F"/>
    <w:rsid w:val="00EB60ED"/>
    <w:rsid w:val="00EB632B"/>
    <w:rsid w:val="00EB661D"/>
    <w:rsid w:val="00EB67B7"/>
    <w:rsid w:val="00EB6BCF"/>
    <w:rsid w:val="00EB6BF2"/>
    <w:rsid w:val="00EB6CA7"/>
    <w:rsid w:val="00EB6CE6"/>
    <w:rsid w:val="00EB6CED"/>
    <w:rsid w:val="00EB6D3A"/>
    <w:rsid w:val="00EB70A7"/>
    <w:rsid w:val="00EB72BB"/>
    <w:rsid w:val="00EB72C1"/>
    <w:rsid w:val="00EB739D"/>
    <w:rsid w:val="00EB7647"/>
    <w:rsid w:val="00EB7734"/>
    <w:rsid w:val="00EB7827"/>
    <w:rsid w:val="00EB7FA5"/>
    <w:rsid w:val="00EC0188"/>
    <w:rsid w:val="00EC0215"/>
    <w:rsid w:val="00EC035F"/>
    <w:rsid w:val="00EC0382"/>
    <w:rsid w:val="00EC03AE"/>
    <w:rsid w:val="00EC047C"/>
    <w:rsid w:val="00EC04ED"/>
    <w:rsid w:val="00EC068C"/>
    <w:rsid w:val="00EC0707"/>
    <w:rsid w:val="00EC082A"/>
    <w:rsid w:val="00EC099D"/>
    <w:rsid w:val="00EC09A1"/>
    <w:rsid w:val="00EC0A06"/>
    <w:rsid w:val="00EC0B4C"/>
    <w:rsid w:val="00EC0C63"/>
    <w:rsid w:val="00EC0EAA"/>
    <w:rsid w:val="00EC11F3"/>
    <w:rsid w:val="00EC139D"/>
    <w:rsid w:val="00EC1499"/>
    <w:rsid w:val="00EC156C"/>
    <w:rsid w:val="00EC169B"/>
    <w:rsid w:val="00EC17DC"/>
    <w:rsid w:val="00EC19BA"/>
    <w:rsid w:val="00EC1A09"/>
    <w:rsid w:val="00EC1C1C"/>
    <w:rsid w:val="00EC1C47"/>
    <w:rsid w:val="00EC1C62"/>
    <w:rsid w:val="00EC1CB7"/>
    <w:rsid w:val="00EC1F75"/>
    <w:rsid w:val="00EC22A7"/>
    <w:rsid w:val="00EC243D"/>
    <w:rsid w:val="00EC25C3"/>
    <w:rsid w:val="00EC25F9"/>
    <w:rsid w:val="00EC26D6"/>
    <w:rsid w:val="00EC2B42"/>
    <w:rsid w:val="00EC2B7C"/>
    <w:rsid w:val="00EC2C0A"/>
    <w:rsid w:val="00EC2C60"/>
    <w:rsid w:val="00EC2FC3"/>
    <w:rsid w:val="00EC303B"/>
    <w:rsid w:val="00EC3093"/>
    <w:rsid w:val="00EC330A"/>
    <w:rsid w:val="00EC33A5"/>
    <w:rsid w:val="00EC3542"/>
    <w:rsid w:val="00EC37C2"/>
    <w:rsid w:val="00EC3B17"/>
    <w:rsid w:val="00EC3CD0"/>
    <w:rsid w:val="00EC3FE0"/>
    <w:rsid w:val="00EC4040"/>
    <w:rsid w:val="00EC4165"/>
    <w:rsid w:val="00EC419B"/>
    <w:rsid w:val="00EC44C9"/>
    <w:rsid w:val="00EC455F"/>
    <w:rsid w:val="00EC4583"/>
    <w:rsid w:val="00EC477E"/>
    <w:rsid w:val="00EC481D"/>
    <w:rsid w:val="00EC48E2"/>
    <w:rsid w:val="00EC492C"/>
    <w:rsid w:val="00EC4DE4"/>
    <w:rsid w:val="00EC4EF4"/>
    <w:rsid w:val="00EC513A"/>
    <w:rsid w:val="00EC5153"/>
    <w:rsid w:val="00EC51F5"/>
    <w:rsid w:val="00EC52E4"/>
    <w:rsid w:val="00EC52E6"/>
    <w:rsid w:val="00EC5792"/>
    <w:rsid w:val="00EC58A6"/>
    <w:rsid w:val="00EC598D"/>
    <w:rsid w:val="00EC59B4"/>
    <w:rsid w:val="00EC5ADB"/>
    <w:rsid w:val="00EC5BAC"/>
    <w:rsid w:val="00EC5C4B"/>
    <w:rsid w:val="00EC5EBE"/>
    <w:rsid w:val="00EC5FE0"/>
    <w:rsid w:val="00EC6030"/>
    <w:rsid w:val="00EC607C"/>
    <w:rsid w:val="00EC611F"/>
    <w:rsid w:val="00EC62CF"/>
    <w:rsid w:val="00EC6493"/>
    <w:rsid w:val="00EC650A"/>
    <w:rsid w:val="00EC65CD"/>
    <w:rsid w:val="00EC65F9"/>
    <w:rsid w:val="00EC6698"/>
    <w:rsid w:val="00EC66C6"/>
    <w:rsid w:val="00EC68CE"/>
    <w:rsid w:val="00EC6AC4"/>
    <w:rsid w:val="00EC6D6D"/>
    <w:rsid w:val="00EC6D8F"/>
    <w:rsid w:val="00EC6E7F"/>
    <w:rsid w:val="00EC6E90"/>
    <w:rsid w:val="00EC70B5"/>
    <w:rsid w:val="00EC71AA"/>
    <w:rsid w:val="00EC72A7"/>
    <w:rsid w:val="00EC7508"/>
    <w:rsid w:val="00EC76C7"/>
    <w:rsid w:val="00EC7A6C"/>
    <w:rsid w:val="00EC7B02"/>
    <w:rsid w:val="00EC7BF5"/>
    <w:rsid w:val="00EC7D03"/>
    <w:rsid w:val="00EC7EF3"/>
    <w:rsid w:val="00EC7F8B"/>
    <w:rsid w:val="00ED02A1"/>
    <w:rsid w:val="00ED0329"/>
    <w:rsid w:val="00ED0431"/>
    <w:rsid w:val="00ED043F"/>
    <w:rsid w:val="00ED0A93"/>
    <w:rsid w:val="00ED0B81"/>
    <w:rsid w:val="00ED0C77"/>
    <w:rsid w:val="00ED0E79"/>
    <w:rsid w:val="00ED0F1F"/>
    <w:rsid w:val="00ED109A"/>
    <w:rsid w:val="00ED1147"/>
    <w:rsid w:val="00ED1226"/>
    <w:rsid w:val="00ED1278"/>
    <w:rsid w:val="00ED134E"/>
    <w:rsid w:val="00ED159F"/>
    <w:rsid w:val="00ED1805"/>
    <w:rsid w:val="00ED18EA"/>
    <w:rsid w:val="00ED1BFC"/>
    <w:rsid w:val="00ED1C94"/>
    <w:rsid w:val="00ED1CB8"/>
    <w:rsid w:val="00ED1FA2"/>
    <w:rsid w:val="00ED20DD"/>
    <w:rsid w:val="00ED20FF"/>
    <w:rsid w:val="00ED270A"/>
    <w:rsid w:val="00ED282A"/>
    <w:rsid w:val="00ED2842"/>
    <w:rsid w:val="00ED29E7"/>
    <w:rsid w:val="00ED2BF5"/>
    <w:rsid w:val="00ED2DA7"/>
    <w:rsid w:val="00ED2EF8"/>
    <w:rsid w:val="00ED2F48"/>
    <w:rsid w:val="00ED2F8F"/>
    <w:rsid w:val="00ED2FCF"/>
    <w:rsid w:val="00ED30B4"/>
    <w:rsid w:val="00ED313D"/>
    <w:rsid w:val="00ED31EE"/>
    <w:rsid w:val="00ED3251"/>
    <w:rsid w:val="00ED327C"/>
    <w:rsid w:val="00ED32EA"/>
    <w:rsid w:val="00ED3319"/>
    <w:rsid w:val="00ED3650"/>
    <w:rsid w:val="00ED3CA7"/>
    <w:rsid w:val="00ED3D7C"/>
    <w:rsid w:val="00ED3DAA"/>
    <w:rsid w:val="00ED4039"/>
    <w:rsid w:val="00ED4095"/>
    <w:rsid w:val="00ED40D0"/>
    <w:rsid w:val="00ED440C"/>
    <w:rsid w:val="00ED488E"/>
    <w:rsid w:val="00ED4C7E"/>
    <w:rsid w:val="00ED4C99"/>
    <w:rsid w:val="00ED4CBE"/>
    <w:rsid w:val="00ED4D0D"/>
    <w:rsid w:val="00ED4F46"/>
    <w:rsid w:val="00ED509A"/>
    <w:rsid w:val="00ED528B"/>
    <w:rsid w:val="00ED52AB"/>
    <w:rsid w:val="00ED52D9"/>
    <w:rsid w:val="00ED5307"/>
    <w:rsid w:val="00ED536B"/>
    <w:rsid w:val="00ED5A1A"/>
    <w:rsid w:val="00ED5B4D"/>
    <w:rsid w:val="00ED5D64"/>
    <w:rsid w:val="00ED5D86"/>
    <w:rsid w:val="00ED5DFB"/>
    <w:rsid w:val="00ED60CA"/>
    <w:rsid w:val="00ED61AF"/>
    <w:rsid w:val="00ED6204"/>
    <w:rsid w:val="00ED62CF"/>
    <w:rsid w:val="00ED65A6"/>
    <w:rsid w:val="00ED67C9"/>
    <w:rsid w:val="00ED6AD1"/>
    <w:rsid w:val="00ED6C5D"/>
    <w:rsid w:val="00ED6CF0"/>
    <w:rsid w:val="00ED6D33"/>
    <w:rsid w:val="00ED6DCD"/>
    <w:rsid w:val="00ED6DDD"/>
    <w:rsid w:val="00ED6EA1"/>
    <w:rsid w:val="00ED6F69"/>
    <w:rsid w:val="00ED6F7B"/>
    <w:rsid w:val="00ED6FDF"/>
    <w:rsid w:val="00ED71D6"/>
    <w:rsid w:val="00ED71FF"/>
    <w:rsid w:val="00ED73FA"/>
    <w:rsid w:val="00ED75D2"/>
    <w:rsid w:val="00ED7949"/>
    <w:rsid w:val="00ED7CA4"/>
    <w:rsid w:val="00EE014D"/>
    <w:rsid w:val="00EE01FF"/>
    <w:rsid w:val="00EE0355"/>
    <w:rsid w:val="00EE03B2"/>
    <w:rsid w:val="00EE03D2"/>
    <w:rsid w:val="00EE0958"/>
    <w:rsid w:val="00EE0A74"/>
    <w:rsid w:val="00EE0A75"/>
    <w:rsid w:val="00EE0C68"/>
    <w:rsid w:val="00EE0CA0"/>
    <w:rsid w:val="00EE0D1A"/>
    <w:rsid w:val="00EE0E07"/>
    <w:rsid w:val="00EE0E61"/>
    <w:rsid w:val="00EE125D"/>
    <w:rsid w:val="00EE1468"/>
    <w:rsid w:val="00EE14D8"/>
    <w:rsid w:val="00EE17D7"/>
    <w:rsid w:val="00EE181B"/>
    <w:rsid w:val="00EE1B7C"/>
    <w:rsid w:val="00EE1D14"/>
    <w:rsid w:val="00EE1DE2"/>
    <w:rsid w:val="00EE1F0A"/>
    <w:rsid w:val="00EE2055"/>
    <w:rsid w:val="00EE222A"/>
    <w:rsid w:val="00EE22FF"/>
    <w:rsid w:val="00EE24CF"/>
    <w:rsid w:val="00EE253F"/>
    <w:rsid w:val="00EE2A10"/>
    <w:rsid w:val="00EE2D13"/>
    <w:rsid w:val="00EE2F99"/>
    <w:rsid w:val="00EE2FF3"/>
    <w:rsid w:val="00EE30D4"/>
    <w:rsid w:val="00EE33B2"/>
    <w:rsid w:val="00EE3412"/>
    <w:rsid w:val="00EE377C"/>
    <w:rsid w:val="00EE3792"/>
    <w:rsid w:val="00EE38CB"/>
    <w:rsid w:val="00EE398E"/>
    <w:rsid w:val="00EE3A39"/>
    <w:rsid w:val="00EE3A64"/>
    <w:rsid w:val="00EE3AA6"/>
    <w:rsid w:val="00EE3B5A"/>
    <w:rsid w:val="00EE3C65"/>
    <w:rsid w:val="00EE3DB0"/>
    <w:rsid w:val="00EE3E98"/>
    <w:rsid w:val="00EE3F48"/>
    <w:rsid w:val="00EE4020"/>
    <w:rsid w:val="00EE4298"/>
    <w:rsid w:val="00EE4684"/>
    <w:rsid w:val="00EE4A33"/>
    <w:rsid w:val="00EE4AE4"/>
    <w:rsid w:val="00EE4AE5"/>
    <w:rsid w:val="00EE4E95"/>
    <w:rsid w:val="00EE5013"/>
    <w:rsid w:val="00EE50C4"/>
    <w:rsid w:val="00EE5145"/>
    <w:rsid w:val="00EE54D2"/>
    <w:rsid w:val="00EE55B2"/>
    <w:rsid w:val="00EE57A3"/>
    <w:rsid w:val="00EE5A58"/>
    <w:rsid w:val="00EE5AF5"/>
    <w:rsid w:val="00EE5BE5"/>
    <w:rsid w:val="00EE5C14"/>
    <w:rsid w:val="00EE5DF9"/>
    <w:rsid w:val="00EE5EF4"/>
    <w:rsid w:val="00EE5F4F"/>
    <w:rsid w:val="00EE6192"/>
    <w:rsid w:val="00EE6207"/>
    <w:rsid w:val="00EE629C"/>
    <w:rsid w:val="00EE62F6"/>
    <w:rsid w:val="00EE6425"/>
    <w:rsid w:val="00EE6760"/>
    <w:rsid w:val="00EE6850"/>
    <w:rsid w:val="00EE685A"/>
    <w:rsid w:val="00EE6CC0"/>
    <w:rsid w:val="00EE6CED"/>
    <w:rsid w:val="00EE707B"/>
    <w:rsid w:val="00EE70AE"/>
    <w:rsid w:val="00EE714D"/>
    <w:rsid w:val="00EE752A"/>
    <w:rsid w:val="00EE7606"/>
    <w:rsid w:val="00EE7621"/>
    <w:rsid w:val="00EE771E"/>
    <w:rsid w:val="00EE7760"/>
    <w:rsid w:val="00EE79AC"/>
    <w:rsid w:val="00EE7C67"/>
    <w:rsid w:val="00EE7E2F"/>
    <w:rsid w:val="00EF0169"/>
    <w:rsid w:val="00EF029E"/>
    <w:rsid w:val="00EF02A8"/>
    <w:rsid w:val="00EF03F0"/>
    <w:rsid w:val="00EF03FA"/>
    <w:rsid w:val="00EF040A"/>
    <w:rsid w:val="00EF040D"/>
    <w:rsid w:val="00EF04CF"/>
    <w:rsid w:val="00EF0548"/>
    <w:rsid w:val="00EF0559"/>
    <w:rsid w:val="00EF05EA"/>
    <w:rsid w:val="00EF0661"/>
    <w:rsid w:val="00EF0860"/>
    <w:rsid w:val="00EF0916"/>
    <w:rsid w:val="00EF0AFE"/>
    <w:rsid w:val="00EF0BC4"/>
    <w:rsid w:val="00EF0D51"/>
    <w:rsid w:val="00EF0E87"/>
    <w:rsid w:val="00EF0FA1"/>
    <w:rsid w:val="00EF0FA5"/>
    <w:rsid w:val="00EF1009"/>
    <w:rsid w:val="00EF117F"/>
    <w:rsid w:val="00EF11EA"/>
    <w:rsid w:val="00EF12EE"/>
    <w:rsid w:val="00EF13CF"/>
    <w:rsid w:val="00EF14EF"/>
    <w:rsid w:val="00EF1735"/>
    <w:rsid w:val="00EF17CB"/>
    <w:rsid w:val="00EF187A"/>
    <w:rsid w:val="00EF1A9C"/>
    <w:rsid w:val="00EF1AFE"/>
    <w:rsid w:val="00EF201F"/>
    <w:rsid w:val="00EF205B"/>
    <w:rsid w:val="00EF22A1"/>
    <w:rsid w:val="00EF231F"/>
    <w:rsid w:val="00EF2399"/>
    <w:rsid w:val="00EF2683"/>
    <w:rsid w:val="00EF270D"/>
    <w:rsid w:val="00EF276C"/>
    <w:rsid w:val="00EF2B10"/>
    <w:rsid w:val="00EF2C55"/>
    <w:rsid w:val="00EF2DBA"/>
    <w:rsid w:val="00EF2EDD"/>
    <w:rsid w:val="00EF3023"/>
    <w:rsid w:val="00EF309D"/>
    <w:rsid w:val="00EF30F2"/>
    <w:rsid w:val="00EF3197"/>
    <w:rsid w:val="00EF33F8"/>
    <w:rsid w:val="00EF34D4"/>
    <w:rsid w:val="00EF3515"/>
    <w:rsid w:val="00EF3851"/>
    <w:rsid w:val="00EF3923"/>
    <w:rsid w:val="00EF3B55"/>
    <w:rsid w:val="00EF3B5E"/>
    <w:rsid w:val="00EF3C46"/>
    <w:rsid w:val="00EF3C76"/>
    <w:rsid w:val="00EF3C88"/>
    <w:rsid w:val="00EF3DF0"/>
    <w:rsid w:val="00EF3F1F"/>
    <w:rsid w:val="00EF3F40"/>
    <w:rsid w:val="00EF414C"/>
    <w:rsid w:val="00EF446A"/>
    <w:rsid w:val="00EF4625"/>
    <w:rsid w:val="00EF467C"/>
    <w:rsid w:val="00EF46C5"/>
    <w:rsid w:val="00EF470A"/>
    <w:rsid w:val="00EF4771"/>
    <w:rsid w:val="00EF4815"/>
    <w:rsid w:val="00EF488C"/>
    <w:rsid w:val="00EF4996"/>
    <w:rsid w:val="00EF499A"/>
    <w:rsid w:val="00EF4A0B"/>
    <w:rsid w:val="00EF4C42"/>
    <w:rsid w:val="00EF4C4A"/>
    <w:rsid w:val="00EF4E3F"/>
    <w:rsid w:val="00EF525F"/>
    <w:rsid w:val="00EF53BE"/>
    <w:rsid w:val="00EF5662"/>
    <w:rsid w:val="00EF59A9"/>
    <w:rsid w:val="00EF5B18"/>
    <w:rsid w:val="00EF5CED"/>
    <w:rsid w:val="00EF5D4E"/>
    <w:rsid w:val="00EF5ECA"/>
    <w:rsid w:val="00EF5F0F"/>
    <w:rsid w:val="00EF5F24"/>
    <w:rsid w:val="00EF602B"/>
    <w:rsid w:val="00EF6030"/>
    <w:rsid w:val="00EF60B7"/>
    <w:rsid w:val="00EF63AF"/>
    <w:rsid w:val="00EF65E3"/>
    <w:rsid w:val="00EF6759"/>
    <w:rsid w:val="00EF6D60"/>
    <w:rsid w:val="00EF6E42"/>
    <w:rsid w:val="00EF6F5D"/>
    <w:rsid w:val="00EF70B1"/>
    <w:rsid w:val="00EF7206"/>
    <w:rsid w:val="00EF73C1"/>
    <w:rsid w:val="00EF753A"/>
    <w:rsid w:val="00EF75D0"/>
    <w:rsid w:val="00EF75F7"/>
    <w:rsid w:val="00EF763E"/>
    <w:rsid w:val="00EF76F0"/>
    <w:rsid w:val="00EF7841"/>
    <w:rsid w:val="00EF7A8D"/>
    <w:rsid w:val="00EF7B39"/>
    <w:rsid w:val="00EF7B3C"/>
    <w:rsid w:val="00EF7D07"/>
    <w:rsid w:val="00EF7DA9"/>
    <w:rsid w:val="00EF7F05"/>
    <w:rsid w:val="00EF7F79"/>
    <w:rsid w:val="00F002B8"/>
    <w:rsid w:val="00F007FF"/>
    <w:rsid w:val="00F0086A"/>
    <w:rsid w:val="00F00A81"/>
    <w:rsid w:val="00F00BA9"/>
    <w:rsid w:val="00F00BDE"/>
    <w:rsid w:val="00F00C4B"/>
    <w:rsid w:val="00F00CAA"/>
    <w:rsid w:val="00F00D1D"/>
    <w:rsid w:val="00F00D59"/>
    <w:rsid w:val="00F00D77"/>
    <w:rsid w:val="00F00E55"/>
    <w:rsid w:val="00F00EEA"/>
    <w:rsid w:val="00F01132"/>
    <w:rsid w:val="00F011CD"/>
    <w:rsid w:val="00F01247"/>
    <w:rsid w:val="00F013CD"/>
    <w:rsid w:val="00F0151C"/>
    <w:rsid w:val="00F01545"/>
    <w:rsid w:val="00F01573"/>
    <w:rsid w:val="00F015EE"/>
    <w:rsid w:val="00F0194E"/>
    <w:rsid w:val="00F01C73"/>
    <w:rsid w:val="00F01C83"/>
    <w:rsid w:val="00F01C91"/>
    <w:rsid w:val="00F01C9D"/>
    <w:rsid w:val="00F01D71"/>
    <w:rsid w:val="00F01DA6"/>
    <w:rsid w:val="00F01DF9"/>
    <w:rsid w:val="00F01E41"/>
    <w:rsid w:val="00F01E93"/>
    <w:rsid w:val="00F02178"/>
    <w:rsid w:val="00F02282"/>
    <w:rsid w:val="00F0239F"/>
    <w:rsid w:val="00F02716"/>
    <w:rsid w:val="00F02822"/>
    <w:rsid w:val="00F02909"/>
    <w:rsid w:val="00F02B2A"/>
    <w:rsid w:val="00F02B3F"/>
    <w:rsid w:val="00F02B57"/>
    <w:rsid w:val="00F02E5F"/>
    <w:rsid w:val="00F02ED3"/>
    <w:rsid w:val="00F02F1F"/>
    <w:rsid w:val="00F02F24"/>
    <w:rsid w:val="00F0304C"/>
    <w:rsid w:val="00F03085"/>
    <w:rsid w:val="00F03166"/>
    <w:rsid w:val="00F03247"/>
    <w:rsid w:val="00F032B9"/>
    <w:rsid w:val="00F03386"/>
    <w:rsid w:val="00F0359B"/>
    <w:rsid w:val="00F0376C"/>
    <w:rsid w:val="00F039FF"/>
    <w:rsid w:val="00F03ADC"/>
    <w:rsid w:val="00F03B5F"/>
    <w:rsid w:val="00F03EBA"/>
    <w:rsid w:val="00F040BC"/>
    <w:rsid w:val="00F0424E"/>
    <w:rsid w:val="00F043FE"/>
    <w:rsid w:val="00F04482"/>
    <w:rsid w:val="00F04548"/>
    <w:rsid w:val="00F04850"/>
    <w:rsid w:val="00F0487C"/>
    <w:rsid w:val="00F049AD"/>
    <w:rsid w:val="00F04A5C"/>
    <w:rsid w:val="00F04ABD"/>
    <w:rsid w:val="00F04B84"/>
    <w:rsid w:val="00F04CED"/>
    <w:rsid w:val="00F04E34"/>
    <w:rsid w:val="00F04E36"/>
    <w:rsid w:val="00F04F90"/>
    <w:rsid w:val="00F04FAB"/>
    <w:rsid w:val="00F05335"/>
    <w:rsid w:val="00F0537B"/>
    <w:rsid w:val="00F0548F"/>
    <w:rsid w:val="00F054E8"/>
    <w:rsid w:val="00F0567B"/>
    <w:rsid w:val="00F05692"/>
    <w:rsid w:val="00F0569C"/>
    <w:rsid w:val="00F05849"/>
    <w:rsid w:val="00F05A0C"/>
    <w:rsid w:val="00F05B89"/>
    <w:rsid w:val="00F05C0D"/>
    <w:rsid w:val="00F05D9F"/>
    <w:rsid w:val="00F05DDE"/>
    <w:rsid w:val="00F05E6D"/>
    <w:rsid w:val="00F05F52"/>
    <w:rsid w:val="00F0627B"/>
    <w:rsid w:val="00F06513"/>
    <w:rsid w:val="00F06573"/>
    <w:rsid w:val="00F066E1"/>
    <w:rsid w:val="00F06863"/>
    <w:rsid w:val="00F06A85"/>
    <w:rsid w:val="00F06C69"/>
    <w:rsid w:val="00F06E83"/>
    <w:rsid w:val="00F06F1B"/>
    <w:rsid w:val="00F07177"/>
    <w:rsid w:val="00F071F4"/>
    <w:rsid w:val="00F07496"/>
    <w:rsid w:val="00F074AC"/>
    <w:rsid w:val="00F07960"/>
    <w:rsid w:val="00F07C50"/>
    <w:rsid w:val="00F07C52"/>
    <w:rsid w:val="00F10075"/>
    <w:rsid w:val="00F100D9"/>
    <w:rsid w:val="00F1069E"/>
    <w:rsid w:val="00F1077B"/>
    <w:rsid w:val="00F107AA"/>
    <w:rsid w:val="00F108E9"/>
    <w:rsid w:val="00F109A0"/>
    <w:rsid w:val="00F109FA"/>
    <w:rsid w:val="00F10ED1"/>
    <w:rsid w:val="00F1103E"/>
    <w:rsid w:val="00F11157"/>
    <w:rsid w:val="00F111F7"/>
    <w:rsid w:val="00F11258"/>
    <w:rsid w:val="00F112A7"/>
    <w:rsid w:val="00F112F5"/>
    <w:rsid w:val="00F119ED"/>
    <w:rsid w:val="00F11A74"/>
    <w:rsid w:val="00F11B11"/>
    <w:rsid w:val="00F11CA2"/>
    <w:rsid w:val="00F11D80"/>
    <w:rsid w:val="00F11E1F"/>
    <w:rsid w:val="00F11E5A"/>
    <w:rsid w:val="00F11F9A"/>
    <w:rsid w:val="00F120A2"/>
    <w:rsid w:val="00F12128"/>
    <w:rsid w:val="00F1214D"/>
    <w:rsid w:val="00F12167"/>
    <w:rsid w:val="00F121EC"/>
    <w:rsid w:val="00F122EF"/>
    <w:rsid w:val="00F12660"/>
    <w:rsid w:val="00F129D8"/>
    <w:rsid w:val="00F12A8E"/>
    <w:rsid w:val="00F12BD7"/>
    <w:rsid w:val="00F12BF6"/>
    <w:rsid w:val="00F12DA8"/>
    <w:rsid w:val="00F12EAB"/>
    <w:rsid w:val="00F12FFD"/>
    <w:rsid w:val="00F131FE"/>
    <w:rsid w:val="00F134F0"/>
    <w:rsid w:val="00F1369A"/>
    <w:rsid w:val="00F138B4"/>
    <w:rsid w:val="00F13979"/>
    <w:rsid w:val="00F139B7"/>
    <w:rsid w:val="00F13A87"/>
    <w:rsid w:val="00F13B1B"/>
    <w:rsid w:val="00F13B4E"/>
    <w:rsid w:val="00F13BC9"/>
    <w:rsid w:val="00F13CE2"/>
    <w:rsid w:val="00F13E8A"/>
    <w:rsid w:val="00F13F70"/>
    <w:rsid w:val="00F13FF4"/>
    <w:rsid w:val="00F13FF8"/>
    <w:rsid w:val="00F140BA"/>
    <w:rsid w:val="00F141A4"/>
    <w:rsid w:val="00F1422B"/>
    <w:rsid w:val="00F1461E"/>
    <w:rsid w:val="00F146F3"/>
    <w:rsid w:val="00F14725"/>
    <w:rsid w:val="00F1479B"/>
    <w:rsid w:val="00F149B6"/>
    <w:rsid w:val="00F14B7A"/>
    <w:rsid w:val="00F14D54"/>
    <w:rsid w:val="00F14DBE"/>
    <w:rsid w:val="00F14EC8"/>
    <w:rsid w:val="00F151D3"/>
    <w:rsid w:val="00F15331"/>
    <w:rsid w:val="00F154DF"/>
    <w:rsid w:val="00F15562"/>
    <w:rsid w:val="00F15831"/>
    <w:rsid w:val="00F15925"/>
    <w:rsid w:val="00F15AC0"/>
    <w:rsid w:val="00F15C17"/>
    <w:rsid w:val="00F15E8C"/>
    <w:rsid w:val="00F161C1"/>
    <w:rsid w:val="00F16361"/>
    <w:rsid w:val="00F165FB"/>
    <w:rsid w:val="00F167DA"/>
    <w:rsid w:val="00F1690A"/>
    <w:rsid w:val="00F16954"/>
    <w:rsid w:val="00F16C27"/>
    <w:rsid w:val="00F16D2C"/>
    <w:rsid w:val="00F16D40"/>
    <w:rsid w:val="00F16DEB"/>
    <w:rsid w:val="00F170F8"/>
    <w:rsid w:val="00F17107"/>
    <w:rsid w:val="00F173E9"/>
    <w:rsid w:val="00F174EB"/>
    <w:rsid w:val="00F1764C"/>
    <w:rsid w:val="00F1771C"/>
    <w:rsid w:val="00F1774B"/>
    <w:rsid w:val="00F17B20"/>
    <w:rsid w:val="00F17B76"/>
    <w:rsid w:val="00F17FDB"/>
    <w:rsid w:val="00F2016F"/>
    <w:rsid w:val="00F201FB"/>
    <w:rsid w:val="00F202D3"/>
    <w:rsid w:val="00F20652"/>
    <w:rsid w:val="00F2065F"/>
    <w:rsid w:val="00F207DC"/>
    <w:rsid w:val="00F20BC3"/>
    <w:rsid w:val="00F20C10"/>
    <w:rsid w:val="00F20C7D"/>
    <w:rsid w:val="00F20D82"/>
    <w:rsid w:val="00F20F11"/>
    <w:rsid w:val="00F2102D"/>
    <w:rsid w:val="00F21091"/>
    <w:rsid w:val="00F21136"/>
    <w:rsid w:val="00F2116F"/>
    <w:rsid w:val="00F211D0"/>
    <w:rsid w:val="00F211FE"/>
    <w:rsid w:val="00F212F2"/>
    <w:rsid w:val="00F2132E"/>
    <w:rsid w:val="00F215F2"/>
    <w:rsid w:val="00F2166D"/>
    <w:rsid w:val="00F21795"/>
    <w:rsid w:val="00F219FE"/>
    <w:rsid w:val="00F21A7C"/>
    <w:rsid w:val="00F21D26"/>
    <w:rsid w:val="00F21EF9"/>
    <w:rsid w:val="00F21F53"/>
    <w:rsid w:val="00F220B9"/>
    <w:rsid w:val="00F22985"/>
    <w:rsid w:val="00F22AEA"/>
    <w:rsid w:val="00F22B81"/>
    <w:rsid w:val="00F22B83"/>
    <w:rsid w:val="00F22C2D"/>
    <w:rsid w:val="00F22C51"/>
    <w:rsid w:val="00F22D9C"/>
    <w:rsid w:val="00F22E44"/>
    <w:rsid w:val="00F23068"/>
    <w:rsid w:val="00F2308A"/>
    <w:rsid w:val="00F23094"/>
    <w:rsid w:val="00F23096"/>
    <w:rsid w:val="00F23138"/>
    <w:rsid w:val="00F2344B"/>
    <w:rsid w:val="00F236F0"/>
    <w:rsid w:val="00F23987"/>
    <w:rsid w:val="00F239F7"/>
    <w:rsid w:val="00F23C0B"/>
    <w:rsid w:val="00F24203"/>
    <w:rsid w:val="00F242C9"/>
    <w:rsid w:val="00F24342"/>
    <w:rsid w:val="00F243B4"/>
    <w:rsid w:val="00F24629"/>
    <w:rsid w:val="00F246F6"/>
    <w:rsid w:val="00F24709"/>
    <w:rsid w:val="00F24727"/>
    <w:rsid w:val="00F24770"/>
    <w:rsid w:val="00F247BC"/>
    <w:rsid w:val="00F2482E"/>
    <w:rsid w:val="00F24A7C"/>
    <w:rsid w:val="00F24C4B"/>
    <w:rsid w:val="00F24CA9"/>
    <w:rsid w:val="00F24E3D"/>
    <w:rsid w:val="00F250FD"/>
    <w:rsid w:val="00F25245"/>
    <w:rsid w:val="00F2534D"/>
    <w:rsid w:val="00F25371"/>
    <w:rsid w:val="00F25686"/>
    <w:rsid w:val="00F257E5"/>
    <w:rsid w:val="00F25D0A"/>
    <w:rsid w:val="00F25EE3"/>
    <w:rsid w:val="00F26129"/>
    <w:rsid w:val="00F26186"/>
    <w:rsid w:val="00F262EF"/>
    <w:rsid w:val="00F262F9"/>
    <w:rsid w:val="00F26AFD"/>
    <w:rsid w:val="00F26B62"/>
    <w:rsid w:val="00F26BC2"/>
    <w:rsid w:val="00F26CD9"/>
    <w:rsid w:val="00F26D82"/>
    <w:rsid w:val="00F26FB0"/>
    <w:rsid w:val="00F270F7"/>
    <w:rsid w:val="00F272E7"/>
    <w:rsid w:val="00F274A3"/>
    <w:rsid w:val="00F2750C"/>
    <w:rsid w:val="00F275EA"/>
    <w:rsid w:val="00F276EC"/>
    <w:rsid w:val="00F276F2"/>
    <w:rsid w:val="00F27906"/>
    <w:rsid w:val="00F27ACD"/>
    <w:rsid w:val="00F27C3A"/>
    <w:rsid w:val="00F27D91"/>
    <w:rsid w:val="00F3008D"/>
    <w:rsid w:val="00F3011C"/>
    <w:rsid w:val="00F30199"/>
    <w:rsid w:val="00F30202"/>
    <w:rsid w:val="00F3056E"/>
    <w:rsid w:val="00F305C8"/>
    <w:rsid w:val="00F3078C"/>
    <w:rsid w:val="00F308FF"/>
    <w:rsid w:val="00F3094F"/>
    <w:rsid w:val="00F309E7"/>
    <w:rsid w:val="00F30A59"/>
    <w:rsid w:val="00F30E34"/>
    <w:rsid w:val="00F30E88"/>
    <w:rsid w:val="00F3131D"/>
    <w:rsid w:val="00F3145A"/>
    <w:rsid w:val="00F31504"/>
    <w:rsid w:val="00F31506"/>
    <w:rsid w:val="00F31873"/>
    <w:rsid w:val="00F318D9"/>
    <w:rsid w:val="00F3194A"/>
    <w:rsid w:val="00F31B5F"/>
    <w:rsid w:val="00F31D5D"/>
    <w:rsid w:val="00F31DD1"/>
    <w:rsid w:val="00F31DDD"/>
    <w:rsid w:val="00F31E5E"/>
    <w:rsid w:val="00F31EF1"/>
    <w:rsid w:val="00F31FAA"/>
    <w:rsid w:val="00F32109"/>
    <w:rsid w:val="00F32111"/>
    <w:rsid w:val="00F32452"/>
    <w:rsid w:val="00F327F6"/>
    <w:rsid w:val="00F3294F"/>
    <w:rsid w:val="00F329AD"/>
    <w:rsid w:val="00F32A40"/>
    <w:rsid w:val="00F32CC0"/>
    <w:rsid w:val="00F32F4D"/>
    <w:rsid w:val="00F32F95"/>
    <w:rsid w:val="00F33020"/>
    <w:rsid w:val="00F331B1"/>
    <w:rsid w:val="00F331EE"/>
    <w:rsid w:val="00F33255"/>
    <w:rsid w:val="00F33302"/>
    <w:rsid w:val="00F33574"/>
    <w:rsid w:val="00F335AF"/>
    <w:rsid w:val="00F33695"/>
    <w:rsid w:val="00F33704"/>
    <w:rsid w:val="00F3381D"/>
    <w:rsid w:val="00F33866"/>
    <w:rsid w:val="00F33916"/>
    <w:rsid w:val="00F33A3B"/>
    <w:rsid w:val="00F33A5D"/>
    <w:rsid w:val="00F33A64"/>
    <w:rsid w:val="00F33AEA"/>
    <w:rsid w:val="00F33B01"/>
    <w:rsid w:val="00F33BA5"/>
    <w:rsid w:val="00F33D57"/>
    <w:rsid w:val="00F33F42"/>
    <w:rsid w:val="00F3407B"/>
    <w:rsid w:val="00F3454F"/>
    <w:rsid w:val="00F34612"/>
    <w:rsid w:val="00F346FF"/>
    <w:rsid w:val="00F34900"/>
    <w:rsid w:val="00F34AC3"/>
    <w:rsid w:val="00F34B9F"/>
    <w:rsid w:val="00F34BF9"/>
    <w:rsid w:val="00F350BE"/>
    <w:rsid w:val="00F350C2"/>
    <w:rsid w:val="00F351FB"/>
    <w:rsid w:val="00F3523C"/>
    <w:rsid w:val="00F35241"/>
    <w:rsid w:val="00F35285"/>
    <w:rsid w:val="00F352B1"/>
    <w:rsid w:val="00F352C5"/>
    <w:rsid w:val="00F352C6"/>
    <w:rsid w:val="00F352F0"/>
    <w:rsid w:val="00F35416"/>
    <w:rsid w:val="00F35468"/>
    <w:rsid w:val="00F35602"/>
    <w:rsid w:val="00F35760"/>
    <w:rsid w:val="00F35848"/>
    <w:rsid w:val="00F35911"/>
    <w:rsid w:val="00F359D3"/>
    <w:rsid w:val="00F359D4"/>
    <w:rsid w:val="00F35D4A"/>
    <w:rsid w:val="00F35F6D"/>
    <w:rsid w:val="00F36069"/>
    <w:rsid w:val="00F3634B"/>
    <w:rsid w:val="00F368EA"/>
    <w:rsid w:val="00F36C10"/>
    <w:rsid w:val="00F36CA5"/>
    <w:rsid w:val="00F36CB2"/>
    <w:rsid w:val="00F36E8C"/>
    <w:rsid w:val="00F36FBE"/>
    <w:rsid w:val="00F370D4"/>
    <w:rsid w:val="00F3713B"/>
    <w:rsid w:val="00F371DF"/>
    <w:rsid w:val="00F372C1"/>
    <w:rsid w:val="00F372C3"/>
    <w:rsid w:val="00F3732C"/>
    <w:rsid w:val="00F37382"/>
    <w:rsid w:val="00F37817"/>
    <w:rsid w:val="00F378D8"/>
    <w:rsid w:val="00F37A12"/>
    <w:rsid w:val="00F37CDC"/>
    <w:rsid w:val="00F37CEF"/>
    <w:rsid w:val="00F400FE"/>
    <w:rsid w:val="00F400FF"/>
    <w:rsid w:val="00F40130"/>
    <w:rsid w:val="00F402BA"/>
    <w:rsid w:val="00F4043B"/>
    <w:rsid w:val="00F40462"/>
    <w:rsid w:val="00F404BF"/>
    <w:rsid w:val="00F40636"/>
    <w:rsid w:val="00F40AA6"/>
    <w:rsid w:val="00F40ACF"/>
    <w:rsid w:val="00F40AF2"/>
    <w:rsid w:val="00F40CA3"/>
    <w:rsid w:val="00F41534"/>
    <w:rsid w:val="00F418A9"/>
    <w:rsid w:val="00F41971"/>
    <w:rsid w:val="00F41A96"/>
    <w:rsid w:val="00F41B33"/>
    <w:rsid w:val="00F41B47"/>
    <w:rsid w:val="00F41FD2"/>
    <w:rsid w:val="00F42007"/>
    <w:rsid w:val="00F42033"/>
    <w:rsid w:val="00F422E5"/>
    <w:rsid w:val="00F4240D"/>
    <w:rsid w:val="00F4243B"/>
    <w:rsid w:val="00F4249F"/>
    <w:rsid w:val="00F4283E"/>
    <w:rsid w:val="00F428F3"/>
    <w:rsid w:val="00F4298B"/>
    <w:rsid w:val="00F42A6F"/>
    <w:rsid w:val="00F42B95"/>
    <w:rsid w:val="00F42E44"/>
    <w:rsid w:val="00F42E52"/>
    <w:rsid w:val="00F42F9D"/>
    <w:rsid w:val="00F4329B"/>
    <w:rsid w:val="00F432D1"/>
    <w:rsid w:val="00F4337C"/>
    <w:rsid w:val="00F433C2"/>
    <w:rsid w:val="00F4356C"/>
    <w:rsid w:val="00F441D0"/>
    <w:rsid w:val="00F442BE"/>
    <w:rsid w:val="00F44325"/>
    <w:rsid w:val="00F444CA"/>
    <w:rsid w:val="00F444D0"/>
    <w:rsid w:val="00F44698"/>
    <w:rsid w:val="00F446E5"/>
    <w:rsid w:val="00F4493A"/>
    <w:rsid w:val="00F449C8"/>
    <w:rsid w:val="00F449D7"/>
    <w:rsid w:val="00F44B4A"/>
    <w:rsid w:val="00F44B4C"/>
    <w:rsid w:val="00F44C42"/>
    <w:rsid w:val="00F44DB5"/>
    <w:rsid w:val="00F450B4"/>
    <w:rsid w:val="00F45501"/>
    <w:rsid w:val="00F45730"/>
    <w:rsid w:val="00F4585B"/>
    <w:rsid w:val="00F45925"/>
    <w:rsid w:val="00F45A22"/>
    <w:rsid w:val="00F45A3D"/>
    <w:rsid w:val="00F45F40"/>
    <w:rsid w:val="00F45FA1"/>
    <w:rsid w:val="00F4609D"/>
    <w:rsid w:val="00F46103"/>
    <w:rsid w:val="00F46181"/>
    <w:rsid w:val="00F46255"/>
    <w:rsid w:val="00F462DD"/>
    <w:rsid w:val="00F464B2"/>
    <w:rsid w:val="00F4656C"/>
    <w:rsid w:val="00F465BE"/>
    <w:rsid w:val="00F466C1"/>
    <w:rsid w:val="00F466F2"/>
    <w:rsid w:val="00F467F9"/>
    <w:rsid w:val="00F469D1"/>
    <w:rsid w:val="00F46CE2"/>
    <w:rsid w:val="00F46DDB"/>
    <w:rsid w:val="00F46E45"/>
    <w:rsid w:val="00F47286"/>
    <w:rsid w:val="00F472EA"/>
    <w:rsid w:val="00F47539"/>
    <w:rsid w:val="00F47659"/>
    <w:rsid w:val="00F47735"/>
    <w:rsid w:val="00F478C4"/>
    <w:rsid w:val="00F478CD"/>
    <w:rsid w:val="00F47991"/>
    <w:rsid w:val="00F47A89"/>
    <w:rsid w:val="00F47AA4"/>
    <w:rsid w:val="00F47B61"/>
    <w:rsid w:val="00F47B72"/>
    <w:rsid w:val="00F47C2D"/>
    <w:rsid w:val="00F47C4B"/>
    <w:rsid w:val="00F47CCC"/>
    <w:rsid w:val="00F47DC9"/>
    <w:rsid w:val="00F47EA2"/>
    <w:rsid w:val="00F47F73"/>
    <w:rsid w:val="00F501C3"/>
    <w:rsid w:val="00F50245"/>
    <w:rsid w:val="00F50365"/>
    <w:rsid w:val="00F5039C"/>
    <w:rsid w:val="00F5041D"/>
    <w:rsid w:val="00F5061B"/>
    <w:rsid w:val="00F50626"/>
    <w:rsid w:val="00F5070F"/>
    <w:rsid w:val="00F50748"/>
    <w:rsid w:val="00F50829"/>
    <w:rsid w:val="00F508B6"/>
    <w:rsid w:val="00F5115D"/>
    <w:rsid w:val="00F515A9"/>
    <w:rsid w:val="00F515F3"/>
    <w:rsid w:val="00F51628"/>
    <w:rsid w:val="00F51B0D"/>
    <w:rsid w:val="00F51B72"/>
    <w:rsid w:val="00F51EE2"/>
    <w:rsid w:val="00F52096"/>
    <w:rsid w:val="00F520F5"/>
    <w:rsid w:val="00F521AC"/>
    <w:rsid w:val="00F522E6"/>
    <w:rsid w:val="00F526C1"/>
    <w:rsid w:val="00F5270B"/>
    <w:rsid w:val="00F52796"/>
    <w:rsid w:val="00F52A3E"/>
    <w:rsid w:val="00F52A6B"/>
    <w:rsid w:val="00F52B90"/>
    <w:rsid w:val="00F52D0E"/>
    <w:rsid w:val="00F52D13"/>
    <w:rsid w:val="00F53125"/>
    <w:rsid w:val="00F53274"/>
    <w:rsid w:val="00F53351"/>
    <w:rsid w:val="00F534EC"/>
    <w:rsid w:val="00F53884"/>
    <w:rsid w:val="00F539AE"/>
    <w:rsid w:val="00F53B8D"/>
    <w:rsid w:val="00F53EB1"/>
    <w:rsid w:val="00F53F2C"/>
    <w:rsid w:val="00F5412B"/>
    <w:rsid w:val="00F54132"/>
    <w:rsid w:val="00F541A0"/>
    <w:rsid w:val="00F54294"/>
    <w:rsid w:val="00F54566"/>
    <w:rsid w:val="00F5473F"/>
    <w:rsid w:val="00F548F5"/>
    <w:rsid w:val="00F548FE"/>
    <w:rsid w:val="00F5494F"/>
    <w:rsid w:val="00F5497F"/>
    <w:rsid w:val="00F549CB"/>
    <w:rsid w:val="00F54A20"/>
    <w:rsid w:val="00F54D67"/>
    <w:rsid w:val="00F54E1E"/>
    <w:rsid w:val="00F54F51"/>
    <w:rsid w:val="00F54FD5"/>
    <w:rsid w:val="00F5503B"/>
    <w:rsid w:val="00F550C5"/>
    <w:rsid w:val="00F551AF"/>
    <w:rsid w:val="00F55750"/>
    <w:rsid w:val="00F5579B"/>
    <w:rsid w:val="00F559B2"/>
    <w:rsid w:val="00F55B32"/>
    <w:rsid w:val="00F55BD3"/>
    <w:rsid w:val="00F55C98"/>
    <w:rsid w:val="00F55D22"/>
    <w:rsid w:val="00F55F03"/>
    <w:rsid w:val="00F561D8"/>
    <w:rsid w:val="00F562AB"/>
    <w:rsid w:val="00F562B9"/>
    <w:rsid w:val="00F563FB"/>
    <w:rsid w:val="00F56AE5"/>
    <w:rsid w:val="00F56DD3"/>
    <w:rsid w:val="00F56E09"/>
    <w:rsid w:val="00F56EE0"/>
    <w:rsid w:val="00F570AC"/>
    <w:rsid w:val="00F5711E"/>
    <w:rsid w:val="00F57149"/>
    <w:rsid w:val="00F57465"/>
    <w:rsid w:val="00F574AD"/>
    <w:rsid w:val="00F574CA"/>
    <w:rsid w:val="00F5757D"/>
    <w:rsid w:val="00F5772E"/>
    <w:rsid w:val="00F5774E"/>
    <w:rsid w:val="00F5781F"/>
    <w:rsid w:val="00F57954"/>
    <w:rsid w:val="00F57D9D"/>
    <w:rsid w:val="00F6032A"/>
    <w:rsid w:val="00F60389"/>
    <w:rsid w:val="00F6047D"/>
    <w:rsid w:val="00F60663"/>
    <w:rsid w:val="00F606D1"/>
    <w:rsid w:val="00F607EB"/>
    <w:rsid w:val="00F608A1"/>
    <w:rsid w:val="00F609B7"/>
    <w:rsid w:val="00F60D4D"/>
    <w:rsid w:val="00F60FB1"/>
    <w:rsid w:val="00F617A5"/>
    <w:rsid w:val="00F618EA"/>
    <w:rsid w:val="00F61AF3"/>
    <w:rsid w:val="00F61C66"/>
    <w:rsid w:val="00F61D7F"/>
    <w:rsid w:val="00F62296"/>
    <w:rsid w:val="00F62383"/>
    <w:rsid w:val="00F62405"/>
    <w:rsid w:val="00F6257C"/>
    <w:rsid w:val="00F6266D"/>
    <w:rsid w:val="00F626BD"/>
    <w:rsid w:val="00F626FE"/>
    <w:rsid w:val="00F6273E"/>
    <w:rsid w:val="00F62755"/>
    <w:rsid w:val="00F62859"/>
    <w:rsid w:val="00F62861"/>
    <w:rsid w:val="00F62B92"/>
    <w:rsid w:val="00F62BC6"/>
    <w:rsid w:val="00F62CC6"/>
    <w:rsid w:val="00F62E10"/>
    <w:rsid w:val="00F62E73"/>
    <w:rsid w:val="00F62FB3"/>
    <w:rsid w:val="00F6308D"/>
    <w:rsid w:val="00F63153"/>
    <w:rsid w:val="00F635C2"/>
    <w:rsid w:val="00F63979"/>
    <w:rsid w:val="00F63A37"/>
    <w:rsid w:val="00F63C4C"/>
    <w:rsid w:val="00F63DCF"/>
    <w:rsid w:val="00F6447B"/>
    <w:rsid w:val="00F645B1"/>
    <w:rsid w:val="00F64670"/>
    <w:rsid w:val="00F64709"/>
    <w:rsid w:val="00F647D5"/>
    <w:rsid w:val="00F64860"/>
    <w:rsid w:val="00F6498D"/>
    <w:rsid w:val="00F649AF"/>
    <w:rsid w:val="00F64A7B"/>
    <w:rsid w:val="00F64AF5"/>
    <w:rsid w:val="00F64E80"/>
    <w:rsid w:val="00F64F8E"/>
    <w:rsid w:val="00F6514F"/>
    <w:rsid w:val="00F651E7"/>
    <w:rsid w:val="00F65274"/>
    <w:rsid w:val="00F65292"/>
    <w:rsid w:val="00F65299"/>
    <w:rsid w:val="00F6534B"/>
    <w:rsid w:val="00F654DB"/>
    <w:rsid w:val="00F655D3"/>
    <w:rsid w:val="00F6574E"/>
    <w:rsid w:val="00F657AF"/>
    <w:rsid w:val="00F6584D"/>
    <w:rsid w:val="00F6596D"/>
    <w:rsid w:val="00F65A1A"/>
    <w:rsid w:val="00F65CE6"/>
    <w:rsid w:val="00F65D69"/>
    <w:rsid w:val="00F65D84"/>
    <w:rsid w:val="00F65E42"/>
    <w:rsid w:val="00F660F0"/>
    <w:rsid w:val="00F66320"/>
    <w:rsid w:val="00F663A7"/>
    <w:rsid w:val="00F663E1"/>
    <w:rsid w:val="00F66591"/>
    <w:rsid w:val="00F665C6"/>
    <w:rsid w:val="00F66627"/>
    <w:rsid w:val="00F66858"/>
    <w:rsid w:val="00F668BF"/>
    <w:rsid w:val="00F6690C"/>
    <w:rsid w:val="00F66B35"/>
    <w:rsid w:val="00F66B8D"/>
    <w:rsid w:val="00F66D1C"/>
    <w:rsid w:val="00F66DC1"/>
    <w:rsid w:val="00F66E13"/>
    <w:rsid w:val="00F66F08"/>
    <w:rsid w:val="00F67346"/>
    <w:rsid w:val="00F673D3"/>
    <w:rsid w:val="00F67405"/>
    <w:rsid w:val="00F678E5"/>
    <w:rsid w:val="00F67CD3"/>
    <w:rsid w:val="00F67D7A"/>
    <w:rsid w:val="00F67F50"/>
    <w:rsid w:val="00F70012"/>
    <w:rsid w:val="00F700DE"/>
    <w:rsid w:val="00F7021B"/>
    <w:rsid w:val="00F704F5"/>
    <w:rsid w:val="00F704F9"/>
    <w:rsid w:val="00F705D9"/>
    <w:rsid w:val="00F706A6"/>
    <w:rsid w:val="00F706D5"/>
    <w:rsid w:val="00F70766"/>
    <w:rsid w:val="00F70850"/>
    <w:rsid w:val="00F708AD"/>
    <w:rsid w:val="00F708B2"/>
    <w:rsid w:val="00F70CD9"/>
    <w:rsid w:val="00F70EC9"/>
    <w:rsid w:val="00F711D6"/>
    <w:rsid w:val="00F7125A"/>
    <w:rsid w:val="00F714C1"/>
    <w:rsid w:val="00F7157D"/>
    <w:rsid w:val="00F71751"/>
    <w:rsid w:val="00F71794"/>
    <w:rsid w:val="00F717BE"/>
    <w:rsid w:val="00F717DC"/>
    <w:rsid w:val="00F71891"/>
    <w:rsid w:val="00F71B7E"/>
    <w:rsid w:val="00F72121"/>
    <w:rsid w:val="00F72124"/>
    <w:rsid w:val="00F7215D"/>
    <w:rsid w:val="00F721B8"/>
    <w:rsid w:val="00F721C5"/>
    <w:rsid w:val="00F72206"/>
    <w:rsid w:val="00F7223C"/>
    <w:rsid w:val="00F72301"/>
    <w:rsid w:val="00F72388"/>
    <w:rsid w:val="00F72542"/>
    <w:rsid w:val="00F729DF"/>
    <w:rsid w:val="00F72B08"/>
    <w:rsid w:val="00F72BAA"/>
    <w:rsid w:val="00F72CFE"/>
    <w:rsid w:val="00F72DE4"/>
    <w:rsid w:val="00F72E2D"/>
    <w:rsid w:val="00F72EF9"/>
    <w:rsid w:val="00F73031"/>
    <w:rsid w:val="00F730C9"/>
    <w:rsid w:val="00F73221"/>
    <w:rsid w:val="00F7329D"/>
    <w:rsid w:val="00F73336"/>
    <w:rsid w:val="00F7337A"/>
    <w:rsid w:val="00F73575"/>
    <w:rsid w:val="00F735D3"/>
    <w:rsid w:val="00F735E1"/>
    <w:rsid w:val="00F73753"/>
    <w:rsid w:val="00F73870"/>
    <w:rsid w:val="00F738AC"/>
    <w:rsid w:val="00F739B7"/>
    <w:rsid w:val="00F73B35"/>
    <w:rsid w:val="00F73BFE"/>
    <w:rsid w:val="00F73D55"/>
    <w:rsid w:val="00F73D75"/>
    <w:rsid w:val="00F73F9E"/>
    <w:rsid w:val="00F73FAC"/>
    <w:rsid w:val="00F74294"/>
    <w:rsid w:val="00F743B8"/>
    <w:rsid w:val="00F7454B"/>
    <w:rsid w:val="00F74717"/>
    <w:rsid w:val="00F74955"/>
    <w:rsid w:val="00F74A01"/>
    <w:rsid w:val="00F74F72"/>
    <w:rsid w:val="00F7506F"/>
    <w:rsid w:val="00F7509E"/>
    <w:rsid w:val="00F75139"/>
    <w:rsid w:val="00F752CC"/>
    <w:rsid w:val="00F7544B"/>
    <w:rsid w:val="00F756C4"/>
    <w:rsid w:val="00F75774"/>
    <w:rsid w:val="00F75945"/>
    <w:rsid w:val="00F75B96"/>
    <w:rsid w:val="00F75BDF"/>
    <w:rsid w:val="00F75D0F"/>
    <w:rsid w:val="00F75F68"/>
    <w:rsid w:val="00F75F6E"/>
    <w:rsid w:val="00F767C5"/>
    <w:rsid w:val="00F768B8"/>
    <w:rsid w:val="00F768D6"/>
    <w:rsid w:val="00F7698E"/>
    <w:rsid w:val="00F76A84"/>
    <w:rsid w:val="00F76D05"/>
    <w:rsid w:val="00F76EB1"/>
    <w:rsid w:val="00F76FD3"/>
    <w:rsid w:val="00F76FD6"/>
    <w:rsid w:val="00F771A8"/>
    <w:rsid w:val="00F771CE"/>
    <w:rsid w:val="00F77323"/>
    <w:rsid w:val="00F77658"/>
    <w:rsid w:val="00F776DE"/>
    <w:rsid w:val="00F77A64"/>
    <w:rsid w:val="00F77A71"/>
    <w:rsid w:val="00F77ACE"/>
    <w:rsid w:val="00F77B75"/>
    <w:rsid w:val="00F77B89"/>
    <w:rsid w:val="00F77CCC"/>
    <w:rsid w:val="00F77E16"/>
    <w:rsid w:val="00F77EBE"/>
    <w:rsid w:val="00F801DC"/>
    <w:rsid w:val="00F801F6"/>
    <w:rsid w:val="00F8040E"/>
    <w:rsid w:val="00F805DE"/>
    <w:rsid w:val="00F80B1D"/>
    <w:rsid w:val="00F80C19"/>
    <w:rsid w:val="00F80DB8"/>
    <w:rsid w:val="00F80F19"/>
    <w:rsid w:val="00F810B8"/>
    <w:rsid w:val="00F811E2"/>
    <w:rsid w:val="00F8131F"/>
    <w:rsid w:val="00F8174F"/>
    <w:rsid w:val="00F817E7"/>
    <w:rsid w:val="00F818A1"/>
    <w:rsid w:val="00F818F5"/>
    <w:rsid w:val="00F81B0F"/>
    <w:rsid w:val="00F81B10"/>
    <w:rsid w:val="00F81D19"/>
    <w:rsid w:val="00F81DEE"/>
    <w:rsid w:val="00F81ED5"/>
    <w:rsid w:val="00F8211D"/>
    <w:rsid w:val="00F82215"/>
    <w:rsid w:val="00F82232"/>
    <w:rsid w:val="00F82289"/>
    <w:rsid w:val="00F8231E"/>
    <w:rsid w:val="00F82785"/>
    <w:rsid w:val="00F827B9"/>
    <w:rsid w:val="00F8290B"/>
    <w:rsid w:val="00F82929"/>
    <w:rsid w:val="00F82C9C"/>
    <w:rsid w:val="00F82CB9"/>
    <w:rsid w:val="00F82CDA"/>
    <w:rsid w:val="00F82D08"/>
    <w:rsid w:val="00F82DC1"/>
    <w:rsid w:val="00F82F27"/>
    <w:rsid w:val="00F83019"/>
    <w:rsid w:val="00F83148"/>
    <w:rsid w:val="00F831C0"/>
    <w:rsid w:val="00F83249"/>
    <w:rsid w:val="00F83554"/>
    <w:rsid w:val="00F8385D"/>
    <w:rsid w:val="00F83AB0"/>
    <w:rsid w:val="00F83F6E"/>
    <w:rsid w:val="00F841EF"/>
    <w:rsid w:val="00F8459E"/>
    <w:rsid w:val="00F845E9"/>
    <w:rsid w:val="00F846F2"/>
    <w:rsid w:val="00F848C8"/>
    <w:rsid w:val="00F84A34"/>
    <w:rsid w:val="00F84B8F"/>
    <w:rsid w:val="00F84D4B"/>
    <w:rsid w:val="00F84E5F"/>
    <w:rsid w:val="00F854E5"/>
    <w:rsid w:val="00F854F9"/>
    <w:rsid w:val="00F854FE"/>
    <w:rsid w:val="00F85877"/>
    <w:rsid w:val="00F85916"/>
    <w:rsid w:val="00F85930"/>
    <w:rsid w:val="00F85C08"/>
    <w:rsid w:val="00F85C18"/>
    <w:rsid w:val="00F85CD7"/>
    <w:rsid w:val="00F85E14"/>
    <w:rsid w:val="00F85E4B"/>
    <w:rsid w:val="00F85E9D"/>
    <w:rsid w:val="00F85F58"/>
    <w:rsid w:val="00F86016"/>
    <w:rsid w:val="00F860B5"/>
    <w:rsid w:val="00F861B1"/>
    <w:rsid w:val="00F862FC"/>
    <w:rsid w:val="00F8650A"/>
    <w:rsid w:val="00F866A5"/>
    <w:rsid w:val="00F869C8"/>
    <w:rsid w:val="00F86CE8"/>
    <w:rsid w:val="00F87049"/>
    <w:rsid w:val="00F87112"/>
    <w:rsid w:val="00F87196"/>
    <w:rsid w:val="00F871F2"/>
    <w:rsid w:val="00F87477"/>
    <w:rsid w:val="00F874C7"/>
    <w:rsid w:val="00F87504"/>
    <w:rsid w:val="00F8750D"/>
    <w:rsid w:val="00F87768"/>
    <w:rsid w:val="00F879D3"/>
    <w:rsid w:val="00F87A15"/>
    <w:rsid w:val="00F87A56"/>
    <w:rsid w:val="00F87D4D"/>
    <w:rsid w:val="00F87F11"/>
    <w:rsid w:val="00F87F42"/>
    <w:rsid w:val="00F90071"/>
    <w:rsid w:val="00F900B8"/>
    <w:rsid w:val="00F900EA"/>
    <w:rsid w:val="00F9011C"/>
    <w:rsid w:val="00F9024D"/>
    <w:rsid w:val="00F90331"/>
    <w:rsid w:val="00F90343"/>
    <w:rsid w:val="00F904FB"/>
    <w:rsid w:val="00F9061E"/>
    <w:rsid w:val="00F90A06"/>
    <w:rsid w:val="00F9110E"/>
    <w:rsid w:val="00F91120"/>
    <w:rsid w:val="00F911D7"/>
    <w:rsid w:val="00F91232"/>
    <w:rsid w:val="00F91464"/>
    <w:rsid w:val="00F914CE"/>
    <w:rsid w:val="00F916EF"/>
    <w:rsid w:val="00F91901"/>
    <w:rsid w:val="00F91996"/>
    <w:rsid w:val="00F91A4C"/>
    <w:rsid w:val="00F91C69"/>
    <w:rsid w:val="00F91CFD"/>
    <w:rsid w:val="00F91D3D"/>
    <w:rsid w:val="00F91DD6"/>
    <w:rsid w:val="00F92065"/>
    <w:rsid w:val="00F922C8"/>
    <w:rsid w:val="00F924AD"/>
    <w:rsid w:val="00F9278E"/>
    <w:rsid w:val="00F92794"/>
    <w:rsid w:val="00F92992"/>
    <w:rsid w:val="00F92B25"/>
    <w:rsid w:val="00F92B4E"/>
    <w:rsid w:val="00F92CDF"/>
    <w:rsid w:val="00F92DF8"/>
    <w:rsid w:val="00F92FF1"/>
    <w:rsid w:val="00F9302C"/>
    <w:rsid w:val="00F933AF"/>
    <w:rsid w:val="00F935D9"/>
    <w:rsid w:val="00F936EA"/>
    <w:rsid w:val="00F936F0"/>
    <w:rsid w:val="00F93864"/>
    <w:rsid w:val="00F93BE1"/>
    <w:rsid w:val="00F9409C"/>
    <w:rsid w:val="00F940EE"/>
    <w:rsid w:val="00F944E6"/>
    <w:rsid w:val="00F945A5"/>
    <w:rsid w:val="00F94618"/>
    <w:rsid w:val="00F9472E"/>
    <w:rsid w:val="00F947D1"/>
    <w:rsid w:val="00F947F0"/>
    <w:rsid w:val="00F94BCD"/>
    <w:rsid w:val="00F94C1F"/>
    <w:rsid w:val="00F94C3A"/>
    <w:rsid w:val="00F94E51"/>
    <w:rsid w:val="00F94E53"/>
    <w:rsid w:val="00F951AD"/>
    <w:rsid w:val="00F951BE"/>
    <w:rsid w:val="00F95236"/>
    <w:rsid w:val="00F9544D"/>
    <w:rsid w:val="00F95487"/>
    <w:rsid w:val="00F954AA"/>
    <w:rsid w:val="00F954FB"/>
    <w:rsid w:val="00F955CE"/>
    <w:rsid w:val="00F95605"/>
    <w:rsid w:val="00F959E5"/>
    <w:rsid w:val="00F95A6F"/>
    <w:rsid w:val="00F95AD6"/>
    <w:rsid w:val="00F95D5E"/>
    <w:rsid w:val="00F95D6C"/>
    <w:rsid w:val="00F9619F"/>
    <w:rsid w:val="00F961C2"/>
    <w:rsid w:val="00F961D7"/>
    <w:rsid w:val="00F961ED"/>
    <w:rsid w:val="00F96225"/>
    <w:rsid w:val="00F962D6"/>
    <w:rsid w:val="00F9637C"/>
    <w:rsid w:val="00F9638C"/>
    <w:rsid w:val="00F9638E"/>
    <w:rsid w:val="00F9653F"/>
    <w:rsid w:val="00F9673C"/>
    <w:rsid w:val="00F96780"/>
    <w:rsid w:val="00F968DD"/>
    <w:rsid w:val="00F96AF5"/>
    <w:rsid w:val="00F96B90"/>
    <w:rsid w:val="00F96C4B"/>
    <w:rsid w:val="00F96CAB"/>
    <w:rsid w:val="00F96CE0"/>
    <w:rsid w:val="00F96DFC"/>
    <w:rsid w:val="00F96E52"/>
    <w:rsid w:val="00F97030"/>
    <w:rsid w:val="00F970CA"/>
    <w:rsid w:val="00F97134"/>
    <w:rsid w:val="00F971F6"/>
    <w:rsid w:val="00F9735E"/>
    <w:rsid w:val="00F97390"/>
    <w:rsid w:val="00F97415"/>
    <w:rsid w:val="00F974B8"/>
    <w:rsid w:val="00F97AAC"/>
    <w:rsid w:val="00F97B8D"/>
    <w:rsid w:val="00F97C68"/>
    <w:rsid w:val="00F97CB3"/>
    <w:rsid w:val="00FA016F"/>
    <w:rsid w:val="00FA01CC"/>
    <w:rsid w:val="00FA0236"/>
    <w:rsid w:val="00FA02AF"/>
    <w:rsid w:val="00FA036E"/>
    <w:rsid w:val="00FA083F"/>
    <w:rsid w:val="00FA08E5"/>
    <w:rsid w:val="00FA0914"/>
    <w:rsid w:val="00FA0B64"/>
    <w:rsid w:val="00FA0BA3"/>
    <w:rsid w:val="00FA0C85"/>
    <w:rsid w:val="00FA0CD9"/>
    <w:rsid w:val="00FA0EEA"/>
    <w:rsid w:val="00FA0F72"/>
    <w:rsid w:val="00FA0FCA"/>
    <w:rsid w:val="00FA11DF"/>
    <w:rsid w:val="00FA132F"/>
    <w:rsid w:val="00FA1619"/>
    <w:rsid w:val="00FA1708"/>
    <w:rsid w:val="00FA17DE"/>
    <w:rsid w:val="00FA1904"/>
    <w:rsid w:val="00FA1AB1"/>
    <w:rsid w:val="00FA1ADC"/>
    <w:rsid w:val="00FA1BBB"/>
    <w:rsid w:val="00FA1EF1"/>
    <w:rsid w:val="00FA1F89"/>
    <w:rsid w:val="00FA2175"/>
    <w:rsid w:val="00FA2183"/>
    <w:rsid w:val="00FA22DD"/>
    <w:rsid w:val="00FA2659"/>
    <w:rsid w:val="00FA28A7"/>
    <w:rsid w:val="00FA29FA"/>
    <w:rsid w:val="00FA2CD0"/>
    <w:rsid w:val="00FA2FD3"/>
    <w:rsid w:val="00FA3221"/>
    <w:rsid w:val="00FA32BF"/>
    <w:rsid w:val="00FA32EB"/>
    <w:rsid w:val="00FA342F"/>
    <w:rsid w:val="00FA347F"/>
    <w:rsid w:val="00FA3627"/>
    <w:rsid w:val="00FA37BF"/>
    <w:rsid w:val="00FA3854"/>
    <w:rsid w:val="00FA386D"/>
    <w:rsid w:val="00FA392C"/>
    <w:rsid w:val="00FA39A8"/>
    <w:rsid w:val="00FA3C33"/>
    <w:rsid w:val="00FA3C7B"/>
    <w:rsid w:val="00FA3D1F"/>
    <w:rsid w:val="00FA3D4A"/>
    <w:rsid w:val="00FA3D7B"/>
    <w:rsid w:val="00FA3E4F"/>
    <w:rsid w:val="00FA3F26"/>
    <w:rsid w:val="00FA40DB"/>
    <w:rsid w:val="00FA43E7"/>
    <w:rsid w:val="00FA4625"/>
    <w:rsid w:val="00FA4BBE"/>
    <w:rsid w:val="00FA4C4E"/>
    <w:rsid w:val="00FA5046"/>
    <w:rsid w:val="00FA50F2"/>
    <w:rsid w:val="00FA5112"/>
    <w:rsid w:val="00FA51E8"/>
    <w:rsid w:val="00FA56F7"/>
    <w:rsid w:val="00FA5787"/>
    <w:rsid w:val="00FA5792"/>
    <w:rsid w:val="00FA5B95"/>
    <w:rsid w:val="00FA5BF1"/>
    <w:rsid w:val="00FA5D6E"/>
    <w:rsid w:val="00FA5E47"/>
    <w:rsid w:val="00FA5FAB"/>
    <w:rsid w:val="00FA619F"/>
    <w:rsid w:val="00FA6200"/>
    <w:rsid w:val="00FA6201"/>
    <w:rsid w:val="00FA62A7"/>
    <w:rsid w:val="00FA6783"/>
    <w:rsid w:val="00FA67A2"/>
    <w:rsid w:val="00FA69AD"/>
    <w:rsid w:val="00FA6A28"/>
    <w:rsid w:val="00FA6AB2"/>
    <w:rsid w:val="00FA6CD6"/>
    <w:rsid w:val="00FA6D10"/>
    <w:rsid w:val="00FA6D65"/>
    <w:rsid w:val="00FA6D74"/>
    <w:rsid w:val="00FA6E68"/>
    <w:rsid w:val="00FA70DE"/>
    <w:rsid w:val="00FA7143"/>
    <w:rsid w:val="00FA7196"/>
    <w:rsid w:val="00FA7265"/>
    <w:rsid w:val="00FA728C"/>
    <w:rsid w:val="00FA7580"/>
    <w:rsid w:val="00FA76AF"/>
    <w:rsid w:val="00FA76FB"/>
    <w:rsid w:val="00FA77F1"/>
    <w:rsid w:val="00FA7AAB"/>
    <w:rsid w:val="00FA7BC2"/>
    <w:rsid w:val="00FA7D46"/>
    <w:rsid w:val="00FA7FD0"/>
    <w:rsid w:val="00FB015C"/>
    <w:rsid w:val="00FB0361"/>
    <w:rsid w:val="00FB043A"/>
    <w:rsid w:val="00FB04AB"/>
    <w:rsid w:val="00FB0515"/>
    <w:rsid w:val="00FB0525"/>
    <w:rsid w:val="00FB064A"/>
    <w:rsid w:val="00FB0741"/>
    <w:rsid w:val="00FB07B8"/>
    <w:rsid w:val="00FB0925"/>
    <w:rsid w:val="00FB097C"/>
    <w:rsid w:val="00FB09C2"/>
    <w:rsid w:val="00FB0B53"/>
    <w:rsid w:val="00FB0BAC"/>
    <w:rsid w:val="00FB0C95"/>
    <w:rsid w:val="00FB0D93"/>
    <w:rsid w:val="00FB0F5A"/>
    <w:rsid w:val="00FB0FC5"/>
    <w:rsid w:val="00FB10AE"/>
    <w:rsid w:val="00FB11CA"/>
    <w:rsid w:val="00FB1283"/>
    <w:rsid w:val="00FB1509"/>
    <w:rsid w:val="00FB1533"/>
    <w:rsid w:val="00FB16FE"/>
    <w:rsid w:val="00FB1733"/>
    <w:rsid w:val="00FB17F6"/>
    <w:rsid w:val="00FB18A4"/>
    <w:rsid w:val="00FB196A"/>
    <w:rsid w:val="00FB19D7"/>
    <w:rsid w:val="00FB1D9E"/>
    <w:rsid w:val="00FB1E0C"/>
    <w:rsid w:val="00FB1F00"/>
    <w:rsid w:val="00FB1F7B"/>
    <w:rsid w:val="00FB20D4"/>
    <w:rsid w:val="00FB21AC"/>
    <w:rsid w:val="00FB23EA"/>
    <w:rsid w:val="00FB26CD"/>
    <w:rsid w:val="00FB2717"/>
    <w:rsid w:val="00FB2A13"/>
    <w:rsid w:val="00FB2A49"/>
    <w:rsid w:val="00FB2AD2"/>
    <w:rsid w:val="00FB2B90"/>
    <w:rsid w:val="00FB2DA8"/>
    <w:rsid w:val="00FB2DC1"/>
    <w:rsid w:val="00FB2F0F"/>
    <w:rsid w:val="00FB305D"/>
    <w:rsid w:val="00FB30E4"/>
    <w:rsid w:val="00FB372F"/>
    <w:rsid w:val="00FB3821"/>
    <w:rsid w:val="00FB39C4"/>
    <w:rsid w:val="00FB3C9E"/>
    <w:rsid w:val="00FB4211"/>
    <w:rsid w:val="00FB42AA"/>
    <w:rsid w:val="00FB4488"/>
    <w:rsid w:val="00FB44B8"/>
    <w:rsid w:val="00FB44EB"/>
    <w:rsid w:val="00FB450A"/>
    <w:rsid w:val="00FB45A5"/>
    <w:rsid w:val="00FB4857"/>
    <w:rsid w:val="00FB4B27"/>
    <w:rsid w:val="00FB4B6E"/>
    <w:rsid w:val="00FB507F"/>
    <w:rsid w:val="00FB5279"/>
    <w:rsid w:val="00FB5304"/>
    <w:rsid w:val="00FB5584"/>
    <w:rsid w:val="00FB561C"/>
    <w:rsid w:val="00FB566E"/>
    <w:rsid w:val="00FB56B6"/>
    <w:rsid w:val="00FB5740"/>
    <w:rsid w:val="00FB5A58"/>
    <w:rsid w:val="00FB5A90"/>
    <w:rsid w:val="00FB5B38"/>
    <w:rsid w:val="00FB5B9E"/>
    <w:rsid w:val="00FB5F9A"/>
    <w:rsid w:val="00FB6013"/>
    <w:rsid w:val="00FB6087"/>
    <w:rsid w:val="00FB6201"/>
    <w:rsid w:val="00FB62B5"/>
    <w:rsid w:val="00FB6341"/>
    <w:rsid w:val="00FB634D"/>
    <w:rsid w:val="00FB6423"/>
    <w:rsid w:val="00FB6436"/>
    <w:rsid w:val="00FB66B7"/>
    <w:rsid w:val="00FB67F3"/>
    <w:rsid w:val="00FB6957"/>
    <w:rsid w:val="00FB6A29"/>
    <w:rsid w:val="00FB6A7D"/>
    <w:rsid w:val="00FB6AFD"/>
    <w:rsid w:val="00FB6BE3"/>
    <w:rsid w:val="00FB6CF1"/>
    <w:rsid w:val="00FB6D19"/>
    <w:rsid w:val="00FB6E6C"/>
    <w:rsid w:val="00FB6EA8"/>
    <w:rsid w:val="00FB6F19"/>
    <w:rsid w:val="00FB6F67"/>
    <w:rsid w:val="00FB6FF7"/>
    <w:rsid w:val="00FB7271"/>
    <w:rsid w:val="00FB76C6"/>
    <w:rsid w:val="00FB7829"/>
    <w:rsid w:val="00FB79E3"/>
    <w:rsid w:val="00FB7A1A"/>
    <w:rsid w:val="00FB7A36"/>
    <w:rsid w:val="00FB7B7B"/>
    <w:rsid w:val="00FB7CC3"/>
    <w:rsid w:val="00FB7D09"/>
    <w:rsid w:val="00FB7DE9"/>
    <w:rsid w:val="00FB7F35"/>
    <w:rsid w:val="00FB7FBD"/>
    <w:rsid w:val="00FC0AFD"/>
    <w:rsid w:val="00FC0BDA"/>
    <w:rsid w:val="00FC0D06"/>
    <w:rsid w:val="00FC0EC2"/>
    <w:rsid w:val="00FC13BF"/>
    <w:rsid w:val="00FC145B"/>
    <w:rsid w:val="00FC1746"/>
    <w:rsid w:val="00FC1776"/>
    <w:rsid w:val="00FC1A8A"/>
    <w:rsid w:val="00FC1B46"/>
    <w:rsid w:val="00FC1B7C"/>
    <w:rsid w:val="00FC1DE7"/>
    <w:rsid w:val="00FC1F41"/>
    <w:rsid w:val="00FC221B"/>
    <w:rsid w:val="00FC25E6"/>
    <w:rsid w:val="00FC265A"/>
    <w:rsid w:val="00FC273B"/>
    <w:rsid w:val="00FC2827"/>
    <w:rsid w:val="00FC28B8"/>
    <w:rsid w:val="00FC2A1E"/>
    <w:rsid w:val="00FC2AE8"/>
    <w:rsid w:val="00FC2BDB"/>
    <w:rsid w:val="00FC2CA0"/>
    <w:rsid w:val="00FC2CB0"/>
    <w:rsid w:val="00FC2CE6"/>
    <w:rsid w:val="00FC2D67"/>
    <w:rsid w:val="00FC2DB9"/>
    <w:rsid w:val="00FC2F11"/>
    <w:rsid w:val="00FC300C"/>
    <w:rsid w:val="00FC30A7"/>
    <w:rsid w:val="00FC3198"/>
    <w:rsid w:val="00FC31BC"/>
    <w:rsid w:val="00FC32BE"/>
    <w:rsid w:val="00FC3384"/>
    <w:rsid w:val="00FC339E"/>
    <w:rsid w:val="00FC33BB"/>
    <w:rsid w:val="00FC393B"/>
    <w:rsid w:val="00FC3A1E"/>
    <w:rsid w:val="00FC40D8"/>
    <w:rsid w:val="00FC4101"/>
    <w:rsid w:val="00FC4131"/>
    <w:rsid w:val="00FC42EC"/>
    <w:rsid w:val="00FC43E5"/>
    <w:rsid w:val="00FC46A1"/>
    <w:rsid w:val="00FC46BE"/>
    <w:rsid w:val="00FC485F"/>
    <w:rsid w:val="00FC498C"/>
    <w:rsid w:val="00FC4A60"/>
    <w:rsid w:val="00FC4AEF"/>
    <w:rsid w:val="00FC4B2E"/>
    <w:rsid w:val="00FC4B3F"/>
    <w:rsid w:val="00FC4C77"/>
    <w:rsid w:val="00FC4DD8"/>
    <w:rsid w:val="00FC4E0A"/>
    <w:rsid w:val="00FC50B5"/>
    <w:rsid w:val="00FC5398"/>
    <w:rsid w:val="00FC549D"/>
    <w:rsid w:val="00FC55DD"/>
    <w:rsid w:val="00FC5745"/>
    <w:rsid w:val="00FC5899"/>
    <w:rsid w:val="00FC59CB"/>
    <w:rsid w:val="00FC5B3B"/>
    <w:rsid w:val="00FC5BA7"/>
    <w:rsid w:val="00FC5DD0"/>
    <w:rsid w:val="00FC5E91"/>
    <w:rsid w:val="00FC601B"/>
    <w:rsid w:val="00FC60EA"/>
    <w:rsid w:val="00FC6172"/>
    <w:rsid w:val="00FC63F4"/>
    <w:rsid w:val="00FC64C1"/>
    <w:rsid w:val="00FC64EA"/>
    <w:rsid w:val="00FC65A1"/>
    <w:rsid w:val="00FC664E"/>
    <w:rsid w:val="00FC681B"/>
    <w:rsid w:val="00FC692A"/>
    <w:rsid w:val="00FC6D28"/>
    <w:rsid w:val="00FC6DFC"/>
    <w:rsid w:val="00FC6ED0"/>
    <w:rsid w:val="00FC6F33"/>
    <w:rsid w:val="00FC6F46"/>
    <w:rsid w:val="00FC6FE7"/>
    <w:rsid w:val="00FC712F"/>
    <w:rsid w:val="00FC713B"/>
    <w:rsid w:val="00FC71D4"/>
    <w:rsid w:val="00FC7349"/>
    <w:rsid w:val="00FC7476"/>
    <w:rsid w:val="00FC756A"/>
    <w:rsid w:val="00FC75E0"/>
    <w:rsid w:val="00FC76C2"/>
    <w:rsid w:val="00FC7868"/>
    <w:rsid w:val="00FC78EB"/>
    <w:rsid w:val="00FC79A0"/>
    <w:rsid w:val="00FC79B9"/>
    <w:rsid w:val="00FC7A7E"/>
    <w:rsid w:val="00FC7B0D"/>
    <w:rsid w:val="00FC7EF0"/>
    <w:rsid w:val="00FC7F18"/>
    <w:rsid w:val="00FD0007"/>
    <w:rsid w:val="00FD002B"/>
    <w:rsid w:val="00FD01AC"/>
    <w:rsid w:val="00FD01C4"/>
    <w:rsid w:val="00FD02D0"/>
    <w:rsid w:val="00FD050D"/>
    <w:rsid w:val="00FD06CE"/>
    <w:rsid w:val="00FD090C"/>
    <w:rsid w:val="00FD09AB"/>
    <w:rsid w:val="00FD09FF"/>
    <w:rsid w:val="00FD0CA1"/>
    <w:rsid w:val="00FD0D2B"/>
    <w:rsid w:val="00FD0DF9"/>
    <w:rsid w:val="00FD0E01"/>
    <w:rsid w:val="00FD0F08"/>
    <w:rsid w:val="00FD0FA7"/>
    <w:rsid w:val="00FD10C6"/>
    <w:rsid w:val="00FD1311"/>
    <w:rsid w:val="00FD13EC"/>
    <w:rsid w:val="00FD1499"/>
    <w:rsid w:val="00FD1529"/>
    <w:rsid w:val="00FD1738"/>
    <w:rsid w:val="00FD179C"/>
    <w:rsid w:val="00FD19A0"/>
    <w:rsid w:val="00FD1CE4"/>
    <w:rsid w:val="00FD1D96"/>
    <w:rsid w:val="00FD1EB1"/>
    <w:rsid w:val="00FD1EDE"/>
    <w:rsid w:val="00FD1EE5"/>
    <w:rsid w:val="00FD1F8A"/>
    <w:rsid w:val="00FD202C"/>
    <w:rsid w:val="00FD20D2"/>
    <w:rsid w:val="00FD2196"/>
    <w:rsid w:val="00FD23C4"/>
    <w:rsid w:val="00FD2761"/>
    <w:rsid w:val="00FD2BC4"/>
    <w:rsid w:val="00FD2E3C"/>
    <w:rsid w:val="00FD2F53"/>
    <w:rsid w:val="00FD2FF4"/>
    <w:rsid w:val="00FD31D2"/>
    <w:rsid w:val="00FD323D"/>
    <w:rsid w:val="00FD3377"/>
    <w:rsid w:val="00FD34A9"/>
    <w:rsid w:val="00FD3540"/>
    <w:rsid w:val="00FD376B"/>
    <w:rsid w:val="00FD381C"/>
    <w:rsid w:val="00FD3A06"/>
    <w:rsid w:val="00FD3CF0"/>
    <w:rsid w:val="00FD3EC9"/>
    <w:rsid w:val="00FD3FEA"/>
    <w:rsid w:val="00FD42BE"/>
    <w:rsid w:val="00FD43A1"/>
    <w:rsid w:val="00FD4459"/>
    <w:rsid w:val="00FD462B"/>
    <w:rsid w:val="00FD4742"/>
    <w:rsid w:val="00FD47F6"/>
    <w:rsid w:val="00FD485A"/>
    <w:rsid w:val="00FD486E"/>
    <w:rsid w:val="00FD4918"/>
    <w:rsid w:val="00FD495B"/>
    <w:rsid w:val="00FD4D8A"/>
    <w:rsid w:val="00FD4E98"/>
    <w:rsid w:val="00FD4EB5"/>
    <w:rsid w:val="00FD4F63"/>
    <w:rsid w:val="00FD5155"/>
    <w:rsid w:val="00FD5440"/>
    <w:rsid w:val="00FD5675"/>
    <w:rsid w:val="00FD5694"/>
    <w:rsid w:val="00FD57ED"/>
    <w:rsid w:val="00FD5874"/>
    <w:rsid w:val="00FD58C4"/>
    <w:rsid w:val="00FD5A27"/>
    <w:rsid w:val="00FD5A65"/>
    <w:rsid w:val="00FD5ABB"/>
    <w:rsid w:val="00FD5BB8"/>
    <w:rsid w:val="00FD5CAD"/>
    <w:rsid w:val="00FD5ECC"/>
    <w:rsid w:val="00FD5F49"/>
    <w:rsid w:val="00FD5FB6"/>
    <w:rsid w:val="00FD6096"/>
    <w:rsid w:val="00FD613D"/>
    <w:rsid w:val="00FD624E"/>
    <w:rsid w:val="00FD62E8"/>
    <w:rsid w:val="00FD640A"/>
    <w:rsid w:val="00FD6458"/>
    <w:rsid w:val="00FD6661"/>
    <w:rsid w:val="00FD6716"/>
    <w:rsid w:val="00FD672C"/>
    <w:rsid w:val="00FD6A38"/>
    <w:rsid w:val="00FD6C97"/>
    <w:rsid w:val="00FD6CAD"/>
    <w:rsid w:val="00FD6CB8"/>
    <w:rsid w:val="00FD6CC1"/>
    <w:rsid w:val="00FD7001"/>
    <w:rsid w:val="00FD70EC"/>
    <w:rsid w:val="00FD737F"/>
    <w:rsid w:val="00FD75BF"/>
    <w:rsid w:val="00FD7607"/>
    <w:rsid w:val="00FD7867"/>
    <w:rsid w:val="00FD78D9"/>
    <w:rsid w:val="00FD7923"/>
    <w:rsid w:val="00FD7AD2"/>
    <w:rsid w:val="00FD7C6E"/>
    <w:rsid w:val="00FD7C6F"/>
    <w:rsid w:val="00FD7C82"/>
    <w:rsid w:val="00FD7CA8"/>
    <w:rsid w:val="00FD7CF3"/>
    <w:rsid w:val="00FD7D97"/>
    <w:rsid w:val="00FD7F47"/>
    <w:rsid w:val="00FE0196"/>
    <w:rsid w:val="00FE021D"/>
    <w:rsid w:val="00FE030E"/>
    <w:rsid w:val="00FE04CC"/>
    <w:rsid w:val="00FE066D"/>
    <w:rsid w:val="00FE06DE"/>
    <w:rsid w:val="00FE08A6"/>
    <w:rsid w:val="00FE0A38"/>
    <w:rsid w:val="00FE0B38"/>
    <w:rsid w:val="00FE0C1B"/>
    <w:rsid w:val="00FE0C6F"/>
    <w:rsid w:val="00FE0E08"/>
    <w:rsid w:val="00FE0F16"/>
    <w:rsid w:val="00FE0F98"/>
    <w:rsid w:val="00FE10FF"/>
    <w:rsid w:val="00FE122D"/>
    <w:rsid w:val="00FE1282"/>
    <w:rsid w:val="00FE12DD"/>
    <w:rsid w:val="00FE12E9"/>
    <w:rsid w:val="00FE12F9"/>
    <w:rsid w:val="00FE1420"/>
    <w:rsid w:val="00FE1591"/>
    <w:rsid w:val="00FE167D"/>
    <w:rsid w:val="00FE16AE"/>
    <w:rsid w:val="00FE1A3E"/>
    <w:rsid w:val="00FE1AD0"/>
    <w:rsid w:val="00FE1E4D"/>
    <w:rsid w:val="00FE1F01"/>
    <w:rsid w:val="00FE1F12"/>
    <w:rsid w:val="00FE2088"/>
    <w:rsid w:val="00FE2132"/>
    <w:rsid w:val="00FE2140"/>
    <w:rsid w:val="00FE248B"/>
    <w:rsid w:val="00FE24B4"/>
    <w:rsid w:val="00FE24F2"/>
    <w:rsid w:val="00FE2B9C"/>
    <w:rsid w:val="00FE2BA5"/>
    <w:rsid w:val="00FE2CD1"/>
    <w:rsid w:val="00FE2D18"/>
    <w:rsid w:val="00FE2F5F"/>
    <w:rsid w:val="00FE3356"/>
    <w:rsid w:val="00FE35B7"/>
    <w:rsid w:val="00FE35E8"/>
    <w:rsid w:val="00FE37CF"/>
    <w:rsid w:val="00FE3884"/>
    <w:rsid w:val="00FE3ABF"/>
    <w:rsid w:val="00FE3FED"/>
    <w:rsid w:val="00FE40EF"/>
    <w:rsid w:val="00FE4175"/>
    <w:rsid w:val="00FE4289"/>
    <w:rsid w:val="00FE437A"/>
    <w:rsid w:val="00FE43E3"/>
    <w:rsid w:val="00FE465A"/>
    <w:rsid w:val="00FE481B"/>
    <w:rsid w:val="00FE4B87"/>
    <w:rsid w:val="00FE4BB0"/>
    <w:rsid w:val="00FE4E54"/>
    <w:rsid w:val="00FE4F2B"/>
    <w:rsid w:val="00FE4FC1"/>
    <w:rsid w:val="00FE507A"/>
    <w:rsid w:val="00FE50A5"/>
    <w:rsid w:val="00FE5202"/>
    <w:rsid w:val="00FE544C"/>
    <w:rsid w:val="00FE552C"/>
    <w:rsid w:val="00FE55A0"/>
    <w:rsid w:val="00FE585E"/>
    <w:rsid w:val="00FE59C8"/>
    <w:rsid w:val="00FE5A01"/>
    <w:rsid w:val="00FE5A3C"/>
    <w:rsid w:val="00FE5B77"/>
    <w:rsid w:val="00FE5D2B"/>
    <w:rsid w:val="00FE5D5A"/>
    <w:rsid w:val="00FE5DC3"/>
    <w:rsid w:val="00FE6159"/>
    <w:rsid w:val="00FE6164"/>
    <w:rsid w:val="00FE6505"/>
    <w:rsid w:val="00FE6666"/>
    <w:rsid w:val="00FE6845"/>
    <w:rsid w:val="00FE69D5"/>
    <w:rsid w:val="00FE6D0C"/>
    <w:rsid w:val="00FE6D8E"/>
    <w:rsid w:val="00FE6F32"/>
    <w:rsid w:val="00FE6F75"/>
    <w:rsid w:val="00FE7246"/>
    <w:rsid w:val="00FE7417"/>
    <w:rsid w:val="00FE76E8"/>
    <w:rsid w:val="00FE782B"/>
    <w:rsid w:val="00FE7932"/>
    <w:rsid w:val="00FE7980"/>
    <w:rsid w:val="00FE79FF"/>
    <w:rsid w:val="00FE7A32"/>
    <w:rsid w:val="00FE7B3D"/>
    <w:rsid w:val="00FE7BE6"/>
    <w:rsid w:val="00FE7BFA"/>
    <w:rsid w:val="00FE7C8C"/>
    <w:rsid w:val="00FE7D07"/>
    <w:rsid w:val="00FE7DC3"/>
    <w:rsid w:val="00FE7F8E"/>
    <w:rsid w:val="00FF00CB"/>
    <w:rsid w:val="00FF01B1"/>
    <w:rsid w:val="00FF0299"/>
    <w:rsid w:val="00FF0349"/>
    <w:rsid w:val="00FF040C"/>
    <w:rsid w:val="00FF0604"/>
    <w:rsid w:val="00FF0887"/>
    <w:rsid w:val="00FF0938"/>
    <w:rsid w:val="00FF098C"/>
    <w:rsid w:val="00FF09FB"/>
    <w:rsid w:val="00FF0D90"/>
    <w:rsid w:val="00FF118D"/>
    <w:rsid w:val="00FF1210"/>
    <w:rsid w:val="00FF122F"/>
    <w:rsid w:val="00FF1272"/>
    <w:rsid w:val="00FF136F"/>
    <w:rsid w:val="00FF15F1"/>
    <w:rsid w:val="00FF1658"/>
    <w:rsid w:val="00FF1774"/>
    <w:rsid w:val="00FF1863"/>
    <w:rsid w:val="00FF1BA9"/>
    <w:rsid w:val="00FF1CAE"/>
    <w:rsid w:val="00FF1D00"/>
    <w:rsid w:val="00FF1F87"/>
    <w:rsid w:val="00FF20F4"/>
    <w:rsid w:val="00FF21E7"/>
    <w:rsid w:val="00FF22B3"/>
    <w:rsid w:val="00FF22BD"/>
    <w:rsid w:val="00FF23F9"/>
    <w:rsid w:val="00FF23FF"/>
    <w:rsid w:val="00FF25BB"/>
    <w:rsid w:val="00FF2746"/>
    <w:rsid w:val="00FF2A8C"/>
    <w:rsid w:val="00FF2AEE"/>
    <w:rsid w:val="00FF2BE1"/>
    <w:rsid w:val="00FF2E0B"/>
    <w:rsid w:val="00FF2EDF"/>
    <w:rsid w:val="00FF307A"/>
    <w:rsid w:val="00FF3C06"/>
    <w:rsid w:val="00FF3D1A"/>
    <w:rsid w:val="00FF3DC7"/>
    <w:rsid w:val="00FF3EF5"/>
    <w:rsid w:val="00FF3F2A"/>
    <w:rsid w:val="00FF40C0"/>
    <w:rsid w:val="00FF41E9"/>
    <w:rsid w:val="00FF423A"/>
    <w:rsid w:val="00FF4279"/>
    <w:rsid w:val="00FF4336"/>
    <w:rsid w:val="00FF4466"/>
    <w:rsid w:val="00FF4708"/>
    <w:rsid w:val="00FF4756"/>
    <w:rsid w:val="00FF47DB"/>
    <w:rsid w:val="00FF49AA"/>
    <w:rsid w:val="00FF49AF"/>
    <w:rsid w:val="00FF49B4"/>
    <w:rsid w:val="00FF4A9C"/>
    <w:rsid w:val="00FF4C6C"/>
    <w:rsid w:val="00FF5584"/>
    <w:rsid w:val="00FF55EC"/>
    <w:rsid w:val="00FF563B"/>
    <w:rsid w:val="00FF57F5"/>
    <w:rsid w:val="00FF5845"/>
    <w:rsid w:val="00FF59CE"/>
    <w:rsid w:val="00FF5A18"/>
    <w:rsid w:val="00FF5C8D"/>
    <w:rsid w:val="00FF5D72"/>
    <w:rsid w:val="00FF5DE9"/>
    <w:rsid w:val="00FF5E1D"/>
    <w:rsid w:val="00FF5E76"/>
    <w:rsid w:val="00FF5EAD"/>
    <w:rsid w:val="00FF5EDF"/>
    <w:rsid w:val="00FF5FAC"/>
    <w:rsid w:val="00FF6000"/>
    <w:rsid w:val="00FF6066"/>
    <w:rsid w:val="00FF615E"/>
    <w:rsid w:val="00FF6326"/>
    <w:rsid w:val="00FF635B"/>
    <w:rsid w:val="00FF639A"/>
    <w:rsid w:val="00FF648C"/>
    <w:rsid w:val="00FF6549"/>
    <w:rsid w:val="00FF660E"/>
    <w:rsid w:val="00FF66CC"/>
    <w:rsid w:val="00FF689F"/>
    <w:rsid w:val="00FF68D4"/>
    <w:rsid w:val="00FF68DE"/>
    <w:rsid w:val="00FF6906"/>
    <w:rsid w:val="00FF6995"/>
    <w:rsid w:val="00FF6A13"/>
    <w:rsid w:val="00FF6AD1"/>
    <w:rsid w:val="00FF6B4C"/>
    <w:rsid w:val="00FF6D6B"/>
    <w:rsid w:val="00FF6DA5"/>
    <w:rsid w:val="00FF6DD3"/>
    <w:rsid w:val="00FF6E42"/>
    <w:rsid w:val="00FF6E5F"/>
    <w:rsid w:val="00FF6F35"/>
    <w:rsid w:val="00FF71B8"/>
    <w:rsid w:val="00FF72F6"/>
    <w:rsid w:val="00FF732D"/>
    <w:rsid w:val="00FF74F4"/>
    <w:rsid w:val="00FF752E"/>
    <w:rsid w:val="00FF764A"/>
    <w:rsid w:val="00FF776B"/>
    <w:rsid w:val="00FF77AE"/>
    <w:rsid w:val="00FF77C8"/>
    <w:rsid w:val="00FF78D7"/>
    <w:rsid w:val="00FF7BF6"/>
    <w:rsid w:val="00FF7C78"/>
    <w:rsid w:val="00FF7DEB"/>
    <w:rsid w:val="01064A58"/>
    <w:rsid w:val="01138D42"/>
    <w:rsid w:val="0133ED08"/>
    <w:rsid w:val="0169165B"/>
    <w:rsid w:val="017C5875"/>
    <w:rsid w:val="018361BF"/>
    <w:rsid w:val="018AE202"/>
    <w:rsid w:val="019513D3"/>
    <w:rsid w:val="0198E04D"/>
    <w:rsid w:val="01BB166E"/>
    <w:rsid w:val="01C20E4E"/>
    <w:rsid w:val="01C7FAB3"/>
    <w:rsid w:val="01E7BCBC"/>
    <w:rsid w:val="01F1E523"/>
    <w:rsid w:val="01F743FD"/>
    <w:rsid w:val="01FD9205"/>
    <w:rsid w:val="02047221"/>
    <w:rsid w:val="02122F32"/>
    <w:rsid w:val="023472F0"/>
    <w:rsid w:val="024983EB"/>
    <w:rsid w:val="024B88EA"/>
    <w:rsid w:val="024E14B4"/>
    <w:rsid w:val="025DF8E2"/>
    <w:rsid w:val="02763E07"/>
    <w:rsid w:val="028646A4"/>
    <w:rsid w:val="0286BC0B"/>
    <w:rsid w:val="02B0F2C0"/>
    <w:rsid w:val="02C22730"/>
    <w:rsid w:val="02C41211"/>
    <w:rsid w:val="02D02806"/>
    <w:rsid w:val="02D69DF7"/>
    <w:rsid w:val="02E5202F"/>
    <w:rsid w:val="030C7A88"/>
    <w:rsid w:val="03361449"/>
    <w:rsid w:val="034DC881"/>
    <w:rsid w:val="035AD1BE"/>
    <w:rsid w:val="035C04FC"/>
    <w:rsid w:val="03650F35"/>
    <w:rsid w:val="036F135A"/>
    <w:rsid w:val="03860285"/>
    <w:rsid w:val="0389ACE0"/>
    <w:rsid w:val="039BF9DF"/>
    <w:rsid w:val="03A0852E"/>
    <w:rsid w:val="03AA4A6B"/>
    <w:rsid w:val="03BC37F1"/>
    <w:rsid w:val="03C2A1CE"/>
    <w:rsid w:val="03C2FD68"/>
    <w:rsid w:val="03DC567A"/>
    <w:rsid w:val="03EEDE28"/>
    <w:rsid w:val="03F188D2"/>
    <w:rsid w:val="03F194CD"/>
    <w:rsid w:val="03F1C4EC"/>
    <w:rsid w:val="03F610CF"/>
    <w:rsid w:val="04061B41"/>
    <w:rsid w:val="043C9B47"/>
    <w:rsid w:val="04458054"/>
    <w:rsid w:val="0459563C"/>
    <w:rsid w:val="049B76AE"/>
    <w:rsid w:val="04D1BFB9"/>
    <w:rsid w:val="04DF1BDE"/>
    <w:rsid w:val="04E38D5B"/>
    <w:rsid w:val="04E3CE8E"/>
    <w:rsid w:val="04E69F5C"/>
    <w:rsid w:val="04EA540C"/>
    <w:rsid w:val="04EBE173"/>
    <w:rsid w:val="04F1FFB3"/>
    <w:rsid w:val="0514FB13"/>
    <w:rsid w:val="052E4B15"/>
    <w:rsid w:val="0530217C"/>
    <w:rsid w:val="0550260C"/>
    <w:rsid w:val="05705B20"/>
    <w:rsid w:val="0581B1FB"/>
    <w:rsid w:val="059EE405"/>
    <w:rsid w:val="05A91F88"/>
    <w:rsid w:val="05AC599C"/>
    <w:rsid w:val="05C212E2"/>
    <w:rsid w:val="05CCBFF7"/>
    <w:rsid w:val="05CD6422"/>
    <w:rsid w:val="05E15A0C"/>
    <w:rsid w:val="05F35FEE"/>
    <w:rsid w:val="05FE0C92"/>
    <w:rsid w:val="05FF99A9"/>
    <w:rsid w:val="060AC724"/>
    <w:rsid w:val="06111787"/>
    <w:rsid w:val="06149AB9"/>
    <w:rsid w:val="06189929"/>
    <w:rsid w:val="061FA77D"/>
    <w:rsid w:val="062B07A8"/>
    <w:rsid w:val="06362CC9"/>
    <w:rsid w:val="06425140"/>
    <w:rsid w:val="065C3A01"/>
    <w:rsid w:val="065EE960"/>
    <w:rsid w:val="0660748F"/>
    <w:rsid w:val="066D9CDC"/>
    <w:rsid w:val="068AEDDB"/>
    <w:rsid w:val="068C78C6"/>
    <w:rsid w:val="068D8507"/>
    <w:rsid w:val="069D47C7"/>
    <w:rsid w:val="06B2F928"/>
    <w:rsid w:val="06C0F077"/>
    <w:rsid w:val="06D994A4"/>
    <w:rsid w:val="06DD08E3"/>
    <w:rsid w:val="06FED083"/>
    <w:rsid w:val="070842F1"/>
    <w:rsid w:val="074C56EB"/>
    <w:rsid w:val="076E87EF"/>
    <w:rsid w:val="07730714"/>
    <w:rsid w:val="077B6F3E"/>
    <w:rsid w:val="07884A94"/>
    <w:rsid w:val="07A225E8"/>
    <w:rsid w:val="07DCF23B"/>
    <w:rsid w:val="07F8321A"/>
    <w:rsid w:val="0835748B"/>
    <w:rsid w:val="08399289"/>
    <w:rsid w:val="0847F9A4"/>
    <w:rsid w:val="084B4178"/>
    <w:rsid w:val="08772B0A"/>
    <w:rsid w:val="0887D704"/>
    <w:rsid w:val="08906317"/>
    <w:rsid w:val="08A5F579"/>
    <w:rsid w:val="08B19747"/>
    <w:rsid w:val="08BCD24D"/>
    <w:rsid w:val="08BD42BD"/>
    <w:rsid w:val="08CF8B88"/>
    <w:rsid w:val="08FDD3E6"/>
    <w:rsid w:val="0901A66B"/>
    <w:rsid w:val="0923FA25"/>
    <w:rsid w:val="092B97C4"/>
    <w:rsid w:val="092E0CC0"/>
    <w:rsid w:val="0930F949"/>
    <w:rsid w:val="094237A3"/>
    <w:rsid w:val="09650C23"/>
    <w:rsid w:val="0966F1EE"/>
    <w:rsid w:val="097A4187"/>
    <w:rsid w:val="099BE293"/>
    <w:rsid w:val="09B746B5"/>
    <w:rsid w:val="09C9F221"/>
    <w:rsid w:val="09ED2ADF"/>
    <w:rsid w:val="09F440C6"/>
    <w:rsid w:val="09FAF283"/>
    <w:rsid w:val="09FAF89D"/>
    <w:rsid w:val="0A0BB67B"/>
    <w:rsid w:val="0A1900CF"/>
    <w:rsid w:val="0A381928"/>
    <w:rsid w:val="0A3E5D3F"/>
    <w:rsid w:val="0A417B75"/>
    <w:rsid w:val="0A52C6EB"/>
    <w:rsid w:val="0A557730"/>
    <w:rsid w:val="0A64A8F5"/>
    <w:rsid w:val="0A69C1A4"/>
    <w:rsid w:val="0A85C340"/>
    <w:rsid w:val="0A90ABE8"/>
    <w:rsid w:val="0A938B52"/>
    <w:rsid w:val="0A9D693A"/>
    <w:rsid w:val="0AB9856E"/>
    <w:rsid w:val="0ABA0B5A"/>
    <w:rsid w:val="0AC84A99"/>
    <w:rsid w:val="0ACAED95"/>
    <w:rsid w:val="0ADC9F5A"/>
    <w:rsid w:val="0AE68925"/>
    <w:rsid w:val="0AEB0FB9"/>
    <w:rsid w:val="0AEBB4F6"/>
    <w:rsid w:val="0AF2B913"/>
    <w:rsid w:val="0AF2F905"/>
    <w:rsid w:val="0B0EAB52"/>
    <w:rsid w:val="0B2635BB"/>
    <w:rsid w:val="0B3FA55B"/>
    <w:rsid w:val="0B4AEBF1"/>
    <w:rsid w:val="0B539A94"/>
    <w:rsid w:val="0B5FC1AE"/>
    <w:rsid w:val="0B63A83C"/>
    <w:rsid w:val="0B70A8AA"/>
    <w:rsid w:val="0B808E99"/>
    <w:rsid w:val="0B83C395"/>
    <w:rsid w:val="0B8723F8"/>
    <w:rsid w:val="0B9775B2"/>
    <w:rsid w:val="0BA1D46D"/>
    <w:rsid w:val="0BB2AAFC"/>
    <w:rsid w:val="0BB4B8D0"/>
    <w:rsid w:val="0BCACE64"/>
    <w:rsid w:val="0BCE0F81"/>
    <w:rsid w:val="0BCE1A9E"/>
    <w:rsid w:val="0BCF0CD8"/>
    <w:rsid w:val="0BEBCAEC"/>
    <w:rsid w:val="0BF14DD1"/>
    <w:rsid w:val="0C226D4B"/>
    <w:rsid w:val="0C274187"/>
    <w:rsid w:val="0C2EB9EC"/>
    <w:rsid w:val="0C4A5E64"/>
    <w:rsid w:val="0C4B4F9B"/>
    <w:rsid w:val="0C66F9C7"/>
    <w:rsid w:val="0C739F5F"/>
    <w:rsid w:val="0CA404A5"/>
    <w:rsid w:val="0CADC5F1"/>
    <w:rsid w:val="0CCF14EB"/>
    <w:rsid w:val="0CECBE3E"/>
    <w:rsid w:val="0D0ACD49"/>
    <w:rsid w:val="0D0FC343"/>
    <w:rsid w:val="0D22A66E"/>
    <w:rsid w:val="0D4B6E98"/>
    <w:rsid w:val="0D9165FF"/>
    <w:rsid w:val="0D9403CF"/>
    <w:rsid w:val="0D9C7C8D"/>
    <w:rsid w:val="0D9E5999"/>
    <w:rsid w:val="0DA2138A"/>
    <w:rsid w:val="0DA2622B"/>
    <w:rsid w:val="0DA5A21F"/>
    <w:rsid w:val="0DBA94CA"/>
    <w:rsid w:val="0DBCD976"/>
    <w:rsid w:val="0DBD3509"/>
    <w:rsid w:val="0DE772DE"/>
    <w:rsid w:val="0DF00957"/>
    <w:rsid w:val="0E1150EC"/>
    <w:rsid w:val="0E120EF3"/>
    <w:rsid w:val="0E1AA057"/>
    <w:rsid w:val="0E1DBF93"/>
    <w:rsid w:val="0E280E63"/>
    <w:rsid w:val="0E38F10D"/>
    <w:rsid w:val="0E40164D"/>
    <w:rsid w:val="0E9B9B67"/>
    <w:rsid w:val="0EAADA5A"/>
    <w:rsid w:val="0EAAF9BB"/>
    <w:rsid w:val="0EC126C8"/>
    <w:rsid w:val="0EDC9CD6"/>
    <w:rsid w:val="0F359917"/>
    <w:rsid w:val="0F807C88"/>
    <w:rsid w:val="0F84CD6A"/>
    <w:rsid w:val="0F85AC8D"/>
    <w:rsid w:val="0F868B64"/>
    <w:rsid w:val="0F9C83D6"/>
    <w:rsid w:val="0FB73E53"/>
    <w:rsid w:val="0FBA5588"/>
    <w:rsid w:val="0FD89F2E"/>
    <w:rsid w:val="10070031"/>
    <w:rsid w:val="105B5B1B"/>
    <w:rsid w:val="108775DA"/>
    <w:rsid w:val="10922C9C"/>
    <w:rsid w:val="109CC8F2"/>
    <w:rsid w:val="10AAC2DD"/>
    <w:rsid w:val="10B26C37"/>
    <w:rsid w:val="10B78CB3"/>
    <w:rsid w:val="10BC44AC"/>
    <w:rsid w:val="10D1A6D5"/>
    <w:rsid w:val="10DA1FF5"/>
    <w:rsid w:val="10DB98AC"/>
    <w:rsid w:val="10FEE4A2"/>
    <w:rsid w:val="11066C7B"/>
    <w:rsid w:val="112CB6DC"/>
    <w:rsid w:val="11399179"/>
    <w:rsid w:val="1185E44D"/>
    <w:rsid w:val="118C3305"/>
    <w:rsid w:val="11A9CE42"/>
    <w:rsid w:val="11E7CB85"/>
    <w:rsid w:val="11E83724"/>
    <w:rsid w:val="11EB6B6C"/>
    <w:rsid w:val="12017775"/>
    <w:rsid w:val="121EA071"/>
    <w:rsid w:val="1220B4B2"/>
    <w:rsid w:val="12215504"/>
    <w:rsid w:val="12277CAD"/>
    <w:rsid w:val="123E3FCA"/>
    <w:rsid w:val="1249744F"/>
    <w:rsid w:val="1255E168"/>
    <w:rsid w:val="126540BB"/>
    <w:rsid w:val="126767A7"/>
    <w:rsid w:val="127D72D1"/>
    <w:rsid w:val="12876C4C"/>
    <w:rsid w:val="128DD823"/>
    <w:rsid w:val="12A80332"/>
    <w:rsid w:val="12AD7533"/>
    <w:rsid w:val="12B966E3"/>
    <w:rsid w:val="12BC8F01"/>
    <w:rsid w:val="12C7F867"/>
    <w:rsid w:val="12C8CF60"/>
    <w:rsid w:val="12CA8AEA"/>
    <w:rsid w:val="12CE23EB"/>
    <w:rsid w:val="12DAB2F8"/>
    <w:rsid w:val="12DC3A9F"/>
    <w:rsid w:val="12E127A2"/>
    <w:rsid w:val="12EB4400"/>
    <w:rsid w:val="12F5A087"/>
    <w:rsid w:val="132085DA"/>
    <w:rsid w:val="13208D96"/>
    <w:rsid w:val="1325C766"/>
    <w:rsid w:val="1334407C"/>
    <w:rsid w:val="133A1B19"/>
    <w:rsid w:val="13541FB2"/>
    <w:rsid w:val="13568063"/>
    <w:rsid w:val="135AAC8A"/>
    <w:rsid w:val="137A8BD4"/>
    <w:rsid w:val="139B9F21"/>
    <w:rsid w:val="139D31EA"/>
    <w:rsid w:val="13AC0492"/>
    <w:rsid w:val="13B14FF4"/>
    <w:rsid w:val="13D838A8"/>
    <w:rsid w:val="13E1AEA3"/>
    <w:rsid w:val="13EBFB51"/>
    <w:rsid w:val="13EE5270"/>
    <w:rsid w:val="13F8F1CC"/>
    <w:rsid w:val="140F0EA0"/>
    <w:rsid w:val="1421DEDD"/>
    <w:rsid w:val="142539D5"/>
    <w:rsid w:val="14306AB4"/>
    <w:rsid w:val="143C658E"/>
    <w:rsid w:val="145B8AD1"/>
    <w:rsid w:val="145D9FC5"/>
    <w:rsid w:val="145E7AFF"/>
    <w:rsid w:val="1465AD87"/>
    <w:rsid w:val="1474BAAE"/>
    <w:rsid w:val="147E4355"/>
    <w:rsid w:val="14860B2F"/>
    <w:rsid w:val="1494805A"/>
    <w:rsid w:val="14961AAD"/>
    <w:rsid w:val="1499AE71"/>
    <w:rsid w:val="149E3403"/>
    <w:rsid w:val="14B1450A"/>
    <w:rsid w:val="14C5857B"/>
    <w:rsid w:val="14CDD0EF"/>
    <w:rsid w:val="14E9615E"/>
    <w:rsid w:val="14EA72EF"/>
    <w:rsid w:val="14FBD8C1"/>
    <w:rsid w:val="15062CB5"/>
    <w:rsid w:val="1509B299"/>
    <w:rsid w:val="15350192"/>
    <w:rsid w:val="153ED203"/>
    <w:rsid w:val="155B0C4C"/>
    <w:rsid w:val="155BD2D6"/>
    <w:rsid w:val="155EAC66"/>
    <w:rsid w:val="15621FC7"/>
    <w:rsid w:val="15637B98"/>
    <w:rsid w:val="157E5DC4"/>
    <w:rsid w:val="157F860F"/>
    <w:rsid w:val="15895496"/>
    <w:rsid w:val="159D2EC0"/>
    <w:rsid w:val="15A834D7"/>
    <w:rsid w:val="15A98B90"/>
    <w:rsid w:val="15AB5448"/>
    <w:rsid w:val="15B13369"/>
    <w:rsid w:val="15B3DB1A"/>
    <w:rsid w:val="15DA44A4"/>
    <w:rsid w:val="15E61FD1"/>
    <w:rsid w:val="15E84525"/>
    <w:rsid w:val="15F0DDDE"/>
    <w:rsid w:val="160C2CD7"/>
    <w:rsid w:val="160E5ED4"/>
    <w:rsid w:val="161A0F83"/>
    <w:rsid w:val="162CAF52"/>
    <w:rsid w:val="16329DA0"/>
    <w:rsid w:val="166EC98B"/>
    <w:rsid w:val="167EDA48"/>
    <w:rsid w:val="16816873"/>
    <w:rsid w:val="1698C62B"/>
    <w:rsid w:val="16BDEB0C"/>
    <w:rsid w:val="16CC5020"/>
    <w:rsid w:val="16D0B156"/>
    <w:rsid w:val="16ED140F"/>
    <w:rsid w:val="1712FB00"/>
    <w:rsid w:val="17143435"/>
    <w:rsid w:val="17355100"/>
    <w:rsid w:val="174162E7"/>
    <w:rsid w:val="174FD3DD"/>
    <w:rsid w:val="1750D888"/>
    <w:rsid w:val="176E1827"/>
    <w:rsid w:val="177FCB00"/>
    <w:rsid w:val="178F22F5"/>
    <w:rsid w:val="1790BBBC"/>
    <w:rsid w:val="17A9E9F5"/>
    <w:rsid w:val="17AF7CEE"/>
    <w:rsid w:val="17E647CB"/>
    <w:rsid w:val="17F26C0C"/>
    <w:rsid w:val="17F6299C"/>
    <w:rsid w:val="17F8DAA5"/>
    <w:rsid w:val="17FB8127"/>
    <w:rsid w:val="17FECDD3"/>
    <w:rsid w:val="18010EBC"/>
    <w:rsid w:val="180E9228"/>
    <w:rsid w:val="1843D22D"/>
    <w:rsid w:val="184425AD"/>
    <w:rsid w:val="18748A2D"/>
    <w:rsid w:val="187DD45D"/>
    <w:rsid w:val="187F9AE3"/>
    <w:rsid w:val="1894BDF8"/>
    <w:rsid w:val="18967DB4"/>
    <w:rsid w:val="18A47876"/>
    <w:rsid w:val="18A74825"/>
    <w:rsid w:val="18D104DC"/>
    <w:rsid w:val="18E814DE"/>
    <w:rsid w:val="18ED82BC"/>
    <w:rsid w:val="18EFD065"/>
    <w:rsid w:val="18F5DAEB"/>
    <w:rsid w:val="1908CCDC"/>
    <w:rsid w:val="191702A8"/>
    <w:rsid w:val="19228C78"/>
    <w:rsid w:val="19232D89"/>
    <w:rsid w:val="19250A13"/>
    <w:rsid w:val="192C2128"/>
    <w:rsid w:val="196A8165"/>
    <w:rsid w:val="196AC9B3"/>
    <w:rsid w:val="197C4C89"/>
    <w:rsid w:val="198600F9"/>
    <w:rsid w:val="198F393F"/>
    <w:rsid w:val="199C40C0"/>
    <w:rsid w:val="19BBBBF7"/>
    <w:rsid w:val="19D04D2B"/>
    <w:rsid w:val="19D5582C"/>
    <w:rsid w:val="19E8608E"/>
    <w:rsid w:val="19F6835E"/>
    <w:rsid w:val="19FF8C54"/>
    <w:rsid w:val="1A0D06EB"/>
    <w:rsid w:val="1A12BB70"/>
    <w:rsid w:val="1A47925E"/>
    <w:rsid w:val="1A503572"/>
    <w:rsid w:val="1A699A75"/>
    <w:rsid w:val="1A7C4C7C"/>
    <w:rsid w:val="1A7DC1B4"/>
    <w:rsid w:val="1A89B790"/>
    <w:rsid w:val="1A8DE00C"/>
    <w:rsid w:val="1A9718DD"/>
    <w:rsid w:val="1ABD2EAC"/>
    <w:rsid w:val="1AD0E572"/>
    <w:rsid w:val="1AD2787D"/>
    <w:rsid w:val="1AD43D4D"/>
    <w:rsid w:val="1ADCD9FD"/>
    <w:rsid w:val="1AF1D7B2"/>
    <w:rsid w:val="1AFDEEC5"/>
    <w:rsid w:val="1B0B978D"/>
    <w:rsid w:val="1B10C21E"/>
    <w:rsid w:val="1B2C47B7"/>
    <w:rsid w:val="1B315A2D"/>
    <w:rsid w:val="1B328D2C"/>
    <w:rsid w:val="1B35889F"/>
    <w:rsid w:val="1B373664"/>
    <w:rsid w:val="1B547BD0"/>
    <w:rsid w:val="1B5F746F"/>
    <w:rsid w:val="1B690CA8"/>
    <w:rsid w:val="1B7DC665"/>
    <w:rsid w:val="1B7EA47E"/>
    <w:rsid w:val="1B863745"/>
    <w:rsid w:val="1B8A0376"/>
    <w:rsid w:val="1B9C4CF8"/>
    <w:rsid w:val="1BA66FA3"/>
    <w:rsid w:val="1BC0B60C"/>
    <w:rsid w:val="1BC1E7A4"/>
    <w:rsid w:val="1BCC5820"/>
    <w:rsid w:val="1BD78008"/>
    <w:rsid w:val="1BFF52E1"/>
    <w:rsid w:val="1C02A5B1"/>
    <w:rsid w:val="1C29A4E2"/>
    <w:rsid w:val="1C2AF036"/>
    <w:rsid w:val="1C4191D4"/>
    <w:rsid w:val="1C5B41BA"/>
    <w:rsid w:val="1C6CD8FD"/>
    <w:rsid w:val="1C7389DA"/>
    <w:rsid w:val="1C7FB60C"/>
    <w:rsid w:val="1C890A5C"/>
    <w:rsid w:val="1C8B5717"/>
    <w:rsid w:val="1C97CE0F"/>
    <w:rsid w:val="1CA74B61"/>
    <w:rsid w:val="1CC97688"/>
    <w:rsid w:val="1CCACFEC"/>
    <w:rsid w:val="1CE4F83A"/>
    <w:rsid w:val="1CEF8F7E"/>
    <w:rsid w:val="1CFE2EB7"/>
    <w:rsid w:val="1CFED0D4"/>
    <w:rsid w:val="1D00870C"/>
    <w:rsid w:val="1D20E964"/>
    <w:rsid w:val="1D2128F8"/>
    <w:rsid w:val="1D29CCB0"/>
    <w:rsid w:val="1D35F23C"/>
    <w:rsid w:val="1D3DB7CF"/>
    <w:rsid w:val="1D6325BD"/>
    <w:rsid w:val="1D677553"/>
    <w:rsid w:val="1D71B439"/>
    <w:rsid w:val="1D7B28F3"/>
    <w:rsid w:val="1D7CD398"/>
    <w:rsid w:val="1D8B43F6"/>
    <w:rsid w:val="1D98E6EB"/>
    <w:rsid w:val="1DA74FBE"/>
    <w:rsid w:val="1DAFD0A5"/>
    <w:rsid w:val="1DB2EF05"/>
    <w:rsid w:val="1DC36EFA"/>
    <w:rsid w:val="1DC93BB6"/>
    <w:rsid w:val="1DD9C488"/>
    <w:rsid w:val="1DF37DDB"/>
    <w:rsid w:val="1DF61696"/>
    <w:rsid w:val="1DFC3C91"/>
    <w:rsid w:val="1E03F4C5"/>
    <w:rsid w:val="1E1DD779"/>
    <w:rsid w:val="1E294646"/>
    <w:rsid w:val="1E47ADCA"/>
    <w:rsid w:val="1E4B2701"/>
    <w:rsid w:val="1E594FD9"/>
    <w:rsid w:val="1E605299"/>
    <w:rsid w:val="1E616711"/>
    <w:rsid w:val="1E708835"/>
    <w:rsid w:val="1E8828D6"/>
    <w:rsid w:val="1E91681D"/>
    <w:rsid w:val="1E940311"/>
    <w:rsid w:val="1EA407F1"/>
    <w:rsid w:val="1EB70D71"/>
    <w:rsid w:val="1EB7998A"/>
    <w:rsid w:val="1EBD6716"/>
    <w:rsid w:val="1EF606CA"/>
    <w:rsid w:val="1F029358"/>
    <w:rsid w:val="1F0E7DC8"/>
    <w:rsid w:val="1F16C194"/>
    <w:rsid w:val="1F3351EB"/>
    <w:rsid w:val="1F34BC4E"/>
    <w:rsid w:val="1F3EAEE8"/>
    <w:rsid w:val="1F428B75"/>
    <w:rsid w:val="1F508A8F"/>
    <w:rsid w:val="1F6464F6"/>
    <w:rsid w:val="1F7CD284"/>
    <w:rsid w:val="1F80405E"/>
    <w:rsid w:val="1F8063D4"/>
    <w:rsid w:val="1F86C082"/>
    <w:rsid w:val="1F87ED51"/>
    <w:rsid w:val="1FBDEC20"/>
    <w:rsid w:val="1FC4BA3D"/>
    <w:rsid w:val="1FCEF7DE"/>
    <w:rsid w:val="1FE098B8"/>
    <w:rsid w:val="1FE9A0EC"/>
    <w:rsid w:val="1FEC9C6D"/>
    <w:rsid w:val="1FED495D"/>
    <w:rsid w:val="1FF71A4D"/>
    <w:rsid w:val="2000446E"/>
    <w:rsid w:val="2006CFDF"/>
    <w:rsid w:val="2012102B"/>
    <w:rsid w:val="202AD62D"/>
    <w:rsid w:val="20389150"/>
    <w:rsid w:val="204189D4"/>
    <w:rsid w:val="204B5ED7"/>
    <w:rsid w:val="204EF48D"/>
    <w:rsid w:val="2056D4EB"/>
    <w:rsid w:val="205E0FB7"/>
    <w:rsid w:val="206DB164"/>
    <w:rsid w:val="20736B7C"/>
    <w:rsid w:val="209523C1"/>
    <w:rsid w:val="209B542C"/>
    <w:rsid w:val="20ADD304"/>
    <w:rsid w:val="20B6E54A"/>
    <w:rsid w:val="20C79084"/>
    <w:rsid w:val="20C7EDC7"/>
    <w:rsid w:val="20D076CF"/>
    <w:rsid w:val="20D0FC67"/>
    <w:rsid w:val="20D1C2F8"/>
    <w:rsid w:val="20F5AA76"/>
    <w:rsid w:val="20FD9BC2"/>
    <w:rsid w:val="210DAC9C"/>
    <w:rsid w:val="213DCC07"/>
    <w:rsid w:val="214E7544"/>
    <w:rsid w:val="217DAD79"/>
    <w:rsid w:val="218F9885"/>
    <w:rsid w:val="218FE529"/>
    <w:rsid w:val="219FB9EB"/>
    <w:rsid w:val="21A28D50"/>
    <w:rsid w:val="21ADFD50"/>
    <w:rsid w:val="21EC278E"/>
    <w:rsid w:val="22105491"/>
    <w:rsid w:val="221B6E4E"/>
    <w:rsid w:val="22298CFE"/>
    <w:rsid w:val="22434C76"/>
    <w:rsid w:val="2243B16D"/>
    <w:rsid w:val="2267BAB6"/>
    <w:rsid w:val="2275BAB8"/>
    <w:rsid w:val="22A62AED"/>
    <w:rsid w:val="22C10106"/>
    <w:rsid w:val="22F54FF4"/>
    <w:rsid w:val="22F8DBC6"/>
    <w:rsid w:val="23020287"/>
    <w:rsid w:val="230C4DC1"/>
    <w:rsid w:val="231790F4"/>
    <w:rsid w:val="2317FB68"/>
    <w:rsid w:val="231B9EDA"/>
    <w:rsid w:val="231E90AB"/>
    <w:rsid w:val="23268074"/>
    <w:rsid w:val="232F1CC8"/>
    <w:rsid w:val="2334C959"/>
    <w:rsid w:val="23518F83"/>
    <w:rsid w:val="2355A0A6"/>
    <w:rsid w:val="237E0C39"/>
    <w:rsid w:val="23A8C36D"/>
    <w:rsid w:val="23B07AAE"/>
    <w:rsid w:val="23CBB0F3"/>
    <w:rsid w:val="23E9D2E0"/>
    <w:rsid w:val="23F56054"/>
    <w:rsid w:val="240299FC"/>
    <w:rsid w:val="24046CAC"/>
    <w:rsid w:val="240EDF69"/>
    <w:rsid w:val="24185A41"/>
    <w:rsid w:val="242A9C95"/>
    <w:rsid w:val="242D31E4"/>
    <w:rsid w:val="242F456A"/>
    <w:rsid w:val="2443EBC4"/>
    <w:rsid w:val="245C969B"/>
    <w:rsid w:val="246414F8"/>
    <w:rsid w:val="247198A7"/>
    <w:rsid w:val="248A5DA5"/>
    <w:rsid w:val="24A36FDB"/>
    <w:rsid w:val="24AA161C"/>
    <w:rsid w:val="24BEC47C"/>
    <w:rsid w:val="24DB3E33"/>
    <w:rsid w:val="24F050FF"/>
    <w:rsid w:val="24F5A323"/>
    <w:rsid w:val="25041241"/>
    <w:rsid w:val="250624AB"/>
    <w:rsid w:val="250F8CE9"/>
    <w:rsid w:val="2527751A"/>
    <w:rsid w:val="252BB739"/>
    <w:rsid w:val="2535E9A7"/>
    <w:rsid w:val="2576D5F1"/>
    <w:rsid w:val="259EE5E8"/>
    <w:rsid w:val="25A2C272"/>
    <w:rsid w:val="25ADEE30"/>
    <w:rsid w:val="25AE0F87"/>
    <w:rsid w:val="25AE9F70"/>
    <w:rsid w:val="25B18AFB"/>
    <w:rsid w:val="25BA909D"/>
    <w:rsid w:val="25CEFBAA"/>
    <w:rsid w:val="25E37AEF"/>
    <w:rsid w:val="25E83B1B"/>
    <w:rsid w:val="25F3A606"/>
    <w:rsid w:val="260DC524"/>
    <w:rsid w:val="261957CE"/>
    <w:rsid w:val="2621D1DD"/>
    <w:rsid w:val="262265FD"/>
    <w:rsid w:val="262430C9"/>
    <w:rsid w:val="263E8A21"/>
    <w:rsid w:val="264B13E5"/>
    <w:rsid w:val="266C68BC"/>
    <w:rsid w:val="2675BAB1"/>
    <w:rsid w:val="267FA34C"/>
    <w:rsid w:val="26954C38"/>
    <w:rsid w:val="269A7226"/>
    <w:rsid w:val="26A71BBA"/>
    <w:rsid w:val="26ABCD62"/>
    <w:rsid w:val="26CC248B"/>
    <w:rsid w:val="26CF1482"/>
    <w:rsid w:val="26F7CA07"/>
    <w:rsid w:val="27090E70"/>
    <w:rsid w:val="270DA51C"/>
    <w:rsid w:val="2719669E"/>
    <w:rsid w:val="272936B1"/>
    <w:rsid w:val="273D2B0C"/>
    <w:rsid w:val="274233FE"/>
    <w:rsid w:val="2770D404"/>
    <w:rsid w:val="27ADE214"/>
    <w:rsid w:val="27B3CBF3"/>
    <w:rsid w:val="27C35EAF"/>
    <w:rsid w:val="27C49008"/>
    <w:rsid w:val="27CC41CB"/>
    <w:rsid w:val="27CFB086"/>
    <w:rsid w:val="27FD96C7"/>
    <w:rsid w:val="28034932"/>
    <w:rsid w:val="283753AA"/>
    <w:rsid w:val="28477BF9"/>
    <w:rsid w:val="28483D5A"/>
    <w:rsid w:val="284AD2D3"/>
    <w:rsid w:val="284EEFE6"/>
    <w:rsid w:val="28734356"/>
    <w:rsid w:val="287490E0"/>
    <w:rsid w:val="2884A8FC"/>
    <w:rsid w:val="289B5285"/>
    <w:rsid w:val="289BF365"/>
    <w:rsid w:val="289C8F45"/>
    <w:rsid w:val="28C94DBD"/>
    <w:rsid w:val="28D66D18"/>
    <w:rsid w:val="28DD50C2"/>
    <w:rsid w:val="28E01894"/>
    <w:rsid w:val="28E47B6E"/>
    <w:rsid w:val="29052C59"/>
    <w:rsid w:val="29195347"/>
    <w:rsid w:val="2933E6C4"/>
    <w:rsid w:val="295194C7"/>
    <w:rsid w:val="295E43A1"/>
    <w:rsid w:val="2963B070"/>
    <w:rsid w:val="297088F2"/>
    <w:rsid w:val="297AACB9"/>
    <w:rsid w:val="297DED6B"/>
    <w:rsid w:val="29949F2A"/>
    <w:rsid w:val="2998C37C"/>
    <w:rsid w:val="29B2B817"/>
    <w:rsid w:val="29ECCE73"/>
    <w:rsid w:val="29FAB8E4"/>
    <w:rsid w:val="2A0685FB"/>
    <w:rsid w:val="2A081CC3"/>
    <w:rsid w:val="2A4CF3AA"/>
    <w:rsid w:val="2A640F9C"/>
    <w:rsid w:val="2A6914A1"/>
    <w:rsid w:val="2A6DE339"/>
    <w:rsid w:val="2A798CDB"/>
    <w:rsid w:val="2A86E5F6"/>
    <w:rsid w:val="2A92ED4F"/>
    <w:rsid w:val="2A9F3B7F"/>
    <w:rsid w:val="2AAFCE15"/>
    <w:rsid w:val="2AAFDB5F"/>
    <w:rsid w:val="2AB18928"/>
    <w:rsid w:val="2AC08430"/>
    <w:rsid w:val="2ACF247D"/>
    <w:rsid w:val="2AE1BB2F"/>
    <w:rsid w:val="2B01E119"/>
    <w:rsid w:val="2B06A10F"/>
    <w:rsid w:val="2B082F20"/>
    <w:rsid w:val="2B28B13B"/>
    <w:rsid w:val="2B4EC3F9"/>
    <w:rsid w:val="2B51CAC2"/>
    <w:rsid w:val="2B572EEF"/>
    <w:rsid w:val="2B6771C4"/>
    <w:rsid w:val="2B81D5DB"/>
    <w:rsid w:val="2B8274F6"/>
    <w:rsid w:val="2BA81255"/>
    <w:rsid w:val="2BAC6DD3"/>
    <w:rsid w:val="2C055315"/>
    <w:rsid w:val="2C06EAA8"/>
    <w:rsid w:val="2C2DEED5"/>
    <w:rsid w:val="2C320BCA"/>
    <w:rsid w:val="2C43E9D6"/>
    <w:rsid w:val="2CB20B94"/>
    <w:rsid w:val="2CCA3162"/>
    <w:rsid w:val="2CDBBED2"/>
    <w:rsid w:val="2CF5A349"/>
    <w:rsid w:val="2D0F9A45"/>
    <w:rsid w:val="2D1B9422"/>
    <w:rsid w:val="2D2D93ED"/>
    <w:rsid w:val="2D2DD0FF"/>
    <w:rsid w:val="2D2F9F91"/>
    <w:rsid w:val="2D3F1332"/>
    <w:rsid w:val="2D4A9880"/>
    <w:rsid w:val="2D4EAA23"/>
    <w:rsid w:val="2D5B1076"/>
    <w:rsid w:val="2D5B29EE"/>
    <w:rsid w:val="2D6F5F19"/>
    <w:rsid w:val="2DAEBEB0"/>
    <w:rsid w:val="2DF0CEC6"/>
    <w:rsid w:val="2DF8E807"/>
    <w:rsid w:val="2E057ED1"/>
    <w:rsid w:val="2E0F62DA"/>
    <w:rsid w:val="2E133A89"/>
    <w:rsid w:val="2E29DF21"/>
    <w:rsid w:val="2E2C0DB7"/>
    <w:rsid w:val="2E4A0588"/>
    <w:rsid w:val="2E4CD7D2"/>
    <w:rsid w:val="2E793D87"/>
    <w:rsid w:val="2E793FBB"/>
    <w:rsid w:val="2E82AFFA"/>
    <w:rsid w:val="2E878E39"/>
    <w:rsid w:val="2E8905B2"/>
    <w:rsid w:val="2E8DD4D3"/>
    <w:rsid w:val="2E9521AD"/>
    <w:rsid w:val="2EA1D46E"/>
    <w:rsid w:val="2EA879D8"/>
    <w:rsid w:val="2EDA8D10"/>
    <w:rsid w:val="2EE290DF"/>
    <w:rsid w:val="2EFC0EA7"/>
    <w:rsid w:val="2F06F3B3"/>
    <w:rsid w:val="2F0C7B35"/>
    <w:rsid w:val="2F0D486B"/>
    <w:rsid w:val="2F1F0E6C"/>
    <w:rsid w:val="2F457B78"/>
    <w:rsid w:val="2F6469F3"/>
    <w:rsid w:val="2F67BC80"/>
    <w:rsid w:val="2F6C1BD6"/>
    <w:rsid w:val="2F833E8B"/>
    <w:rsid w:val="2F8FBBB6"/>
    <w:rsid w:val="2FA66F2D"/>
    <w:rsid w:val="2FBBE5AE"/>
    <w:rsid w:val="2FC29581"/>
    <w:rsid w:val="2FD7FB7B"/>
    <w:rsid w:val="2FFB33E6"/>
    <w:rsid w:val="302449F6"/>
    <w:rsid w:val="302A08F0"/>
    <w:rsid w:val="3031736C"/>
    <w:rsid w:val="303758A3"/>
    <w:rsid w:val="30535A22"/>
    <w:rsid w:val="305B8F14"/>
    <w:rsid w:val="305E675A"/>
    <w:rsid w:val="30A987B0"/>
    <w:rsid w:val="30B7B0BD"/>
    <w:rsid w:val="30B9FC93"/>
    <w:rsid w:val="30C05CFB"/>
    <w:rsid w:val="30C14681"/>
    <w:rsid w:val="30D51128"/>
    <w:rsid w:val="30E1C64D"/>
    <w:rsid w:val="30EF96EB"/>
    <w:rsid w:val="30F044EE"/>
    <w:rsid w:val="31028EC8"/>
    <w:rsid w:val="31088D23"/>
    <w:rsid w:val="31265D9E"/>
    <w:rsid w:val="313771B7"/>
    <w:rsid w:val="31559CC0"/>
    <w:rsid w:val="316C26BA"/>
    <w:rsid w:val="31A757D2"/>
    <w:rsid w:val="31BA075F"/>
    <w:rsid w:val="31C4C1E7"/>
    <w:rsid w:val="31C56493"/>
    <w:rsid w:val="31E4742D"/>
    <w:rsid w:val="320836A7"/>
    <w:rsid w:val="3210530A"/>
    <w:rsid w:val="321476C1"/>
    <w:rsid w:val="323DB076"/>
    <w:rsid w:val="325FD9CB"/>
    <w:rsid w:val="32692D0C"/>
    <w:rsid w:val="3285B052"/>
    <w:rsid w:val="329DCBDF"/>
    <w:rsid w:val="32B330DB"/>
    <w:rsid w:val="32B53DDA"/>
    <w:rsid w:val="32B6FB06"/>
    <w:rsid w:val="32BCDE54"/>
    <w:rsid w:val="32BF2C21"/>
    <w:rsid w:val="32C2BAF6"/>
    <w:rsid w:val="32C7C4D0"/>
    <w:rsid w:val="32CEBDE0"/>
    <w:rsid w:val="32E144A4"/>
    <w:rsid w:val="32FC8230"/>
    <w:rsid w:val="330479C5"/>
    <w:rsid w:val="331DF74F"/>
    <w:rsid w:val="33298181"/>
    <w:rsid w:val="332DEF33"/>
    <w:rsid w:val="3350A44B"/>
    <w:rsid w:val="33513717"/>
    <w:rsid w:val="3367D0A2"/>
    <w:rsid w:val="336DADC5"/>
    <w:rsid w:val="336F9838"/>
    <w:rsid w:val="33709E2D"/>
    <w:rsid w:val="337A4FC9"/>
    <w:rsid w:val="3384FEEE"/>
    <w:rsid w:val="33AD1D21"/>
    <w:rsid w:val="33AD253F"/>
    <w:rsid w:val="33B192B8"/>
    <w:rsid w:val="33F37B2F"/>
    <w:rsid w:val="33FF4A6F"/>
    <w:rsid w:val="34080C57"/>
    <w:rsid w:val="3415CCD5"/>
    <w:rsid w:val="343D8B7F"/>
    <w:rsid w:val="34473BE8"/>
    <w:rsid w:val="345DA9B7"/>
    <w:rsid w:val="3491E66E"/>
    <w:rsid w:val="34A3E531"/>
    <w:rsid w:val="34A4E541"/>
    <w:rsid w:val="34B77C3F"/>
    <w:rsid w:val="34B7EBEE"/>
    <w:rsid w:val="34D6783A"/>
    <w:rsid w:val="34D7EC70"/>
    <w:rsid w:val="34DABC9E"/>
    <w:rsid w:val="34DBEF98"/>
    <w:rsid w:val="34DF3714"/>
    <w:rsid w:val="34E4114E"/>
    <w:rsid w:val="35631E16"/>
    <w:rsid w:val="3580660E"/>
    <w:rsid w:val="3593BFD2"/>
    <w:rsid w:val="35954851"/>
    <w:rsid w:val="3595578B"/>
    <w:rsid w:val="359729CF"/>
    <w:rsid w:val="35CEC7F0"/>
    <w:rsid w:val="35D104EF"/>
    <w:rsid w:val="35D1296C"/>
    <w:rsid w:val="35F21AF0"/>
    <w:rsid w:val="36016EC7"/>
    <w:rsid w:val="3624406A"/>
    <w:rsid w:val="3630556E"/>
    <w:rsid w:val="364317F1"/>
    <w:rsid w:val="3644F053"/>
    <w:rsid w:val="36552608"/>
    <w:rsid w:val="36560714"/>
    <w:rsid w:val="3666AD14"/>
    <w:rsid w:val="366FDB46"/>
    <w:rsid w:val="3686701C"/>
    <w:rsid w:val="36A3FDF0"/>
    <w:rsid w:val="36B16786"/>
    <w:rsid w:val="36B87237"/>
    <w:rsid w:val="36C845DF"/>
    <w:rsid w:val="36C9E65C"/>
    <w:rsid w:val="36CC1893"/>
    <w:rsid w:val="36DEC1AE"/>
    <w:rsid w:val="36EF586B"/>
    <w:rsid w:val="36FD740B"/>
    <w:rsid w:val="37023CD7"/>
    <w:rsid w:val="371125AD"/>
    <w:rsid w:val="3717294E"/>
    <w:rsid w:val="37181EAD"/>
    <w:rsid w:val="374796A0"/>
    <w:rsid w:val="374B186C"/>
    <w:rsid w:val="3756CC23"/>
    <w:rsid w:val="3758A7D9"/>
    <w:rsid w:val="3769CE85"/>
    <w:rsid w:val="377B5009"/>
    <w:rsid w:val="3781EBA6"/>
    <w:rsid w:val="378BF5CA"/>
    <w:rsid w:val="37998898"/>
    <w:rsid w:val="37B45CBF"/>
    <w:rsid w:val="37CD7584"/>
    <w:rsid w:val="37D45888"/>
    <w:rsid w:val="37DC9532"/>
    <w:rsid w:val="37EBFF3D"/>
    <w:rsid w:val="37F91D64"/>
    <w:rsid w:val="381ADF54"/>
    <w:rsid w:val="3827F916"/>
    <w:rsid w:val="3833E851"/>
    <w:rsid w:val="3838E6FE"/>
    <w:rsid w:val="3841DBB4"/>
    <w:rsid w:val="3851EBE7"/>
    <w:rsid w:val="385DA0AC"/>
    <w:rsid w:val="3861563F"/>
    <w:rsid w:val="38649237"/>
    <w:rsid w:val="386B0BAA"/>
    <w:rsid w:val="386DED85"/>
    <w:rsid w:val="3886CC94"/>
    <w:rsid w:val="38881B41"/>
    <w:rsid w:val="38C7D384"/>
    <w:rsid w:val="38CEB93E"/>
    <w:rsid w:val="38D5AF5D"/>
    <w:rsid w:val="38D921FD"/>
    <w:rsid w:val="38E939EC"/>
    <w:rsid w:val="38EBC593"/>
    <w:rsid w:val="38FE0597"/>
    <w:rsid w:val="390421F1"/>
    <w:rsid w:val="390A75FB"/>
    <w:rsid w:val="3920389D"/>
    <w:rsid w:val="392689CF"/>
    <w:rsid w:val="3945450D"/>
    <w:rsid w:val="395079B9"/>
    <w:rsid w:val="395F36A8"/>
    <w:rsid w:val="397E5A4B"/>
    <w:rsid w:val="39A5B77D"/>
    <w:rsid w:val="39A99351"/>
    <w:rsid w:val="39D9D8A8"/>
    <w:rsid w:val="39E093F8"/>
    <w:rsid w:val="3A13573F"/>
    <w:rsid w:val="3A15111E"/>
    <w:rsid w:val="3A27D851"/>
    <w:rsid w:val="3A34AE40"/>
    <w:rsid w:val="3A4FC64C"/>
    <w:rsid w:val="3A7776A7"/>
    <w:rsid w:val="3A7B1CE2"/>
    <w:rsid w:val="3A978FB8"/>
    <w:rsid w:val="3A9BEB9E"/>
    <w:rsid w:val="3AA4B9E7"/>
    <w:rsid w:val="3AEC628D"/>
    <w:rsid w:val="3AF682FE"/>
    <w:rsid w:val="3B00DC43"/>
    <w:rsid w:val="3B2F6DD0"/>
    <w:rsid w:val="3B778825"/>
    <w:rsid w:val="3B88CB35"/>
    <w:rsid w:val="3B8B92A2"/>
    <w:rsid w:val="3B8FA240"/>
    <w:rsid w:val="3B994BD4"/>
    <w:rsid w:val="3BAD6136"/>
    <w:rsid w:val="3BBC9A3B"/>
    <w:rsid w:val="3BBD6DB3"/>
    <w:rsid w:val="3BBF57B4"/>
    <w:rsid w:val="3BCD99C3"/>
    <w:rsid w:val="3BCEF132"/>
    <w:rsid w:val="3BDF220E"/>
    <w:rsid w:val="3BF8C5AF"/>
    <w:rsid w:val="3BFF407B"/>
    <w:rsid w:val="3C069FE2"/>
    <w:rsid w:val="3C1142FC"/>
    <w:rsid w:val="3C1B5933"/>
    <w:rsid w:val="3C2E6359"/>
    <w:rsid w:val="3C66D93B"/>
    <w:rsid w:val="3C7B96FB"/>
    <w:rsid w:val="3C7D1C7A"/>
    <w:rsid w:val="3C82E16C"/>
    <w:rsid w:val="3C909CBA"/>
    <w:rsid w:val="3C90F3C7"/>
    <w:rsid w:val="3C9D0FB1"/>
    <w:rsid w:val="3CA520EF"/>
    <w:rsid w:val="3CA87A13"/>
    <w:rsid w:val="3CB7BD31"/>
    <w:rsid w:val="3CC69B9D"/>
    <w:rsid w:val="3CEE3F06"/>
    <w:rsid w:val="3CFD932C"/>
    <w:rsid w:val="3D01F916"/>
    <w:rsid w:val="3D12A55E"/>
    <w:rsid w:val="3D31EF47"/>
    <w:rsid w:val="3D6A052D"/>
    <w:rsid w:val="3D7C390B"/>
    <w:rsid w:val="3D7F0FBD"/>
    <w:rsid w:val="3D85D2B1"/>
    <w:rsid w:val="3D88D42E"/>
    <w:rsid w:val="3DA33F91"/>
    <w:rsid w:val="3DAEB414"/>
    <w:rsid w:val="3DB5C274"/>
    <w:rsid w:val="3DC87BF1"/>
    <w:rsid w:val="3DCFC87D"/>
    <w:rsid w:val="3DF6A3A7"/>
    <w:rsid w:val="3DFC005B"/>
    <w:rsid w:val="3E09474D"/>
    <w:rsid w:val="3E095B19"/>
    <w:rsid w:val="3E0FB616"/>
    <w:rsid w:val="3E1E44CC"/>
    <w:rsid w:val="3E3DFB9F"/>
    <w:rsid w:val="3E49152B"/>
    <w:rsid w:val="3E519943"/>
    <w:rsid w:val="3E59340C"/>
    <w:rsid w:val="3E5FF2DA"/>
    <w:rsid w:val="3E7B4BC1"/>
    <w:rsid w:val="3EA16D22"/>
    <w:rsid w:val="3F09983B"/>
    <w:rsid w:val="3F09A89A"/>
    <w:rsid w:val="3F118778"/>
    <w:rsid w:val="3F286362"/>
    <w:rsid w:val="3F2F0078"/>
    <w:rsid w:val="3F436677"/>
    <w:rsid w:val="3F5044D8"/>
    <w:rsid w:val="3F5468ED"/>
    <w:rsid w:val="3F69095C"/>
    <w:rsid w:val="3F6AC67A"/>
    <w:rsid w:val="3F6D4647"/>
    <w:rsid w:val="3F6D63C3"/>
    <w:rsid w:val="3F8BCD27"/>
    <w:rsid w:val="3F9B866A"/>
    <w:rsid w:val="3F9CE6A3"/>
    <w:rsid w:val="3FA0F020"/>
    <w:rsid w:val="3FADA6EC"/>
    <w:rsid w:val="3FCEE447"/>
    <w:rsid w:val="3FDE9965"/>
    <w:rsid w:val="3FE435E5"/>
    <w:rsid w:val="3FEADF40"/>
    <w:rsid w:val="400DF1F4"/>
    <w:rsid w:val="40147FCC"/>
    <w:rsid w:val="40254B39"/>
    <w:rsid w:val="4031D165"/>
    <w:rsid w:val="4032D7AF"/>
    <w:rsid w:val="40558054"/>
    <w:rsid w:val="407BE81A"/>
    <w:rsid w:val="409F4494"/>
    <w:rsid w:val="40DFDEE8"/>
    <w:rsid w:val="40EE8A8B"/>
    <w:rsid w:val="410B53A1"/>
    <w:rsid w:val="41113827"/>
    <w:rsid w:val="41261637"/>
    <w:rsid w:val="4126202F"/>
    <w:rsid w:val="413D379C"/>
    <w:rsid w:val="413DBF5E"/>
    <w:rsid w:val="413F9CE9"/>
    <w:rsid w:val="41561DB3"/>
    <w:rsid w:val="415AB5D5"/>
    <w:rsid w:val="416EA301"/>
    <w:rsid w:val="4175C60A"/>
    <w:rsid w:val="41874313"/>
    <w:rsid w:val="418B5A9A"/>
    <w:rsid w:val="418E72B5"/>
    <w:rsid w:val="41935EF2"/>
    <w:rsid w:val="41A3113B"/>
    <w:rsid w:val="41C07411"/>
    <w:rsid w:val="41D57BCA"/>
    <w:rsid w:val="41E070F7"/>
    <w:rsid w:val="41E4E980"/>
    <w:rsid w:val="41E6A5A8"/>
    <w:rsid w:val="42069C1E"/>
    <w:rsid w:val="420D1CAB"/>
    <w:rsid w:val="421588A2"/>
    <w:rsid w:val="4219B796"/>
    <w:rsid w:val="421BDF5A"/>
    <w:rsid w:val="422486D3"/>
    <w:rsid w:val="422E9C9C"/>
    <w:rsid w:val="423C3D64"/>
    <w:rsid w:val="424F1C5E"/>
    <w:rsid w:val="425C1462"/>
    <w:rsid w:val="4285E8E3"/>
    <w:rsid w:val="42AD17A7"/>
    <w:rsid w:val="42AE49D8"/>
    <w:rsid w:val="42EA915D"/>
    <w:rsid w:val="42FEAA12"/>
    <w:rsid w:val="430D2129"/>
    <w:rsid w:val="430D3CCF"/>
    <w:rsid w:val="43427697"/>
    <w:rsid w:val="435D6CEE"/>
    <w:rsid w:val="435E2B10"/>
    <w:rsid w:val="437425D1"/>
    <w:rsid w:val="437832D0"/>
    <w:rsid w:val="43A84757"/>
    <w:rsid w:val="43AD7C90"/>
    <w:rsid w:val="43B6FE34"/>
    <w:rsid w:val="43C2B125"/>
    <w:rsid w:val="43CAA8A5"/>
    <w:rsid w:val="43CAB0C8"/>
    <w:rsid w:val="43DA8ECB"/>
    <w:rsid w:val="43E83E66"/>
    <w:rsid w:val="43EBBBBC"/>
    <w:rsid w:val="43F0FD2D"/>
    <w:rsid w:val="4408754D"/>
    <w:rsid w:val="441035AE"/>
    <w:rsid w:val="4450FA0D"/>
    <w:rsid w:val="445D075A"/>
    <w:rsid w:val="44678F77"/>
    <w:rsid w:val="44724590"/>
    <w:rsid w:val="44856F4D"/>
    <w:rsid w:val="44A7395E"/>
    <w:rsid w:val="44ABCB11"/>
    <w:rsid w:val="44AD3639"/>
    <w:rsid w:val="44C26E36"/>
    <w:rsid w:val="44C2EF68"/>
    <w:rsid w:val="44D56DAB"/>
    <w:rsid w:val="44E47151"/>
    <w:rsid w:val="44F04F45"/>
    <w:rsid w:val="44FB6C03"/>
    <w:rsid w:val="45065B48"/>
    <w:rsid w:val="450BC167"/>
    <w:rsid w:val="450DD7F3"/>
    <w:rsid w:val="451B0AFD"/>
    <w:rsid w:val="4521F0D7"/>
    <w:rsid w:val="4539558A"/>
    <w:rsid w:val="454F5B8B"/>
    <w:rsid w:val="456611EA"/>
    <w:rsid w:val="459661D1"/>
    <w:rsid w:val="45B3657D"/>
    <w:rsid w:val="45C5A3F4"/>
    <w:rsid w:val="45D50EE0"/>
    <w:rsid w:val="45DF5AF4"/>
    <w:rsid w:val="46015E77"/>
    <w:rsid w:val="461E1B48"/>
    <w:rsid w:val="4630371F"/>
    <w:rsid w:val="465F3DA9"/>
    <w:rsid w:val="46604C33"/>
    <w:rsid w:val="467723E4"/>
    <w:rsid w:val="46778374"/>
    <w:rsid w:val="467CA027"/>
    <w:rsid w:val="4682D198"/>
    <w:rsid w:val="469A58A5"/>
    <w:rsid w:val="46A30231"/>
    <w:rsid w:val="46B1C075"/>
    <w:rsid w:val="46F6A9AF"/>
    <w:rsid w:val="4704A5F7"/>
    <w:rsid w:val="4705963C"/>
    <w:rsid w:val="470B2F28"/>
    <w:rsid w:val="471E68E8"/>
    <w:rsid w:val="4726DBD3"/>
    <w:rsid w:val="472D8C8E"/>
    <w:rsid w:val="475951D1"/>
    <w:rsid w:val="477BCFB5"/>
    <w:rsid w:val="47927F9F"/>
    <w:rsid w:val="479D9679"/>
    <w:rsid w:val="47C943EC"/>
    <w:rsid w:val="47F45624"/>
    <w:rsid w:val="4838DDC6"/>
    <w:rsid w:val="485763AF"/>
    <w:rsid w:val="48744C4C"/>
    <w:rsid w:val="4886406B"/>
    <w:rsid w:val="488918DA"/>
    <w:rsid w:val="488A4442"/>
    <w:rsid w:val="488A85FE"/>
    <w:rsid w:val="489809E8"/>
    <w:rsid w:val="489A461A"/>
    <w:rsid w:val="48A00BB0"/>
    <w:rsid w:val="48A0EE1A"/>
    <w:rsid w:val="48B1A215"/>
    <w:rsid w:val="48BD47EB"/>
    <w:rsid w:val="48BE185A"/>
    <w:rsid w:val="48C3A9C8"/>
    <w:rsid w:val="48C48E2C"/>
    <w:rsid w:val="48D53F65"/>
    <w:rsid w:val="48FD18D6"/>
    <w:rsid w:val="490B3156"/>
    <w:rsid w:val="49129E09"/>
    <w:rsid w:val="49160066"/>
    <w:rsid w:val="491C0C1F"/>
    <w:rsid w:val="495E8B8B"/>
    <w:rsid w:val="496FB6C9"/>
    <w:rsid w:val="49768EBE"/>
    <w:rsid w:val="49877036"/>
    <w:rsid w:val="49903712"/>
    <w:rsid w:val="49922C17"/>
    <w:rsid w:val="4998F45B"/>
    <w:rsid w:val="499C5C69"/>
    <w:rsid w:val="49A0581C"/>
    <w:rsid w:val="49B43389"/>
    <w:rsid w:val="49B4CFE1"/>
    <w:rsid w:val="49B7C77A"/>
    <w:rsid w:val="49B8FC3D"/>
    <w:rsid w:val="49C64C4D"/>
    <w:rsid w:val="49DECF57"/>
    <w:rsid w:val="49F2EBAB"/>
    <w:rsid w:val="49F8ADA4"/>
    <w:rsid w:val="4A024B1C"/>
    <w:rsid w:val="4A086726"/>
    <w:rsid w:val="4A10EA22"/>
    <w:rsid w:val="4A115C8E"/>
    <w:rsid w:val="4A3172E5"/>
    <w:rsid w:val="4A41F591"/>
    <w:rsid w:val="4A45A6FC"/>
    <w:rsid w:val="4A5CB71B"/>
    <w:rsid w:val="4A62958F"/>
    <w:rsid w:val="4A8A9769"/>
    <w:rsid w:val="4A9B4E9B"/>
    <w:rsid w:val="4AAF86A8"/>
    <w:rsid w:val="4ABECD6D"/>
    <w:rsid w:val="4ACAD7C7"/>
    <w:rsid w:val="4AD9D90A"/>
    <w:rsid w:val="4AEFA868"/>
    <w:rsid w:val="4B41019D"/>
    <w:rsid w:val="4B41767F"/>
    <w:rsid w:val="4B57D1EE"/>
    <w:rsid w:val="4B6AAF51"/>
    <w:rsid w:val="4B76511F"/>
    <w:rsid w:val="4B875E67"/>
    <w:rsid w:val="4BA08630"/>
    <w:rsid w:val="4BB7CDB2"/>
    <w:rsid w:val="4BC9AE7F"/>
    <w:rsid w:val="4BCEFDDB"/>
    <w:rsid w:val="4BDECB9B"/>
    <w:rsid w:val="4C113086"/>
    <w:rsid w:val="4C1B4D7D"/>
    <w:rsid w:val="4C1B8688"/>
    <w:rsid w:val="4C58BA20"/>
    <w:rsid w:val="4C7F7390"/>
    <w:rsid w:val="4CABDE71"/>
    <w:rsid w:val="4CB506DA"/>
    <w:rsid w:val="4CBEA0D6"/>
    <w:rsid w:val="4CC30C6D"/>
    <w:rsid w:val="4CD52324"/>
    <w:rsid w:val="4CD71388"/>
    <w:rsid w:val="4CD79660"/>
    <w:rsid w:val="4CDA6389"/>
    <w:rsid w:val="4CFEC266"/>
    <w:rsid w:val="4D0B9927"/>
    <w:rsid w:val="4D351FAF"/>
    <w:rsid w:val="4D40784C"/>
    <w:rsid w:val="4D5CF5DA"/>
    <w:rsid w:val="4D79DCD5"/>
    <w:rsid w:val="4D7B9942"/>
    <w:rsid w:val="4D821578"/>
    <w:rsid w:val="4D9352F9"/>
    <w:rsid w:val="4D97EA56"/>
    <w:rsid w:val="4DBEBD9F"/>
    <w:rsid w:val="4DCA6639"/>
    <w:rsid w:val="4DD63938"/>
    <w:rsid w:val="4DDB3E6E"/>
    <w:rsid w:val="4DE41A5B"/>
    <w:rsid w:val="4DE49A98"/>
    <w:rsid w:val="4DF8A30E"/>
    <w:rsid w:val="4DFDC1D8"/>
    <w:rsid w:val="4E0845A1"/>
    <w:rsid w:val="4E12CFBC"/>
    <w:rsid w:val="4E177B77"/>
    <w:rsid w:val="4E18B2C7"/>
    <w:rsid w:val="4E2E2BD7"/>
    <w:rsid w:val="4E2F425F"/>
    <w:rsid w:val="4E3AD40E"/>
    <w:rsid w:val="4E5F7086"/>
    <w:rsid w:val="4E66F95B"/>
    <w:rsid w:val="4E899285"/>
    <w:rsid w:val="4E8EBEBD"/>
    <w:rsid w:val="4E986C3B"/>
    <w:rsid w:val="4EBF028E"/>
    <w:rsid w:val="4EE9CBBE"/>
    <w:rsid w:val="4F04168E"/>
    <w:rsid w:val="4F0780BF"/>
    <w:rsid w:val="4F10D226"/>
    <w:rsid w:val="4F2C2C9E"/>
    <w:rsid w:val="4F2DB0AC"/>
    <w:rsid w:val="4F2E205D"/>
    <w:rsid w:val="4F3201C7"/>
    <w:rsid w:val="4F36010D"/>
    <w:rsid w:val="4F4C95F6"/>
    <w:rsid w:val="4F5132CC"/>
    <w:rsid w:val="4F520330"/>
    <w:rsid w:val="4F5358CD"/>
    <w:rsid w:val="4F5C0D84"/>
    <w:rsid w:val="4F5DF838"/>
    <w:rsid w:val="4F6A7938"/>
    <w:rsid w:val="4F70A995"/>
    <w:rsid w:val="4F94BD5C"/>
    <w:rsid w:val="4FA218C1"/>
    <w:rsid w:val="4FC29CC9"/>
    <w:rsid w:val="4FF4F14D"/>
    <w:rsid w:val="4FF9B41E"/>
    <w:rsid w:val="5002E968"/>
    <w:rsid w:val="502B7081"/>
    <w:rsid w:val="50428073"/>
    <w:rsid w:val="50445BDE"/>
    <w:rsid w:val="504BA8A2"/>
    <w:rsid w:val="505C7E9D"/>
    <w:rsid w:val="5061B0BB"/>
    <w:rsid w:val="5067BF06"/>
    <w:rsid w:val="50729CFC"/>
    <w:rsid w:val="50744460"/>
    <w:rsid w:val="50821878"/>
    <w:rsid w:val="5084289F"/>
    <w:rsid w:val="5098657B"/>
    <w:rsid w:val="509A2A51"/>
    <w:rsid w:val="50B84825"/>
    <w:rsid w:val="50DB1633"/>
    <w:rsid w:val="50E095A3"/>
    <w:rsid w:val="50E580DD"/>
    <w:rsid w:val="50E759AD"/>
    <w:rsid w:val="51124665"/>
    <w:rsid w:val="512C6EBD"/>
    <w:rsid w:val="512ECC21"/>
    <w:rsid w:val="51404F6C"/>
    <w:rsid w:val="515306F0"/>
    <w:rsid w:val="51554CCA"/>
    <w:rsid w:val="517F92D0"/>
    <w:rsid w:val="51D4B829"/>
    <w:rsid w:val="51D5869A"/>
    <w:rsid w:val="51E4EAFD"/>
    <w:rsid w:val="5217323A"/>
    <w:rsid w:val="521BC635"/>
    <w:rsid w:val="524077CC"/>
    <w:rsid w:val="5252E451"/>
    <w:rsid w:val="5253161B"/>
    <w:rsid w:val="5261A5D1"/>
    <w:rsid w:val="52819C3F"/>
    <w:rsid w:val="5296E064"/>
    <w:rsid w:val="5298740F"/>
    <w:rsid w:val="52A60D37"/>
    <w:rsid w:val="52C63450"/>
    <w:rsid w:val="52D08F1B"/>
    <w:rsid w:val="52DEA4A1"/>
    <w:rsid w:val="52E759B2"/>
    <w:rsid w:val="53001791"/>
    <w:rsid w:val="5303326D"/>
    <w:rsid w:val="5313495D"/>
    <w:rsid w:val="53281FEC"/>
    <w:rsid w:val="533105AA"/>
    <w:rsid w:val="5349F2BE"/>
    <w:rsid w:val="5354311A"/>
    <w:rsid w:val="53641AB3"/>
    <w:rsid w:val="536631A3"/>
    <w:rsid w:val="537CD4FA"/>
    <w:rsid w:val="5381E894"/>
    <w:rsid w:val="538D2869"/>
    <w:rsid w:val="53938A82"/>
    <w:rsid w:val="53BC9A30"/>
    <w:rsid w:val="53F615EC"/>
    <w:rsid w:val="53FF7E22"/>
    <w:rsid w:val="5423F4C6"/>
    <w:rsid w:val="5442DB99"/>
    <w:rsid w:val="54484FE7"/>
    <w:rsid w:val="544D074C"/>
    <w:rsid w:val="5453B53C"/>
    <w:rsid w:val="545A116C"/>
    <w:rsid w:val="546B8919"/>
    <w:rsid w:val="5475538A"/>
    <w:rsid w:val="5475C7CC"/>
    <w:rsid w:val="5483307A"/>
    <w:rsid w:val="54908729"/>
    <w:rsid w:val="549B8387"/>
    <w:rsid w:val="54A3F3FA"/>
    <w:rsid w:val="54B337C9"/>
    <w:rsid w:val="54B61765"/>
    <w:rsid w:val="54C1D6B9"/>
    <w:rsid w:val="54CBC396"/>
    <w:rsid w:val="54CE8DEA"/>
    <w:rsid w:val="54DAC286"/>
    <w:rsid w:val="54E1FA83"/>
    <w:rsid w:val="54E302B6"/>
    <w:rsid w:val="550EBB6A"/>
    <w:rsid w:val="55292C47"/>
    <w:rsid w:val="553DD819"/>
    <w:rsid w:val="5544F6F3"/>
    <w:rsid w:val="55456A6C"/>
    <w:rsid w:val="554D79DD"/>
    <w:rsid w:val="55627ADA"/>
    <w:rsid w:val="55779294"/>
    <w:rsid w:val="55A8FD4B"/>
    <w:rsid w:val="55B00E8F"/>
    <w:rsid w:val="55C60EE5"/>
    <w:rsid w:val="55DEB025"/>
    <w:rsid w:val="55E8A6B0"/>
    <w:rsid w:val="5606D9A2"/>
    <w:rsid w:val="56199051"/>
    <w:rsid w:val="561ABCBD"/>
    <w:rsid w:val="562E98E2"/>
    <w:rsid w:val="5635B04D"/>
    <w:rsid w:val="56454FB3"/>
    <w:rsid w:val="564C3438"/>
    <w:rsid w:val="564E2453"/>
    <w:rsid w:val="56527BC1"/>
    <w:rsid w:val="5652B68D"/>
    <w:rsid w:val="5653ACC4"/>
    <w:rsid w:val="5653FED7"/>
    <w:rsid w:val="566B2B0F"/>
    <w:rsid w:val="568221B4"/>
    <w:rsid w:val="569859BA"/>
    <w:rsid w:val="56A1E2DE"/>
    <w:rsid w:val="56ABCBE1"/>
    <w:rsid w:val="56B151B0"/>
    <w:rsid w:val="56D3F5DA"/>
    <w:rsid w:val="56F92EF8"/>
    <w:rsid w:val="570CC2AF"/>
    <w:rsid w:val="5724B2ED"/>
    <w:rsid w:val="572ACB50"/>
    <w:rsid w:val="57361D85"/>
    <w:rsid w:val="5740E2BB"/>
    <w:rsid w:val="575AB148"/>
    <w:rsid w:val="575B1F89"/>
    <w:rsid w:val="5765D460"/>
    <w:rsid w:val="577236B2"/>
    <w:rsid w:val="577AD3EA"/>
    <w:rsid w:val="577B7FB6"/>
    <w:rsid w:val="577D2EE2"/>
    <w:rsid w:val="578F483C"/>
    <w:rsid w:val="5797DF74"/>
    <w:rsid w:val="57AB6A9C"/>
    <w:rsid w:val="57AF8A6A"/>
    <w:rsid w:val="57E4FC69"/>
    <w:rsid w:val="57EA0A99"/>
    <w:rsid w:val="57FD9452"/>
    <w:rsid w:val="5807B1BD"/>
    <w:rsid w:val="58102B31"/>
    <w:rsid w:val="5823F9CF"/>
    <w:rsid w:val="585CFAF5"/>
    <w:rsid w:val="586DFA11"/>
    <w:rsid w:val="586E1F7F"/>
    <w:rsid w:val="58843FF8"/>
    <w:rsid w:val="58A6F850"/>
    <w:rsid w:val="58BEAFAD"/>
    <w:rsid w:val="58C2ECD4"/>
    <w:rsid w:val="58E00EA9"/>
    <w:rsid w:val="58F3174A"/>
    <w:rsid w:val="58F86679"/>
    <w:rsid w:val="5910FC62"/>
    <w:rsid w:val="5912C168"/>
    <w:rsid w:val="5918B9B9"/>
    <w:rsid w:val="591AA575"/>
    <w:rsid w:val="593BECB7"/>
    <w:rsid w:val="5941756A"/>
    <w:rsid w:val="594B9FE7"/>
    <w:rsid w:val="595DDCBF"/>
    <w:rsid w:val="596FA490"/>
    <w:rsid w:val="5981461B"/>
    <w:rsid w:val="598E6E4B"/>
    <w:rsid w:val="59951C40"/>
    <w:rsid w:val="599C3BD9"/>
    <w:rsid w:val="59BA90F1"/>
    <w:rsid w:val="59BA92B3"/>
    <w:rsid w:val="59D29032"/>
    <w:rsid w:val="59FD2E19"/>
    <w:rsid w:val="5A0BF7F9"/>
    <w:rsid w:val="5A5033F8"/>
    <w:rsid w:val="5A510F5D"/>
    <w:rsid w:val="5A52805D"/>
    <w:rsid w:val="5A60408A"/>
    <w:rsid w:val="5A767F15"/>
    <w:rsid w:val="5A7D6954"/>
    <w:rsid w:val="5A88C762"/>
    <w:rsid w:val="5A91698C"/>
    <w:rsid w:val="5A9E196E"/>
    <w:rsid w:val="5AA200EB"/>
    <w:rsid w:val="5AA2CB4E"/>
    <w:rsid w:val="5AAEE5B2"/>
    <w:rsid w:val="5AB01699"/>
    <w:rsid w:val="5AB418A4"/>
    <w:rsid w:val="5AC33467"/>
    <w:rsid w:val="5AD632AE"/>
    <w:rsid w:val="5AD75EAD"/>
    <w:rsid w:val="5AE482A5"/>
    <w:rsid w:val="5AF66652"/>
    <w:rsid w:val="5AF9C29F"/>
    <w:rsid w:val="5B10C8BB"/>
    <w:rsid w:val="5B135531"/>
    <w:rsid w:val="5B15D9EF"/>
    <w:rsid w:val="5B30D0BF"/>
    <w:rsid w:val="5B3A4DB0"/>
    <w:rsid w:val="5B3C5E3A"/>
    <w:rsid w:val="5B4D9086"/>
    <w:rsid w:val="5B576BCD"/>
    <w:rsid w:val="5B5F94BE"/>
    <w:rsid w:val="5B62B35E"/>
    <w:rsid w:val="5B6EC37E"/>
    <w:rsid w:val="5B7C8C2C"/>
    <w:rsid w:val="5B7CEFD2"/>
    <w:rsid w:val="5BB752A4"/>
    <w:rsid w:val="5BBEA678"/>
    <w:rsid w:val="5BC069BD"/>
    <w:rsid w:val="5BC92432"/>
    <w:rsid w:val="5BD1EA79"/>
    <w:rsid w:val="5BEEDC23"/>
    <w:rsid w:val="5BF7397C"/>
    <w:rsid w:val="5C026005"/>
    <w:rsid w:val="5C0FFA63"/>
    <w:rsid w:val="5C2ED5E1"/>
    <w:rsid w:val="5C3D5BA8"/>
    <w:rsid w:val="5C4B35FD"/>
    <w:rsid w:val="5C634E17"/>
    <w:rsid w:val="5C69B3A5"/>
    <w:rsid w:val="5C95A74C"/>
    <w:rsid w:val="5CA4C050"/>
    <w:rsid w:val="5CB32CE0"/>
    <w:rsid w:val="5CB33DC6"/>
    <w:rsid w:val="5CBD9A7D"/>
    <w:rsid w:val="5CBE389D"/>
    <w:rsid w:val="5CD9B3C5"/>
    <w:rsid w:val="5CDEE2DE"/>
    <w:rsid w:val="5CDFF91D"/>
    <w:rsid w:val="5CE73166"/>
    <w:rsid w:val="5D116ABD"/>
    <w:rsid w:val="5D1F31E7"/>
    <w:rsid w:val="5D3076DA"/>
    <w:rsid w:val="5D368EF1"/>
    <w:rsid w:val="5D6327B8"/>
    <w:rsid w:val="5D6D39EE"/>
    <w:rsid w:val="5D6F342F"/>
    <w:rsid w:val="5D7E4DCC"/>
    <w:rsid w:val="5D8CBE38"/>
    <w:rsid w:val="5D8F89DE"/>
    <w:rsid w:val="5D90CFDB"/>
    <w:rsid w:val="5D982154"/>
    <w:rsid w:val="5D9F8020"/>
    <w:rsid w:val="5DB7407B"/>
    <w:rsid w:val="5DC826A2"/>
    <w:rsid w:val="5DDFF493"/>
    <w:rsid w:val="5DEB16BD"/>
    <w:rsid w:val="5DF8F217"/>
    <w:rsid w:val="5E13AFB8"/>
    <w:rsid w:val="5E19F401"/>
    <w:rsid w:val="5E4A3017"/>
    <w:rsid w:val="5E71F0C6"/>
    <w:rsid w:val="5E7A5105"/>
    <w:rsid w:val="5E92B0AB"/>
    <w:rsid w:val="5E9A37EC"/>
    <w:rsid w:val="5E9BF893"/>
    <w:rsid w:val="5EA012CA"/>
    <w:rsid w:val="5EA20FE6"/>
    <w:rsid w:val="5EB7F364"/>
    <w:rsid w:val="5EC6202F"/>
    <w:rsid w:val="5ECDC7EF"/>
    <w:rsid w:val="5ECFEA4D"/>
    <w:rsid w:val="5ED30E47"/>
    <w:rsid w:val="5EF2AF93"/>
    <w:rsid w:val="5EF95F33"/>
    <w:rsid w:val="5EF98CBA"/>
    <w:rsid w:val="5F0E7376"/>
    <w:rsid w:val="5F16D617"/>
    <w:rsid w:val="5F1B6AAE"/>
    <w:rsid w:val="5F314AA0"/>
    <w:rsid w:val="5F7544C1"/>
    <w:rsid w:val="5F773512"/>
    <w:rsid w:val="5F7A9F76"/>
    <w:rsid w:val="5FAD13ED"/>
    <w:rsid w:val="5FB5604C"/>
    <w:rsid w:val="5FCD14C5"/>
    <w:rsid w:val="5FF8E923"/>
    <w:rsid w:val="600374E3"/>
    <w:rsid w:val="601724B6"/>
    <w:rsid w:val="601986A5"/>
    <w:rsid w:val="601B82D5"/>
    <w:rsid w:val="601DDA80"/>
    <w:rsid w:val="60228720"/>
    <w:rsid w:val="60323A9F"/>
    <w:rsid w:val="60364C1C"/>
    <w:rsid w:val="6036CBFF"/>
    <w:rsid w:val="6044354E"/>
    <w:rsid w:val="6068B177"/>
    <w:rsid w:val="606C3645"/>
    <w:rsid w:val="606D35A6"/>
    <w:rsid w:val="606F7135"/>
    <w:rsid w:val="6081DD6F"/>
    <w:rsid w:val="608C3211"/>
    <w:rsid w:val="6099464B"/>
    <w:rsid w:val="60B39C5F"/>
    <w:rsid w:val="60D98FC3"/>
    <w:rsid w:val="60E76D85"/>
    <w:rsid w:val="60E86E97"/>
    <w:rsid w:val="60EBC073"/>
    <w:rsid w:val="60F51BB6"/>
    <w:rsid w:val="60FD13DC"/>
    <w:rsid w:val="610B1769"/>
    <w:rsid w:val="610D7257"/>
    <w:rsid w:val="61102417"/>
    <w:rsid w:val="611B6246"/>
    <w:rsid w:val="612BCCBE"/>
    <w:rsid w:val="6137CEF5"/>
    <w:rsid w:val="6147727E"/>
    <w:rsid w:val="614C3FB8"/>
    <w:rsid w:val="6164F3A8"/>
    <w:rsid w:val="61697C19"/>
    <w:rsid w:val="6179ECEB"/>
    <w:rsid w:val="61930E43"/>
    <w:rsid w:val="61946A92"/>
    <w:rsid w:val="61E02B46"/>
    <w:rsid w:val="61E9C4A1"/>
    <w:rsid w:val="61F05D2A"/>
    <w:rsid w:val="62049B9C"/>
    <w:rsid w:val="620B1D42"/>
    <w:rsid w:val="620E90D9"/>
    <w:rsid w:val="621BA265"/>
    <w:rsid w:val="621EFF7A"/>
    <w:rsid w:val="62270059"/>
    <w:rsid w:val="622BE8E0"/>
    <w:rsid w:val="622EEE08"/>
    <w:rsid w:val="62331D3D"/>
    <w:rsid w:val="623C1549"/>
    <w:rsid w:val="6258CBD3"/>
    <w:rsid w:val="6295DBA4"/>
    <w:rsid w:val="629687A3"/>
    <w:rsid w:val="62A912F5"/>
    <w:rsid w:val="62AA337B"/>
    <w:rsid w:val="62AD8B85"/>
    <w:rsid w:val="62B1A38E"/>
    <w:rsid w:val="62BEEC61"/>
    <w:rsid w:val="62C382A7"/>
    <w:rsid w:val="62D452F9"/>
    <w:rsid w:val="62DAF23A"/>
    <w:rsid w:val="62E8F168"/>
    <w:rsid w:val="62EC3CCA"/>
    <w:rsid w:val="62F334B3"/>
    <w:rsid w:val="630879BF"/>
    <w:rsid w:val="630BEFA6"/>
    <w:rsid w:val="630ED98F"/>
    <w:rsid w:val="632C6C1E"/>
    <w:rsid w:val="63414D2A"/>
    <w:rsid w:val="63563D0B"/>
    <w:rsid w:val="63579284"/>
    <w:rsid w:val="635CFF83"/>
    <w:rsid w:val="6360F9EF"/>
    <w:rsid w:val="636715BD"/>
    <w:rsid w:val="637A1D3F"/>
    <w:rsid w:val="63A0EEF1"/>
    <w:rsid w:val="63A1169A"/>
    <w:rsid w:val="63A2F656"/>
    <w:rsid w:val="63AA3F16"/>
    <w:rsid w:val="63B60256"/>
    <w:rsid w:val="63BF1340"/>
    <w:rsid w:val="63C2B1E0"/>
    <w:rsid w:val="63C40F23"/>
    <w:rsid w:val="63CCE955"/>
    <w:rsid w:val="63D0D6B6"/>
    <w:rsid w:val="63E07D50"/>
    <w:rsid w:val="63F0D21C"/>
    <w:rsid w:val="63F2CE5E"/>
    <w:rsid w:val="63F52975"/>
    <w:rsid w:val="63FF7220"/>
    <w:rsid w:val="64133F1F"/>
    <w:rsid w:val="64161D2A"/>
    <w:rsid w:val="64286231"/>
    <w:rsid w:val="644824B6"/>
    <w:rsid w:val="6463F1C5"/>
    <w:rsid w:val="64BA3346"/>
    <w:rsid w:val="64C784F9"/>
    <w:rsid w:val="64CF32C0"/>
    <w:rsid w:val="64D5B498"/>
    <w:rsid w:val="64D90C33"/>
    <w:rsid w:val="64F6D80B"/>
    <w:rsid w:val="64FB549A"/>
    <w:rsid w:val="6509655A"/>
    <w:rsid w:val="650BE5B7"/>
    <w:rsid w:val="65288313"/>
    <w:rsid w:val="65381934"/>
    <w:rsid w:val="65397011"/>
    <w:rsid w:val="654AA8C9"/>
    <w:rsid w:val="65588749"/>
    <w:rsid w:val="655C9844"/>
    <w:rsid w:val="65605122"/>
    <w:rsid w:val="657750AE"/>
    <w:rsid w:val="6589200C"/>
    <w:rsid w:val="6590A6FF"/>
    <w:rsid w:val="6592F930"/>
    <w:rsid w:val="65A1B25C"/>
    <w:rsid w:val="65BB8821"/>
    <w:rsid w:val="65C4ED98"/>
    <w:rsid w:val="65C8882D"/>
    <w:rsid w:val="65E4EB44"/>
    <w:rsid w:val="660660F9"/>
    <w:rsid w:val="660AAC3B"/>
    <w:rsid w:val="6611B69C"/>
    <w:rsid w:val="6627B948"/>
    <w:rsid w:val="664AFF33"/>
    <w:rsid w:val="6669BAE6"/>
    <w:rsid w:val="666C94DE"/>
    <w:rsid w:val="666E13CE"/>
    <w:rsid w:val="6671162E"/>
    <w:rsid w:val="667E3A05"/>
    <w:rsid w:val="667FF36F"/>
    <w:rsid w:val="6682FB94"/>
    <w:rsid w:val="668401AF"/>
    <w:rsid w:val="66912357"/>
    <w:rsid w:val="66AA5A36"/>
    <w:rsid w:val="66AC70E9"/>
    <w:rsid w:val="66ACCD23"/>
    <w:rsid w:val="66B9D44B"/>
    <w:rsid w:val="66D8B8C0"/>
    <w:rsid w:val="66DAA7A0"/>
    <w:rsid w:val="66FE91E9"/>
    <w:rsid w:val="6703C47B"/>
    <w:rsid w:val="67115C0B"/>
    <w:rsid w:val="6736091D"/>
    <w:rsid w:val="673EE3AE"/>
    <w:rsid w:val="6744F336"/>
    <w:rsid w:val="679A7AC5"/>
    <w:rsid w:val="67A66E1C"/>
    <w:rsid w:val="67C0F34E"/>
    <w:rsid w:val="67E02F46"/>
    <w:rsid w:val="67E66FA0"/>
    <w:rsid w:val="67FC3CF1"/>
    <w:rsid w:val="680484F5"/>
    <w:rsid w:val="680A5B76"/>
    <w:rsid w:val="682311A3"/>
    <w:rsid w:val="684610A8"/>
    <w:rsid w:val="6851421B"/>
    <w:rsid w:val="685D859A"/>
    <w:rsid w:val="686AC689"/>
    <w:rsid w:val="68781980"/>
    <w:rsid w:val="688CA67B"/>
    <w:rsid w:val="68974BFE"/>
    <w:rsid w:val="68A91113"/>
    <w:rsid w:val="68BC1BB9"/>
    <w:rsid w:val="68C290CF"/>
    <w:rsid w:val="68F3DF8B"/>
    <w:rsid w:val="68F7E9C4"/>
    <w:rsid w:val="6919DA46"/>
    <w:rsid w:val="693152F7"/>
    <w:rsid w:val="69348C4A"/>
    <w:rsid w:val="69377D95"/>
    <w:rsid w:val="69395EB0"/>
    <w:rsid w:val="694472DD"/>
    <w:rsid w:val="69496BBE"/>
    <w:rsid w:val="694B6AD9"/>
    <w:rsid w:val="698C29AF"/>
    <w:rsid w:val="699E44C1"/>
    <w:rsid w:val="69A20879"/>
    <w:rsid w:val="69C5AE57"/>
    <w:rsid w:val="69D1A0DE"/>
    <w:rsid w:val="69DC9A14"/>
    <w:rsid w:val="6A011D44"/>
    <w:rsid w:val="6A041E86"/>
    <w:rsid w:val="6A0A8D7C"/>
    <w:rsid w:val="6A25E357"/>
    <w:rsid w:val="6A320ACE"/>
    <w:rsid w:val="6A6B79BD"/>
    <w:rsid w:val="6A764C38"/>
    <w:rsid w:val="6A83D15C"/>
    <w:rsid w:val="6AA07ABF"/>
    <w:rsid w:val="6AA4CD73"/>
    <w:rsid w:val="6AB67DA3"/>
    <w:rsid w:val="6AD9C87C"/>
    <w:rsid w:val="6ADBBC60"/>
    <w:rsid w:val="6AEB6E6A"/>
    <w:rsid w:val="6AEDD97D"/>
    <w:rsid w:val="6AFB1EE7"/>
    <w:rsid w:val="6B0C34AB"/>
    <w:rsid w:val="6B1318AA"/>
    <w:rsid w:val="6B197E21"/>
    <w:rsid w:val="6B251FCE"/>
    <w:rsid w:val="6B863156"/>
    <w:rsid w:val="6BAD8097"/>
    <w:rsid w:val="6BCFD08A"/>
    <w:rsid w:val="6BD0FE90"/>
    <w:rsid w:val="6BEAA7B2"/>
    <w:rsid w:val="6BF53249"/>
    <w:rsid w:val="6BFE94D1"/>
    <w:rsid w:val="6BFF5041"/>
    <w:rsid w:val="6C219DF8"/>
    <w:rsid w:val="6C23816A"/>
    <w:rsid w:val="6C41170D"/>
    <w:rsid w:val="6C411C99"/>
    <w:rsid w:val="6C45EDB1"/>
    <w:rsid w:val="6C51BF9F"/>
    <w:rsid w:val="6C561FCD"/>
    <w:rsid w:val="6C5CB527"/>
    <w:rsid w:val="6C6D4AD7"/>
    <w:rsid w:val="6C775849"/>
    <w:rsid w:val="6C781371"/>
    <w:rsid w:val="6C81CEFB"/>
    <w:rsid w:val="6C9A6265"/>
    <w:rsid w:val="6CADA0BF"/>
    <w:rsid w:val="6CBE4D08"/>
    <w:rsid w:val="6CBF49F3"/>
    <w:rsid w:val="6CC9BFEA"/>
    <w:rsid w:val="6CD6B8C3"/>
    <w:rsid w:val="6CDCA5BF"/>
    <w:rsid w:val="6CE36BD9"/>
    <w:rsid w:val="6CE78B7E"/>
    <w:rsid w:val="6CF16F70"/>
    <w:rsid w:val="6CF483FA"/>
    <w:rsid w:val="6CF6020E"/>
    <w:rsid w:val="6CF6F296"/>
    <w:rsid w:val="6CFF9D0A"/>
    <w:rsid w:val="6D04F84D"/>
    <w:rsid w:val="6D1100B6"/>
    <w:rsid w:val="6D35033A"/>
    <w:rsid w:val="6D3EFC90"/>
    <w:rsid w:val="6D516881"/>
    <w:rsid w:val="6D5DE98E"/>
    <w:rsid w:val="6DAFA5D9"/>
    <w:rsid w:val="6DBA68E5"/>
    <w:rsid w:val="6DD3EB37"/>
    <w:rsid w:val="6DF32BE1"/>
    <w:rsid w:val="6DFCCCBB"/>
    <w:rsid w:val="6E07C38C"/>
    <w:rsid w:val="6E105925"/>
    <w:rsid w:val="6E1DCEA7"/>
    <w:rsid w:val="6E1DEAC5"/>
    <w:rsid w:val="6E20B652"/>
    <w:rsid w:val="6E21D0B8"/>
    <w:rsid w:val="6E2B03ED"/>
    <w:rsid w:val="6E563B78"/>
    <w:rsid w:val="6E692643"/>
    <w:rsid w:val="6E896532"/>
    <w:rsid w:val="6E96AD42"/>
    <w:rsid w:val="6EA63065"/>
    <w:rsid w:val="6EADED15"/>
    <w:rsid w:val="6EBC377E"/>
    <w:rsid w:val="6EC4E843"/>
    <w:rsid w:val="6EC9413D"/>
    <w:rsid w:val="6ECD3ADD"/>
    <w:rsid w:val="6ED85682"/>
    <w:rsid w:val="6EEF4060"/>
    <w:rsid w:val="6F348AB7"/>
    <w:rsid w:val="6F52717F"/>
    <w:rsid w:val="6F5E1F6D"/>
    <w:rsid w:val="6F650AA3"/>
    <w:rsid w:val="6F8BDF0E"/>
    <w:rsid w:val="6F912791"/>
    <w:rsid w:val="6F9CC626"/>
    <w:rsid w:val="6FAFF3C0"/>
    <w:rsid w:val="6FD164B0"/>
    <w:rsid w:val="6FDA724A"/>
    <w:rsid w:val="6FE3E3C4"/>
    <w:rsid w:val="6FF404E1"/>
    <w:rsid w:val="6FF5BB38"/>
    <w:rsid w:val="700ACBC0"/>
    <w:rsid w:val="701733D3"/>
    <w:rsid w:val="70310EEE"/>
    <w:rsid w:val="703C07A4"/>
    <w:rsid w:val="7047E666"/>
    <w:rsid w:val="704C061C"/>
    <w:rsid w:val="706FC7EB"/>
    <w:rsid w:val="7072A6CA"/>
    <w:rsid w:val="7083A8F6"/>
    <w:rsid w:val="7084A758"/>
    <w:rsid w:val="708E557B"/>
    <w:rsid w:val="709E2F62"/>
    <w:rsid w:val="709F00B0"/>
    <w:rsid w:val="70ADD4F7"/>
    <w:rsid w:val="70AF3B7F"/>
    <w:rsid w:val="70AF573D"/>
    <w:rsid w:val="70D61BEA"/>
    <w:rsid w:val="70DFB641"/>
    <w:rsid w:val="70E277D9"/>
    <w:rsid w:val="70E889D8"/>
    <w:rsid w:val="70FB7986"/>
    <w:rsid w:val="7103BD10"/>
    <w:rsid w:val="7105FA0B"/>
    <w:rsid w:val="710C9EBF"/>
    <w:rsid w:val="712827D0"/>
    <w:rsid w:val="71342BDC"/>
    <w:rsid w:val="713CEA3D"/>
    <w:rsid w:val="714F4F7D"/>
    <w:rsid w:val="7155F0CF"/>
    <w:rsid w:val="7163AB6D"/>
    <w:rsid w:val="717EF113"/>
    <w:rsid w:val="7192CAE9"/>
    <w:rsid w:val="71A59AE0"/>
    <w:rsid w:val="71A5AED5"/>
    <w:rsid w:val="71A64291"/>
    <w:rsid w:val="71AC5AA9"/>
    <w:rsid w:val="71C7BE4D"/>
    <w:rsid w:val="71ED4653"/>
    <w:rsid w:val="71FF3DE3"/>
    <w:rsid w:val="7204A5FD"/>
    <w:rsid w:val="7204D512"/>
    <w:rsid w:val="721B9E40"/>
    <w:rsid w:val="72203456"/>
    <w:rsid w:val="7249B3BA"/>
    <w:rsid w:val="724C53AE"/>
    <w:rsid w:val="7254DB8B"/>
    <w:rsid w:val="72675B2F"/>
    <w:rsid w:val="726D7522"/>
    <w:rsid w:val="72725C44"/>
    <w:rsid w:val="7276A1DD"/>
    <w:rsid w:val="72C01CA5"/>
    <w:rsid w:val="72C0513C"/>
    <w:rsid w:val="72CD2612"/>
    <w:rsid w:val="72CE89AA"/>
    <w:rsid w:val="72D65702"/>
    <w:rsid w:val="72D6E81F"/>
    <w:rsid w:val="72F4ABCE"/>
    <w:rsid w:val="730746F2"/>
    <w:rsid w:val="7318824F"/>
    <w:rsid w:val="7324E457"/>
    <w:rsid w:val="732D092D"/>
    <w:rsid w:val="733E0066"/>
    <w:rsid w:val="7364D891"/>
    <w:rsid w:val="736CCB24"/>
    <w:rsid w:val="737E15A7"/>
    <w:rsid w:val="738262B6"/>
    <w:rsid w:val="7382F063"/>
    <w:rsid w:val="73C5047B"/>
    <w:rsid w:val="73CA334F"/>
    <w:rsid w:val="73DB008A"/>
    <w:rsid w:val="73E8126C"/>
    <w:rsid w:val="73EF330E"/>
    <w:rsid w:val="740A7710"/>
    <w:rsid w:val="740CF78A"/>
    <w:rsid w:val="74140889"/>
    <w:rsid w:val="741BFCB7"/>
    <w:rsid w:val="742A23FE"/>
    <w:rsid w:val="74312EAC"/>
    <w:rsid w:val="7447A0CF"/>
    <w:rsid w:val="7449484A"/>
    <w:rsid w:val="745B552B"/>
    <w:rsid w:val="74618CF9"/>
    <w:rsid w:val="746E0FBF"/>
    <w:rsid w:val="746E7FA4"/>
    <w:rsid w:val="7471DAE9"/>
    <w:rsid w:val="748BEFCE"/>
    <w:rsid w:val="7491C6C8"/>
    <w:rsid w:val="74B70096"/>
    <w:rsid w:val="74BAEF0F"/>
    <w:rsid w:val="74DF7A4D"/>
    <w:rsid w:val="74E59B2D"/>
    <w:rsid w:val="74E5F452"/>
    <w:rsid w:val="74EFC5B4"/>
    <w:rsid w:val="75130712"/>
    <w:rsid w:val="7527E210"/>
    <w:rsid w:val="752D85DF"/>
    <w:rsid w:val="753789FF"/>
    <w:rsid w:val="753C0D41"/>
    <w:rsid w:val="75414A07"/>
    <w:rsid w:val="75470ABE"/>
    <w:rsid w:val="755EE622"/>
    <w:rsid w:val="7561BFAB"/>
    <w:rsid w:val="757CADA8"/>
    <w:rsid w:val="75858924"/>
    <w:rsid w:val="759A4024"/>
    <w:rsid w:val="75BF341E"/>
    <w:rsid w:val="75E82F1B"/>
    <w:rsid w:val="761E79DF"/>
    <w:rsid w:val="762E2B94"/>
    <w:rsid w:val="764C4535"/>
    <w:rsid w:val="765335FB"/>
    <w:rsid w:val="7667755B"/>
    <w:rsid w:val="766A172A"/>
    <w:rsid w:val="766CDDB9"/>
    <w:rsid w:val="767EA6CA"/>
    <w:rsid w:val="769948BD"/>
    <w:rsid w:val="76A35E8C"/>
    <w:rsid w:val="76A74DB2"/>
    <w:rsid w:val="76ACBF27"/>
    <w:rsid w:val="76B164DB"/>
    <w:rsid w:val="76C55682"/>
    <w:rsid w:val="76C67B53"/>
    <w:rsid w:val="76C7533F"/>
    <w:rsid w:val="76DB9461"/>
    <w:rsid w:val="76E701E2"/>
    <w:rsid w:val="76E7B765"/>
    <w:rsid w:val="7701C325"/>
    <w:rsid w:val="7709A990"/>
    <w:rsid w:val="7719EA06"/>
    <w:rsid w:val="772D65F9"/>
    <w:rsid w:val="773C3E15"/>
    <w:rsid w:val="7749930F"/>
    <w:rsid w:val="774B7CBB"/>
    <w:rsid w:val="7769B40B"/>
    <w:rsid w:val="776B7FD1"/>
    <w:rsid w:val="777C926E"/>
    <w:rsid w:val="779CBEC1"/>
    <w:rsid w:val="779CD262"/>
    <w:rsid w:val="779D2E55"/>
    <w:rsid w:val="77C2BDF2"/>
    <w:rsid w:val="77C4B3BB"/>
    <w:rsid w:val="77C551AB"/>
    <w:rsid w:val="77DEE609"/>
    <w:rsid w:val="7802ECD6"/>
    <w:rsid w:val="78201BEC"/>
    <w:rsid w:val="78208125"/>
    <w:rsid w:val="782C56E8"/>
    <w:rsid w:val="784187FB"/>
    <w:rsid w:val="78634B8E"/>
    <w:rsid w:val="786860A4"/>
    <w:rsid w:val="7894D245"/>
    <w:rsid w:val="78AECACC"/>
    <w:rsid w:val="78C223ED"/>
    <w:rsid w:val="78F01EB7"/>
    <w:rsid w:val="79225C82"/>
    <w:rsid w:val="792E1E52"/>
    <w:rsid w:val="793EEAF6"/>
    <w:rsid w:val="7941FE6B"/>
    <w:rsid w:val="79423D25"/>
    <w:rsid w:val="79493113"/>
    <w:rsid w:val="794C4062"/>
    <w:rsid w:val="794E715F"/>
    <w:rsid w:val="795DAC97"/>
    <w:rsid w:val="79634790"/>
    <w:rsid w:val="79651D05"/>
    <w:rsid w:val="7987ED89"/>
    <w:rsid w:val="79996B1E"/>
    <w:rsid w:val="79A07A5C"/>
    <w:rsid w:val="79B8A4D6"/>
    <w:rsid w:val="79BA7086"/>
    <w:rsid w:val="79BB5461"/>
    <w:rsid w:val="79C32D0E"/>
    <w:rsid w:val="79D5D725"/>
    <w:rsid w:val="79E93A60"/>
    <w:rsid w:val="79F720C3"/>
    <w:rsid w:val="79FE0CBE"/>
    <w:rsid w:val="7A20FF9E"/>
    <w:rsid w:val="7A234AF4"/>
    <w:rsid w:val="7A26FAF5"/>
    <w:rsid w:val="7A2E0078"/>
    <w:rsid w:val="7A2F18DF"/>
    <w:rsid w:val="7A318921"/>
    <w:rsid w:val="7A3B1917"/>
    <w:rsid w:val="7A465FF9"/>
    <w:rsid w:val="7A5C52F9"/>
    <w:rsid w:val="7A5D2739"/>
    <w:rsid w:val="7A66DF91"/>
    <w:rsid w:val="7A697E15"/>
    <w:rsid w:val="7A7530C2"/>
    <w:rsid w:val="7A79B27E"/>
    <w:rsid w:val="7A8F2932"/>
    <w:rsid w:val="7AA98B41"/>
    <w:rsid w:val="7AA9F7C3"/>
    <w:rsid w:val="7ACBD819"/>
    <w:rsid w:val="7AD954D4"/>
    <w:rsid w:val="7B176E02"/>
    <w:rsid w:val="7B2C4D87"/>
    <w:rsid w:val="7B34E177"/>
    <w:rsid w:val="7B3F311F"/>
    <w:rsid w:val="7B45CC48"/>
    <w:rsid w:val="7B4BB588"/>
    <w:rsid w:val="7B50B508"/>
    <w:rsid w:val="7B5509BA"/>
    <w:rsid w:val="7B601E73"/>
    <w:rsid w:val="7B6890D6"/>
    <w:rsid w:val="7B6A5E05"/>
    <w:rsid w:val="7B811CEA"/>
    <w:rsid w:val="7BC4D8CB"/>
    <w:rsid w:val="7BC6A744"/>
    <w:rsid w:val="7BDD74C9"/>
    <w:rsid w:val="7BE427AF"/>
    <w:rsid w:val="7BF65C85"/>
    <w:rsid w:val="7C0434D8"/>
    <w:rsid w:val="7C113CD5"/>
    <w:rsid w:val="7C20EA78"/>
    <w:rsid w:val="7C2936C9"/>
    <w:rsid w:val="7C29425B"/>
    <w:rsid w:val="7C2CB8EA"/>
    <w:rsid w:val="7C41895B"/>
    <w:rsid w:val="7C4CA58E"/>
    <w:rsid w:val="7C55AEB0"/>
    <w:rsid w:val="7C578144"/>
    <w:rsid w:val="7C629F63"/>
    <w:rsid w:val="7C63F13A"/>
    <w:rsid w:val="7C67A339"/>
    <w:rsid w:val="7C7C80FD"/>
    <w:rsid w:val="7C8DB357"/>
    <w:rsid w:val="7C9B499B"/>
    <w:rsid w:val="7C9FD209"/>
    <w:rsid w:val="7CADD3DE"/>
    <w:rsid w:val="7CB699C7"/>
    <w:rsid w:val="7CBA1F19"/>
    <w:rsid w:val="7CD644B3"/>
    <w:rsid w:val="7CE09E06"/>
    <w:rsid w:val="7CEAA2F1"/>
    <w:rsid w:val="7D03FF00"/>
    <w:rsid w:val="7D08CB84"/>
    <w:rsid w:val="7D0AE07E"/>
    <w:rsid w:val="7D117153"/>
    <w:rsid w:val="7D12B105"/>
    <w:rsid w:val="7D1584E6"/>
    <w:rsid w:val="7D200279"/>
    <w:rsid w:val="7D35F6E9"/>
    <w:rsid w:val="7D58E691"/>
    <w:rsid w:val="7D5D30C8"/>
    <w:rsid w:val="7D61EC95"/>
    <w:rsid w:val="7D78105B"/>
    <w:rsid w:val="7D89FEDF"/>
    <w:rsid w:val="7D989B3F"/>
    <w:rsid w:val="7DAC059D"/>
    <w:rsid w:val="7DB29585"/>
    <w:rsid w:val="7DC4AFDC"/>
    <w:rsid w:val="7DD1DF3B"/>
    <w:rsid w:val="7DE6059A"/>
    <w:rsid w:val="7DF8953C"/>
    <w:rsid w:val="7DFB4BB1"/>
    <w:rsid w:val="7E10275B"/>
    <w:rsid w:val="7E1BDB2F"/>
    <w:rsid w:val="7E47C82F"/>
    <w:rsid w:val="7E598C3F"/>
    <w:rsid w:val="7E67F589"/>
    <w:rsid w:val="7E899367"/>
    <w:rsid w:val="7EAACB96"/>
    <w:rsid w:val="7EBB03DA"/>
    <w:rsid w:val="7EC3D408"/>
    <w:rsid w:val="7EC6DE7E"/>
    <w:rsid w:val="7EE1A8BB"/>
    <w:rsid w:val="7EF78301"/>
    <w:rsid w:val="7F08D383"/>
    <w:rsid w:val="7F126D2D"/>
    <w:rsid w:val="7F224288"/>
    <w:rsid w:val="7F2E025F"/>
    <w:rsid w:val="7F32932A"/>
    <w:rsid w:val="7F336F1D"/>
    <w:rsid w:val="7F39A9D6"/>
    <w:rsid w:val="7F414A22"/>
    <w:rsid w:val="7F5ECAD7"/>
    <w:rsid w:val="7F63FEB9"/>
    <w:rsid w:val="7F799123"/>
    <w:rsid w:val="7FA295A5"/>
    <w:rsid w:val="7FB6A33F"/>
    <w:rsid w:val="7FC42BF6"/>
    <w:rsid w:val="7FC76097"/>
    <w:rsid w:val="7FE802A3"/>
    <w:rsid w:val="7FE80911"/>
    <w:rsid w:val="7FF57AEB"/>
    <w:rsid w:val="7FFEF1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A215"/>
  <w15:chartTrackingRefBased/>
  <w15:docId w15:val="{D50017E0-C3B8-4EC8-B0A7-2393A803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57"/>
    <w:rPr>
      <w:rFonts w:ascii="Century Gothic" w:hAnsi="Century Gothic"/>
      <w:sz w:val="24"/>
    </w:rPr>
  </w:style>
  <w:style w:type="paragraph" w:styleId="Heading1">
    <w:name w:val="heading 1"/>
    <w:basedOn w:val="Normal"/>
    <w:next w:val="BodyText"/>
    <w:link w:val="Heading1Char"/>
    <w:autoRedefine/>
    <w:uiPriority w:val="9"/>
    <w:qFormat/>
    <w:rsid w:val="002F370C"/>
    <w:pPr>
      <w:keepNext/>
      <w:keepLines/>
      <w:spacing w:before="240" w:after="0" w:line="240" w:lineRule="auto"/>
      <w:outlineLvl w:val="0"/>
    </w:pPr>
    <w:rPr>
      <w:rFonts w:eastAsiaTheme="majorEastAsia" w:cstheme="majorBidi"/>
      <w:b/>
      <w:noProof/>
      <w:color w:val="0F4761" w:themeColor="accent1" w:themeShade="BF"/>
      <w:sz w:val="40"/>
      <w:szCs w:val="32"/>
    </w:rPr>
  </w:style>
  <w:style w:type="paragraph" w:styleId="Heading2">
    <w:name w:val="heading 2"/>
    <w:basedOn w:val="Normal"/>
    <w:next w:val="Normal"/>
    <w:link w:val="Heading2Char"/>
    <w:uiPriority w:val="9"/>
    <w:unhideWhenUsed/>
    <w:qFormat/>
    <w:rsid w:val="00AA219D"/>
    <w:pPr>
      <w:keepNext/>
      <w:keepLines/>
      <w:spacing w:before="40" w:after="0"/>
      <w:outlineLvl w:val="1"/>
    </w:pPr>
    <w:rPr>
      <w:rFonts w:eastAsiaTheme="majorEastAsia" w:cstheme="majorBidi"/>
      <w:b/>
      <w:color w:val="0F4761" w:themeColor="accent1" w:themeShade="BF"/>
      <w:sz w:val="36"/>
      <w:szCs w:val="26"/>
    </w:rPr>
  </w:style>
  <w:style w:type="paragraph" w:styleId="Heading3">
    <w:name w:val="heading 3"/>
    <w:basedOn w:val="Normal"/>
    <w:next w:val="Normal"/>
    <w:link w:val="Heading3Char"/>
    <w:uiPriority w:val="9"/>
    <w:unhideWhenUsed/>
    <w:qFormat/>
    <w:rsid w:val="00892B54"/>
    <w:pPr>
      <w:keepNext/>
      <w:keepLines/>
      <w:spacing w:before="160" w:after="80"/>
      <w:outlineLvl w:val="2"/>
    </w:pPr>
    <w:rPr>
      <w:rFonts w:eastAsiaTheme="majorEastAsia" w:cstheme="majorBidi"/>
      <w:b/>
      <w:color w:val="0F4761" w:themeColor="accent1" w:themeShade="BF"/>
      <w:sz w:val="32"/>
      <w:szCs w:val="28"/>
    </w:rPr>
  </w:style>
  <w:style w:type="paragraph" w:styleId="Heading4">
    <w:name w:val="heading 4"/>
    <w:basedOn w:val="Heading3"/>
    <w:next w:val="Normal"/>
    <w:link w:val="Heading4Char"/>
    <w:uiPriority w:val="9"/>
    <w:unhideWhenUsed/>
    <w:qFormat/>
    <w:rsid w:val="00172891"/>
    <w:pPr>
      <w:outlineLvl w:val="3"/>
    </w:pPr>
    <w:rPr>
      <w:sz w:val="28"/>
      <w:szCs w:val="24"/>
    </w:rPr>
  </w:style>
  <w:style w:type="paragraph" w:styleId="Heading5">
    <w:name w:val="heading 5"/>
    <w:basedOn w:val="Normal"/>
    <w:next w:val="Normal"/>
    <w:link w:val="Heading5Char"/>
    <w:uiPriority w:val="9"/>
    <w:unhideWhenUsed/>
    <w:qFormat/>
    <w:rsid w:val="00C54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F71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unhideWhenUsed/>
    <w:qFormat/>
    <w:rsid w:val="00CF71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71B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71B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E2563"/>
  </w:style>
  <w:style w:type="character" w:customStyle="1" w:styleId="BodyTextChar">
    <w:name w:val="Body Text Char"/>
    <w:basedOn w:val="DefaultParagraphFont"/>
    <w:link w:val="BodyText"/>
    <w:uiPriority w:val="1"/>
    <w:rsid w:val="00CE2563"/>
    <w:rPr>
      <w:rFonts w:ascii="Century Gothic" w:hAnsi="Century Gothic"/>
      <w:sz w:val="24"/>
    </w:rPr>
  </w:style>
  <w:style w:type="character" w:customStyle="1" w:styleId="Heading1Char">
    <w:name w:val="Heading 1 Char"/>
    <w:basedOn w:val="DefaultParagraphFont"/>
    <w:link w:val="Heading1"/>
    <w:uiPriority w:val="9"/>
    <w:rsid w:val="002F370C"/>
    <w:rPr>
      <w:rFonts w:ascii="Century Gothic" w:eastAsiaTheme="majorEastAsia" w:hAnsi="Century Gothic" w:cstheme="majorBidi"/>
      <w:b/>
      <w:noProof/>
      <w:color w:val="0F4761" w:themeColor="accent1" w:themeShade="BF"/>
      <w:sz w:val="40"/>
      <w:szCs w:val="32"/>
    </w:rPr>
  </w:style>
  <w:style w:type="character" w:customStyle="1" w:styleId="Heading2Char">
    <w:name w:val="Heading 2 Char"/>
    <w:basedOn w:val="DefaultParagraphFont"/>
    <w:link w:val="Heading2"/>
    <w:uiPriority w:val="9"/>
    <w:rsid w:val="00AA219D"/>
    <w:rPr>
      <w:rFonts w:ascii="Century Gothic" w:eastAsiaTheme="majorEastAsia" w:hAnsi="Century Gothic" w:cstheme="majorBidi"/>
      <w:b/>
      <w:color w:val="0F4761" w:themeColor="accent1" w:themeShade="BF"/>
      <w:sz w:val="36"/>
      <w:szCs w:val="26"/>
    </w:rPr>
  </w:style>
  <w:style w:type="character" w:customStyle="1" w:styleId="Heading3Char">
    <w:name w:val="Heading 3 Char"/>
    <w:basedOn w:val="DefaultParagraphFont"/>
    <w:link w:val="Heading3"/>
    <w:uiPriority w:val="9"/>
    <w:rsid w:val="00AA219D"/>
    <w:rPr>
      <w:rFonts w:ascii="Century Gothic" w:eastAsiaTheme="majorEastAsia" w:hAnsi="Century Gothic" w:cstheme="majorBidi"/>
      <w:b/>
      <w:color w:val="0F4761" w:themeColor="accent1" w:themeShade="BF"/>
      <w:sz w:val="32"/>
      <w:szCs w:val="28"/>
    </w:rPr>
  </w:style>
  <w:style w:type="character" w:customStyle="1" w:styleId="Heading4Char">
    <w:name w:val="Heading 4 Char"/>
    <w:basedOn w:val="DefaultParagraphFont"/>
    <w:link w:val="Heading4"/>
    <w:uiPriority w:val="9"/>
    <w:rsid w:val="00172891"/>
    <w:rPr>
      <w:rFonts w:ascii="Century Gothic" w:eastAsiaTheme="majorEastAsia" w:hAnsi="Century Gothic" w:cstheme="majorBidi"/>
      <w:b/>
      <w:color w:val="0F4761" w:themeColor="accent1" w:themeShade="BF"/>
      <w:sz w:val="28"/>
      <w:szCs w:val="24"/>
    </w:rPr>
  </w:style>
  <w:style w:type="character" w:customStyle="1" w:styleId="Heading5Char">
    <w:name w:val="Heading 5 Char"/>
    <w:basedOn w:val="DefaultParagraphFont"/>
    <w:link w:val="Heading5"/>
    <w:uiPriority w:val="9"/>
    <w:rsid w:val="00C54A59"/>
    <w:rPr>
      <w:rFonts w:ascii="Century Gothic" w:eastAsiaTheme="majorEastAsia" w:hAnsi="Century Gothic" w:cstheme="majorBidi"/>
      <w:color w:val="0F4761" w:themeColor="accent1" w:themeShade="BF"/>
      <w:sz w:val="24"/>
    </w:rPr>
  </w:style>
  <w:style w:type="character" w:customStyle="1" w:styleId="Heading6Char">
    <w:name w:val="Heading 6 Char"/>
    <w:basedOn w:val="DefaultParagraphFont"/>
    <w:link w:val="Heading6"/>
    <w:uiPriority w:val="9"/>
    <w:rsid w:val="00CF71B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rsid w:val="00CF71B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F71B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F71B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15DFD"/>
    <w:pPr>
      <w:spacing w:after="0" w:line="240" w:lineRule="auto"/>
      <w:contextualSpacing/>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315DFD"/>
    <w:rPr>
      <w:rFonts w:ascii="Century Gothic" w:eastAsiaTheme="majorEastAsia" w:hAnsi="Century Gothic" w:cstheme="majorBidi"/>
      <w:b/>
      <w:spacing w:val="-10"/>
      <w:kern w:val="28"/>
      <w:sz w:val="52"/>
      <w:szCs w:val="56"/>
    </w:rPr>
  </w:style>
  <w:style w:type="paragraph" w:styleId="Subtitle">
    <w:name w:val="Subtitle"/>
    <w:basedOn w:val="Normal"/>
    <w:next w:val="Normal"/>
    <w:link w:val="SubtitleChar"/>
    <w:uiPriority w:val="11"/>
    <w:qFormat/>
    <w:rsid w:val="00CF71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1BD"/>
    <w:pPr>
      <w:spacing w:before="160"/>
      <w:jc w:val="center"/>
    </w:pPr>
    <w:rPr>
      <w:i/>
      <w:iCs/>
      <w:color w:val="404040" w:themeColor="text1" w:themeTint="BF"/>
    </w:rPr>
  </w:style>
  <w:style w:type="character" w:customStyle="1" w:styleId="QuoteChar">
    <w:name w:val="Quote Char"/>
    <w:basedOn w:val="DefaultParagraphFont"/>
    <w:link w:val="Quote"/>
    <w:uiPriority w:val="29"/>
    <w:rsid w:val="00CF71BD"/>
    <w:rPr>
      <w:rFonts w:ascii="Century Gothic" w:hAnsi="Century Gothic"/>
      <w:i/>
      <w:iCs/>
      <w:color w:val="404040" w:themeColor="text1" w:themeTint="BF"/>
      <w:sz w:val="24"/>
    </w:rPr>
  </w:style>
  <w:style w:type="paragraph" w:styleId="ListParagraph">
    <w:name w:val="List Paragraph"/>
    <w:basedOn w:val="Normal"/>
    <w:uiPriority w:val="34"/>
    <w:qFormat/>
    <w:rsid w:val="00CF71BD"/>
    <w:pPr>
      <w:ind w:left="720"/>
      <w:contextualSpacing/>
    </w:pPr>
  </w:style>
  <w:style w:type="character" w:styleId="IntenseEmphasis">
    <w:name w:val="Intense Emphasis"/>
    <w:basedOn w:val="DefaultParagraphFont"/>
    <w:uiPriority w:val="21"/>
    <w:qFormat/>
    <w:rsid w:val="00CF71BD"/>
    <w:rPr>
      <w:i/>
      <w:iCs/>
      <w:color w:val="0F4761" w:themeColor="accent1" w:themeShade="BF"/>
    </w:rPr>
  </w:style>
  <w:style w:type="paragraph" w:styleId="IntenseQuote">
    <w:name w:val="Intense Quote"/>
    <w:basedOn w:val="Normal"/>
    <w:next w:val="Normal"/>
    <w:link w:val="IntenseQuoteChar"/>
    <w:uiPriority w:val="30"/>
    <w:qFormat/>
    <w:rsid w:val="00CF7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1BD"/>
    <w:rPr>
      <w:rFonts w:ascii="Century Gothic" w:hAnsi="Century Gothic"/>
      <w:i/>
      <w:iCs/>
      <w:color w:val="0F4761" w:themeColor="accent1" w:themeShade="BF"/>
      <w:sz w:val="24"/>
    </w:rPr>
  </w:style>
  <w:style w:type="character" w:styleId="IntenseReference">
    <w:name w:val="Intense Reference"/>
    <w:basedOn w:val="DefaultParagraphFont"/>
    <w:uiPriority w:val="32"/>
    <w:qFormat/>
    <w:rsid w:val="00CF71BD"/>
    <w:rPr>
      <w:b/>
      <w:bCs/>
      <w:smallCaps/>
      <w:color w:val="0F4761" w:themeColor="accent1" w:themeShade="BF"/>
      <w:spacing w:val="5"/>
    </w:rPr>
  </w:style>
  <w:style w:type="paragraph" w:styleId="TOC1">
    <w:name w:val="toc 1"/>
    <w:basedOn w:val="Normal"/>
    <w:uiPriority w:val="39"/>
    <w:qFormat/>
    <w:rsid w:val="00E66015"/>
    <w:pPr>
      <w:widowControl w:val="0"/>
      <w:autoSpaceDE w:val="0"/>
      <w:autoSpaceDN w:val="0"/>
      <w:spacing w:before="181" w:after="0" w:line="240" w:lineRule="auto"/>
    </w:pPr>
    <w:rPr>
      <w:rFonts w:eastAsia="Century Gothic" w:cs="Century Gothic"/>
      <w:b/>
      <w:bCs/>
      <w:kern w:val="0"/>
      <w:sz w:val="28"/>
      <w:szCs w:val="28"/>
      <w14:ligatures w14:val="none"/>
    </w:rPr>
  </w:style>
  <w:style w:type="paragraph" w:styleId="TOC2">
    <w:name w:val="toc 2"/>
    <w:basedOn w:val="Normal"/>
    <w:autoRedefine/>
    <w:uiPriority w:val="39"/>
    <w:qFormat/>
    <w:rsid w:val="00461414"/>
    <w:pPr>
      <w:widowControl w:val="0"/>
      <w:tabs>
        <w:tab w:val="right" w:leader="dot" w:pos="9350"/>
      </w:tabs>
      <w:autoSpaceDE w:val="0"/>
      <w:autoSpaceDN w:val="0"/>
      <w:spacing w:before="15" w:after="0" w:line="240" w:lineRule="auto"/>
      <w:ind w:left="288"/>
    </w:pPr>
    <w:rPr>
      <w:rFonts w:eastAsia="Century Gothic" w:cs="Century Gothic"/>
      <w:b/>
      <w:kern w:val="0"/>
      <w:szCs w:val="24"/>
      <w14:ligatures w14:val="none"/>
    </w:rPr>
  </w:style>
  <w:style w:type="paragraph" w:styleId="TOC3">
    <w:name w:val="toc 3"/>
    <w:basedOn w:val="Normal"/>
    <w:uiPriority w:val="39"/>
    <w:qFormat/>
    <w:rsid w:val="00DB1CB4"/>
    <w:pPr>
      <w:widowControl w:val="0"/>
      <w:autoSpaceDE w:val="0"/>
      <w:autoSpaceDN w:val="0"/>
      <w:spacing w:before="15" w:after="0" w:line="240" w:lineRule="auto"/>
      <w:ind w:left="576"/>
    </w:pPr>
    <w:rPr>
      <w:rFonts w:eastAsia="Century Gothic" w:cs="Century Gothic"/>
      <w:kern w:val="0"/>
      <w:szCs w:val="24"/>
      <w14:ligatures w14:val="none"/>
    </w:rPr>
  </w:style>
  <w:style w:type="paragraph" w:customStyle="1" w:styleId="TableParagraph">
    <w:name w:val="Table Paragraph"/>
    <w:basedOn w:val="Normal"/>
    <w:uiPriority w:val="1"/>
    <w:qFormat/>
    <w:rsid w:val="00CF71BD"/>
    <w:pPr>
      <w:widowControl w:val="0"/>
      <w:autoSpaceDE w:val="0"/>
      <w:autoSpaceDN w:val="0"/>
      <w:spacing w:after="0" w:line="240" w:lineRule="auto"/>
      <w:ind w:left="85"/>
    </w:pPr>
    <w:rPr>
      <w:rFonts w:eastAsia="Century Gothic" w:cs="Century Gothic"/>
      <w:kern w:val="0"/>
      <w14:ligatures w14:val="none"/>
    </w:rPr>
  </w:style>
  <w:style w:type="paragraph" w:styleId="Header">
    <w:name w:val="header"/>
    <w:basedOn w:val="Normal"/>
    <w:link w:val="HeaderChar"/>
    <w:uiPriority w:val="99"/>
    <w:unhideWhenUsed/>
    <w:rsid w:val="00CF71BD"/>
    <w:pPr>
      <w:widowControl w:val="0"/>
      <w:tabs>
        <w:tab w:val="center" w:pos="4680"/>
        <w:tab w:val="right" w:pos="9360"/>
      </w:tabs>
      <w:autoSpaceDE w:val="0"/>
      <w:autoSpaceDN w:val="0"/>
      <w:spacing w:after="0" w:line="240" w:lineRule="auto"/>
    </w:pPr>
    <w:rPr>
      <w:rFonts w:eastAsia="Century Gothic" w:cs="Century Gothic"/>
      <w:kern w:val="0"/>
      <w14:ligatures w14:val="none"/>
    </w:rPr>
  </w:style>
  <w:style w:type="character" w:customStyle="1" w:styleId="HeaderChar">
    <w:name w:val="Header Char"/>
    <w:basedOn w:val="DefaultParagraphFont"/>
    <w:link w:val="Header"/>
    <w:uiPriority w:val="99"/>
    <w:rsid w:val="00CF71BD"/>
    <w:rPr>
      <w:rFonts w:ascii="Century Gothic" w:eastAsia="Century Gothic" w:hAnsi="Century Gothic" w:cs="Century Gothic"/>
      <w:kern w:val="0"/>
      <w:sz w:val="24"/>
      <w14:ligatures w14:val="none"/>
    </w:rPr>
  </w:style>
  <w:style w:type="paragraph" w:styleId="Footer">
    <w:name w:val="footer"/>
    <w:basedOn w:val="Normal"/>
    <w:link w:val="FooterChar"/>
    <w:uiPriority w:val="99"/>
    <w:unhideWhenUsed/>
    <w:rsid w:val="00CF71BD"/>
    <w:pPr>
      <w:widowControl w:val="0"/>
      <w:tabs>
        <w:tab w:val="center" w:pos="4680"/>
        <w:tab w:val="right" w:pos="9360"/>
      </w:tabs>
      <w:autoSpaceDE w:val="0"/>
      <w:autoSpaceDN w:val="0"/>
      <w:spacing w:after="0" w:line="240" w:lineRule="auto"/>
    </w:pPr>
    <w:rPr>
      <w:rFonts w:eastAsia="Century Gothic" w:cs="Century Gothic"/>
      <w:kern w:val="0"/>
      <w14:ligatures w14:val="none"/>
    </w:rPr>
  </w:style>
  <w:style w:type="character" w:customStyle="1" w:styleId="FooterChar">
    <w:name w:val="Footer Char"/>
    <w:basedOn w:val="DefaultParagraphFont"/>
    <w:link w:val="Footer"/>
    <w:uiPriority w:val="99"/>
    <w:rsid w:val="00CF71BD"/>
    <w:rPr>
      <w:rFonts w:ascii="Century Gothic" w:eastAsia="Century Gothic" w:hAnsi="Century Gothic" w:cs="Century Gothic"/>
      <w:kern w:val="0"/>
      <w:sz w:val="24"/>
      <w14:ligatures w14:val="none"/>
    </w:rPr>
  </w:style>
  <w:style w:type="character" w:styleId="CommentReference">
    <w:name w:val="annotation reference"/>
    <w:basedOn w:val="DefaultParagraphFont"/>
    <w:uiPriority w:val="99"/>
    <w:semiHidden/>
    <w:unhideWhenUsed/>
    <w:rsid w:val="00CF71BD"/>
    <w:rPr>
      <w:sz w:val="16"/>
      <w:szCs w:val="16"/>
    </w:rPr>
  </w:style>
  <w:style w:type="paragraph" w:styleId="CommentText">
    <w:name w:val="annotation text"/>
    <w:basedOn w:val="Normal"/>
    <w:link w:val="CommentTextChar"/>
    <w:uiPriority w:val="99"/>
    <w:unhideWhenUsed/>
    <w:rsid w:val="00CF71BD"/>
    <w:pPr>
      <w:widowControl w:val="0"/>
      <w:autoSpaceDE w:val="0"/>
      <w:autoSpaceDN w:val="0"/>
      <w:spacing w:after="0" w:line="240" w:lineRule="auto"/>
    </w:pPr>
    <w:rPr>
      <w:rFonts w:eastAsia="Century Gothic" w:cs="Century Gothic"/>
      <w:kern w:val="0"/>
      <w:sz w:val="20"/>
      <w:szCs w:val="20"/>
      <w14:ligatures w14:val="none"/>
    </w:rPr>
  </w:style>
  <w:style w:type="character" w:customStyle="1" w:styleId="CommentTextChar">
    <w:name w:val="Comment Text Char"/>
    <w:basedOn w:val="DefaultParagraphFont"/>
    <w:link w:val="CommentText"/>
    <w:uiPriority w:val="99"/>
    <w:rsid w:val="00CF71BD"/>
    <w:rPr>
      <w:rFonts w:ascii="Century Gothic" w:eastAsia="Century Gothic" w:hAnsi="Century Gothic" w:cs="Century Gothic"/>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F71BD"/>
    <w:rPr>
      <w:b/>
      <w:bCs/>
    </w:rPr>
  </w:style>
  <w:style w:type="character" w:customStyle="1" w:styleId="CommentSubjectChar">
    <w:name w:val="Comment Subject Char"/>
    <w:basedOn w:val="CommentTextChar"/>
    <w:link w:val="CommentSubject"/>
    <w:uiPriority w:val="99"/>
    <w:semiHidden/>
    <w:rsid w:val="00CF71BD"/>
    <w:rPr>
      <w:rFonts w:ascii="Century Gothic" w:eastAsia="Century Gothic" w:hAnsi="Century Gothic" w:cs="Century Gothic"/>
      <w:b/>
      <w:bCs/>
      <w:kern w:val="0"/>
      <w:sz w:val="20"/>
      <w:szCs w:val="20"/>
      <w14:ligatures w14:val="none"/>
    </w:rPr>
  </w:style>
  <w:style w:type="paragraph" w:styleId="Revision">
    <w:name w:val="Revision"/>
    <w:hidden/>
    <w:uiPriority w:val="99"/>
    <w:semiHidden/>
    <w:rsid w:val="00CF71BD"/>
    <w:pPr>
      <w:spacing w:after="0" w:line="240" w:lineRule="auto"/>
    </w:pPr>
    <w:rPr>
      <w:rFonts w:ascii="Century Gothic" w:eastAsia="Century Gothic" w:hAnsi="Century Gothic" w:cs="Century Gothic"/>
      <w:kern w:val="0"/>
      <w14:ligatures w14:val="none"/>
    </w:rPr>
  </w:style>
  <w:style w:type="character" w:styleId="Hyperlink">
    <w:name w:val="Hyperlink"/>
    <w:basedOn w:val="DefaultParagraphFont"/>
    <w:uiPriority w:val="99"/>
    <w:unhideWhenUsed/>
    <w:rsid w:val="00CF71BD"/>
    <w:rPr>
      <w:color w:val="3333FF" w:themeColor="hyperlink"/>
      <w:u w:val="single"/>
    </w:rPr>
  </w:style>
  <w:style w:type="character" w:styleId="UnresolvedMention">
    <w:name w:val="Unresolved Mention"/>
    <w:basedOn w:val="DefaultParagraphFont"/>
    <w:uiPriority w:val="99"/>
    <w:semiHidden/>
    <w:unhideWhenUsed/>
    <w:rsid w:val="00CF71BD"/>
    <w:rPr>
      <w:color w:val="605E5C"/>
      <w:shd w:val="clear" w:color="auto" w:fill="E1DFDD"/>
    </w:rPr>
  </w:style>
  <w:style w:type="character" w:styleId="Mention">
    <w:name w:val="Mention"/>
    <w:basedOn w:val="DefaultParagraphFont"/>
    <w:uiPriority w:val="99"/>
    <w:unhideWhenUsed/>
    <w:rsid w:val="00CF71BD"/>
    <w:rPr>
      <w:color w:val="2B579A"/>
      <w:shd w:val="clear" w:color="auto" w:fill="E1DFDD"/>
    </w:rPr>
  </w:style>
  <w:style w:type="table" w:styleId="TableGrid">
    <w:name w:val="Table Grid"/>
    <w:basedOn w:val="TableNormal"/>
    <w:uiPriority w:val="39"/>
    <w:rsid w:val="00CF71B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CF71BD"/>
    <w:pPr>
      <w:spacing w:after="200" w:line="240" w:lineRule="auto"/>
    </w:pPr>
    <w:rPr>
      <w:rFonts w:asciiTheme="minorHAnsi" w:eastAsiaTheme="minorEastAsia" w:hAnsiTheme="minorHAnsi"/>
      <w:i/>
      <w:iCs/>
      <w:color w:val="0E2841" w:themeColor="text2"/>
      <w:kern w:val="0"/>
      <w:sz w:val="18"/>
      <w:szCs w:val="18"/>
      <w:lang w:eastAsia="ja-JP"/>
      <w14:ligatures w14:val="none"/>
    </w:rPr>
  </w:style>
  <w:style w:type="character" w:styleId="FollowedHyperlink">
    <w:name w:val="FollowedHyperlink"/>
    <w:basedOn w:val="DefaultParagraphFont"/>
    <w:uiPriority w:val="99"/>
    <w:semiHidden/>
    <w:unhideWhenUsed/>
    <w:rsid w:val="00CF71BD"/>
    <w:rPr>
      <w:color w:val="96607D" w:themeColor="followedHyperlink"/>
      <w:u w:val="single"/>
    </w:rPr>
  </w:style>
  <w:style w:type="paragraph" w:styleId="NormalWeb">
    <w:name w:val="Normal (Web)"/>
    <w:basedOn w:val="Normal"/>
    <w:uiPriority w:val="99"/>
    <w:semiHidden/>
    <w:unhideWhenUsed/>
    <w:rsid w:val="00CF71BD"/>
    <w:pPr>
      <w:spacing w:line="279" w:lineRule="auto"/>
    </w:pPr>
    <w:rPr>
      <w:rFonts w:ascii="Times New Roman" w:eastAsiaTheme="minorEastAsia" w:hAnsi="Times New Roman" w:cs="Times New Roman"/>
      <w:kern w:val="0"/>
      <w:szCs w:val="24"/>
      <w:lang w:eastAsia="ja-JP"/>
      <w14:ligatures w14:val="none"/>
    </w:rPr>
  </w:style>
  <w:style w:type="character" w:styleId="Strong">
    <w:name w:val="Strong"/>
    <w:basedOn w:val="DefaultParagraphFont"/>
    <w:uiPriority w:val="22"/>
    <w:rsid w:val="00CF71BD"/>
    <w:rPr>
      <w:b/>
      <w:bCs/>
    </w:rPr>
  </w:style>
  <w:style w:type="paragraph" w:customStyle="1" w:styleId="Phase">
    <w:name w:val="Phase #"/>
    <w:basedOn w:val="Normal"/>
    <w:link w:val="PhaseChar"/>
    <w:qFormat/>
    <w:rsid w:val="006229CA"/>
    <w:rPr>
      <w:b/>
      <w:bCs/>
      <w:color w:val="FFFFFF" w:themeColor="background1"/>
      <w:sz w:val="90"/>
      <w:szCs w:val="90"/>
    </w:rPr>
  </w:style>
  <w:style w:type="character" w:customStyle="1" w:styleId="PhaseChar">
    <w:name w:val="Phase # Char"/>
    <w:basedOn w:val="DefaultParagraphFont"/>
    <w:link w:val="Phase"/>
    <w:rsid w:val="006229CA"/>
    <w:rPr>
      <w:rFonts w:ascii="Century Gothic" w:hAnsi="Century Gothic"/>
      <w:b/>
      <w:bCs/>
      <w:color w:val="FFFFFF" w:themeColor="background1"/>
      <w:sz w:val="90"/>
      <w:szCs w:val="90"/>
    </w:rPr>
  </w:style>
  <w:style w:type="paragraph" w:customStyle="1" w:styleId="PhaseinCircle">
    <w:name w:val="&quot;Phase&quot; in Circle"/>
    <w:basedOn w:val="Normal"/>
    <w:link w:val="PhaseinCircleChar"/>
    <w:qFormat/>
    <w:rsid w:val="006229CA"/>
    <w:rPr>
      <w:b/>
      <w:bCs/>
      <w:color w:val="FFFFFF" w:themeColor="background1"/>
      <w:sz w:val="38"/>
      <w:szCs w:val="38"/>
    </w:rPr>
  </w:style>
  <w:style w:type="character" w:customStyle="1" w:styleId="PhaseinCircleChar">
    <w:name w:val="&quot;Phase&quot; in Circle Char"/>
    <w:basedOn w:val="DefaultParagraphFont"/>
    <w:link w:val="PhaseinCircle"/>
    <w:rsid w:val="006229CA"/>
    <w:rPr>
      <w:rFonts w:ascii="Century Gothic" w:hAnsi="Century Gothic"/>
      <w:b/>
      <w:bCs/>
      <w:color w:val="FFFFFF" w:themeColor="background1"/>
      <w:sz w:val="38"/>
      <w:szCs w:val="38"/>
    </w:rPr>
  </w:style>
  <w:style w:type="paragraph" w:customStyle="1" w:styleId="Example">
    <w:name w:val="Example"/>
    <w:basedOn w:val="Heading7"/>
    <w:link w:val="ExampleChar"/>
    <w:qFormat/>
    <w:rsid w:val="00F7337A"/>
    <w:rPr>
      <w:rFonts w:ascii="Century Gothic" w:hAnsi="Century Gothic"/>
      <w:b/>
      <w:bCs/>
      <w:i/>
      <w:color w:val="000000" w:themeColor="text1"/>
    </w:rPr>
  </w:style>
  <w:style w:type="character" w:customStyle="1" w:styleId="ExampleChar">
    <w:name w:val="Example Char"/>
    <w:basedOn w:val="Heading7Char"/>
    <w:link w:val="Example"/>
    <w:rsid w:val="00F7337A"/>
    <w:rPr>
      <w:rFonts w:ascii="Century Gothic" w:eastAsiaTheme="majorEastAsia" w:hAnsi="Century Gothic" w:cstheme="majorBidi"/>
      <w:b/>
      <w:bCs/>
      <w:i/>
      <w:color w:val="000000" w:themeColor="text1"/>
      <w:sz w:val="24"/>
    </w:rPr>
  </w:style>
  <w:style w:type="paragraph" w:customStyle="1" w:styleId="CalloutBoxTitle">
    <w:name w:val="Callout Box Title"/>
    <w:basedOn w:val="BodyText"/>
    <w:link w:val="CalloutBoxTitleChar"/>
    <w:qFormat/>
    <w:rsid w:val="007C7FDF"/>
    <w:rPr>
      <w:b/>
      <w:noProof/>
    </w:rPr>
  </w:style>
  <w:style w:type="character" w:customStyle="1" w:styleId="CalloutBoxTitleChar">
    <w:name w:val="Callout Box Title Char"/>
    <w:basedOn w:val="BodyTextChar"/>
    <w:link w:val="CalloutBoxTitle"/>
    <w:rsid w:val="007C7FDF"/>
    <w:rPr>
      <w:rFonts w:ascii="Century Gothic" w:hAnsi="Century Gothic"/>
      <w:b/>
      <w:noProof/>
      <w:sz w:val="24"/>
    </w:rPr>
  </w:style>
  <w:style w:type="paragraph" w:styleId="TOCHeading">
    <w:name w:val="TOC Heading"/>
    <w:basedOn w:val="Heading1"/>
    <w:next w:val="Normal"/>
    <w:uiPriority w:val="39"/>
    <w:unhideWhenUsed/>
    <w:qFormat/>
    <w:rsid w:val="00450F76"/>
    <w:pPr>
      <w:outlineLvl w:val="9"/>
    </w:pPr>
    <w:rPr>
      <w:rFonts w:asciiTheme="majorHAnsi" w:hAnsiTheme="majorHAnsi"/>
      <w:b w:val="0"/>
      <w:noProof w:val="0"/>
      <w:kern w:val="0"/>
      <w:sz w:val="32"/>
      <w14:ligatures w14:val="none"/>
    </w:rPr>
  </w:style>
  <w:style w:type="table" w:styleId="ListTable3">
    <w:name w:val="List Table 3"/>
    <w:basedOn w:val="TableNormal"/>
    <w:uiPriority w:val="48"/>
    <w:rsid w:val="003A0FD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356E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DC40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0A729A"/>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0A729A"/>
    <w:rPr>
      <w:rFonts w:ascii="Century Gothic" w:eastAsiaTheme="minorEastAsia" w:hAnsi="Century Gothic"/>
      <w:kern w:val="0"/>
      <w:sz w:val="20"/>
      <w:szCs w:val="20"/>
      <w14:ligatures w14:val="none"/>
    </w:rPr>
  </w:style>
  <w:style w:type="paragraph" w:customStyle="1" w:styleId="FigureTableTitle">
    <w:name w:val="Figure/Table Title"/>
    <w:basedOn w:val="Normal"/>
    <w:link w:val="FigureTableTitleChar"/>
    <w:qFormat/>
    <w:rsid w:val="00075660"/>
    <w:pPr>
      <w:spacing w:after="0" w:line="240" w:lineRule="auto"/>
    </w:pPr>
    <w:rPr>
      <w:b/>
      <w:bCs/>
      <w:szCs w:val="24"/>
    </w:rPr>
  </w:style>
  <w:style w:type="character" w:customStyle="1" w:styleId="FigureTableTitleChar">
    <w:name w:val="Figure/Table Title Char"/>
    <w:basedOn w:val="DefaultParagraphFont"/>
    <w:link w:val="FigureTableTitle"/>
    <w:rsid w:val="00075660"/>
    <w:rPr>
      <w:rFonts w:ascii="Century Gothic" w:hAnsi="Century Gothic"/>
      <w:b/>
      <w:bCs/>
      <w:sz w:val="24"/>
      <w:szCs w:val="24"/>
    </w:rPr>
  </w:style>
  <w:style w:type="paragraph" w:customStyle="1" w:styleId="Default">
    <w:name w:val="Default"/>
    <w:rsid w:val="0014648D"/>
    <w:pPr>
      <w:autoSpaceDE w:val="0"/>
      <w:autoSpaceDN w:val="0"/>
      <w:adjustRightInd w:val="0"/>
      <w:spacing w:after="0" w:line="240" w:lineRule="auto"/>
    </w:pPr>
    <w:rPr>
      <w:rFonts w:ascii="Franklin Gothic Demi" w:hAnsi="Franklin Gothic Demi" w:cs="Franklin Gothic Demi"/>
      <w:color w:val="000000"/>
      <w:kern w:val="0"/>
      <w:sz w:val="24"/>
      <w:szCs w:val="24"/>
    </w:rPr>
  </w:style>
  <w:style w:type="paragraph" w:styleId="TOC4">
    <w:name w:val="toc 4"/>
    <w:basedOn w:val="Normal"/>
    <w:next w:val="Normal"/>
    <w:autoRedefine/>
    <w:uiPriority w:val="39"/>
    <w:unhideWhenUsed/>
    <w:rsid w:val="00DB1CB4"/>
    <w:pPr>
      <w:spacing w:after="100" w:line="278" w:lineRule="auto"/>
      <w:ind w:left="720"/>
    </w:pPr>
    <w:rPr>
      <w:rFonts w:asciiTheme="minorHAnsi" w:eastAsiaTheme="minorEastAsia" w:hAnsiTheme="minorHAnsi"/>
      <w:szCs w:val="24"/>
    </w:rPr>
  </w:style>
  <w:style w:type="paragraph" w:styleId="TOC5">
    <w:name w:val="toc 5"/>
    <w:basedOn w:val="Normal"/>
    <w:next w:val="Normal"/>
    <w:autoRedefine/>
    <w:uiPriority w:val="39"/>
    <w:unhideWhenUsed/>
    <w:rsid w:val="00DB1CB4"/>
    <w:pPr>
      <w:spacing w:after="100" w:line="278" w:lineRule="auto"/>
      <w:ind w:left="960"/>
    </w:pPr>
    <w:rPr>
      <w:rFonts w:asciiTheme="minorHAnsi" w:eastAsiaTheme="minorEastAsia" w:hAnsiTheme="minorHAnsi"/>
      <w:szCs w:val="24"/>
    </w:rPr>
  </w:style>
  <w:style w:type="paragraph" w:styleId="TOC6">
    <w:name w:val="toc 6"/>
    <w:basedOn w:val="Normal"/>
    <w:next w:val="Normal"/>
    <w:autoRedefine/>
    <w:uiPriority w:val="39"/>
    <w:unhideWhenUsed/>
    <w:rsid w:val="00DB1CB4"/>
    <w:pPr>
      <w:spacing w:after="100" w:line="278" w:lineRule="auto"/>
      <w:ind w:left="1200"/>
    </w:pPr>
    <w:rPr>
      <w:rFonts w:asciiTheme="minorHAnsi" w:eastAsiaTheme="minorEastAsia" w:hAnsiTheme="minorHAnsi"/>
      <w:szCs w:val="24"/>
    </w:rPr>
  </w:style>
  <w:style w:type="paragraph" w:styleId="TOC7">
    <w:name w:val="toc 7"/>
    <w:basedOn w:val="Normal"/>
    <w:next w:val="Normal"/>
    <w:autoRedefine/>
    <w:uiPriority w:val="39"/>
    <w:unhideWhenUsed/>
    <w:rsid w:val="00DB1CB4"/>
    <w:pPr>
      <w:spacing w:after="100" w:line="278" w:lineRule="auto"/>
      <w:ind w:left="1440"/>
    </w:pPr>
    <w:rPr>
      <w:rFonts w:asciiTheme="minorHAnsi" w:eastAsiaTheme="minorEastAsia" w:hAnsiTheme="minorHAnsi"/>
      <w:szCs w:val="24"/>
    </w:rPr>
  </w:style>
  <w:style w:type="paragraph" w:styleId="TOC8">
    <w:name w:val="toc 8"/>
    <w:basedOn w:val="Normal"/>
    <w:next w:val="Normal"/>
    <w:autoRedefine/>
    <w:uiPriority w:val="39"/>
    <w:unhideWhenUsed/>
    <w:rsid w:val="00DB1CB4"/>
    <w:pPr>
      <w:spacing w:after="100" w:line="278" w:lineRule="auto"/>
      <w:ind w:left="1680"/>
    </w:pPr>
    <w:rPr>
      <w:rFonts w:asciiTheme="minorHAnsi" w:eastAsiaTheme="minorEastAsia" w:hAnsiTheme="minorHAnsi"/>
      <w:szCs w:val="24"/>
    </w:rPr>
  </w:style>
  <w:style w:type="paragraph" w:styleId="TOC9">
    <w:name w:val="toc 9"/>
    <w:basedOn w:val="Normal"/>
    <w:next w:val="Normal"/>
    <w:autoRedefine/>
    <w:uiPriority w:val="39"/>
    <w:unhideWhenUsed/>
    <w:rsid w:val="00DB1CB4"/>
    <w:pPr>
      <w:spacing w:after="100" w:line="278" w:lineRule="auto"/>
      <w:ind w:left="1920"/>
    </w:pPr>
    <w:rPr>
      <w:rFonts w:asciiTheme="minorHAnsi" w:eastAsiaTheme="minorEastAsia" w:hAnsiTheme="minorHAnsi"/>
      <w:szCs w:val="24"/>
    </w:rPr>
  </w:style>
  <w:style w:type="paragraph" w:customStyle="1" w:styleId="pf0">
    <w:name w:val="pf0"/>
    <w:basedOn w:val="Normal"/>
    <w:rsid w:val="006D1D6C"/>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cf01">
    <w:name w:val="cf01"/>
    <w:basedOn w:val="DefaultParagraphFont"/>
    <w:rsid w:val="006D1D6C"/>
    <w:rPr>
      <w:rFonts w:ascii="Segoe UI" w:hAnsi="Segoe UI" w:cs="Segoe UI" w:hint="default"/>
      <w:sz w:val="18"/>
      <w:szCs w:val="18"/>
    </w:rPr>
  </w:style>
  <w:style w:type="character" w:customStyle="1" w:styleId="cf11">
    <w:name w:val="cf11"/>
    <w:basedOn w:val="DefaultParagraphFont"/>
    <w:rsid w:val="003404F1"/>
    <w:rPr>
      <w:rFonts w:ascii="Segoe UI" w:hAnsi="Segoe UI" w:cs="Segoe UI" w:hint="default"/>
      <w:sz w:val="18"/>
      <w:szCs w:val="18"/>
    </w:rPr>
  </w:style>
  <w:style w:type="paragraph" w:styleId="EndnoteText">
    <w:name w:val="endnote text"/>
    <w:basedOn w:val="Normal"/>
    <w:link w:val="EndnoteTextChar"/>
    <w:uiPriority w:val="99"/>
    <w:semiHidden/>
    <w:unhideWhenUsed/>
    <w:rsid w:val="000441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41DD"/>
    <w:rPr>
      <w:rFonts w:ascii="Century Gothic" w:hAnsi="Century Gothic"/>
      <w:sz w:val="20"/>
      <w:szCs w:val="20"/>
    </w:rPr>
  </w:style>
  <w:style w:type="character" w:styleId="EndnoteReference">
    <w:name w:val="endnote reference"/>
    <w:basedOn w:val="DefaultParagraphFont"/>
    <w:uiPriority w:val="99"/>
    <w:semiHidden/>
    <w:unhideWhenUsed/>
    <w:rsid w:val="000441DD"/>
    <w:rPr>
      <w:vertAlign w:val="superscript"/>
    </w:rPr>
  </w:style>
  <w:style w:type="character" w:styleId="FootnoteReference">
    <w:name w:val="footnote reference"/>
    <w:basedOn w:val="DefaultParagraphFont"/>
    <w:uiPriority w:val="99"/>
    <w:semiHidden/>
    <w:unhideWhenUsed/>
    <w:rsid w:val="00E65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2999">
      <w:bodyDiv w:val="1"/>
      <w:marLeft w:val="0"/>
      <w:marRight w:val="0"/>
      <w:marTop w:val="0"/>
      <w:marBottom w:val="0"/>
      <w:divBdr>
        <w:top w:val="none" w:sz="0" w:space="0" w:color="auto"/>
        <w:left w:val="none" w:sz="0" w:space="0" w:color="auto"/>
        <w:bottom w:val="none" w:sz="0" w:space="0" w:color="auto"/>
        <w:right w:val="none" w:sz="0" w:space="0" w:color="auto"/>
      </w:divBdr>
    </w:div>
    <w:div w:id="53045320">
      <w:bodyDiv w:val="1"/>
      <w:marLeft w:val="0"/>
      <w:marRight w:val="0"/>
      <w:marTop w:val="0"/>
      <w:marBottom w:val="0"/>
      <w:divBdr>
        <w:top w:val="none" w:sz="0" w:space="0" w:color="auto"/>
        <w:left w:val="none" w:sz="0" w:space="0" w:color="auto"/>
        <w:bottom w:val="none" w:sz="0" w:space="0" w:color="auto"/>
        <w:right w:val="none" w:sz="0" w:space="0" w:color="auto"/>
      </w:divBdr>
    </w:div>
    <w:div w:id="79520728">
      <w:bodyDiv w:val="1"/>
      <w:marLeft w:val="0"/>
      <w:marRight w:val="0"/>
      <w:marTop w:val="0"/>
      <w:marBottom w:val="0"/>
      <w:divBdr>
        <w:top w:val="none" w:sz="0" w:space="0" w:color="auto"/>
        <w:left w:val="none" w:sz="0" w:space="0" w:color="auto"/>
        <w:bottom w:val="none" w:sz="0" w:space="0" w:color="auto"/>
        <w:right w:val="none" w:sz="0" w:space="0" w:color="auto"/>
      </w:divBdr>
    </w:div>
    <w:div w:id="90709544">
      <w:bodyDiv w:val="1"/>
      <w:marLeft w:val="0"/>
      <w:marRight w:val="0"/>
      <w:marTop w:val="0"/>
      <w:marBottom w:val="0"/>
      <w:divBdr>
        <w:top w:val="none" w:sz="0" w:space="0" w:color="auto"/>
        <w:left w:val="none" w:sz="0" w:space="0" w:color="auto"/>
        <w:bottom w:val="none" w:sz="0" w:space="0" w:color="auto"/>
        <w:right w:val="none" w:sz="0" w:space="0" w:color="auto"/>
      </w:divBdr>
    </w:div>
    <w:div w:id="128934407">
      <w:bodyDiv w:val="1"/>
      <w:marLeft w:val="0"/>
      <w:marRight w:val="0"/>
      <w:marTop w:val="0"/>
      <w:marBottom w:val="0"/>
      <w:divBdr>
        <w:top w:val="none" w:sz="0" w:space="0" w:color="auto"/>
        <w:left w:val="none" w:sz="0" w:space="0" w:color="auto"/>
        <w:bottom w:val="none" w:sz="0" w:space="0" w:color="auto"/>
        <w:right w:val="none" w:sz="0" w:space="0" w:color="auto"/>
      </w:divBdr>
    </w:div>
    <w:div w:id="134032944">
      <w:bodyDiv w:val="1"/>
      <w:marLeft w:val="0"/>
      <w:marRight w:val="0"/>
      <w:marTop w:val="0"/>
      <w:marBottom w:val="0"/>
      <w:divBdr>
        <w:top w:val="none" w:sz="0" w:space="0" w:color="auto"/>
        <w:left w:val="none" w:sz="0" w:space="0" w:color="auto"/>
        <w:bottom w:val="none" w:sz="0" w:space="0" w:color="auto"/>
        <w:right w:val="none" w:sz="0" w:space="0" w:color="auto"/>
      </w:divBdr>
    </w:div>
    <w:div w:id="143741572">
      <w:bodyDiv w:val="1"/>
      <w:marLeft w:val="0"/>
      <w:marRight w:val="0"/>
      <w:marTop w:val="0"/>
      <w:marBottom w:val="0"/>
      <w:divBdr>
        <w:top w:val="none" w:sz="0" w:space="0" w:color="auto"/>
        <w:left w:val="none" w:sz="0" w:space="0" w:color="auto"/>
        <w:bottom w:val="none" w:sz="0" w:space="0" w:color="auto"/>
        <w:right w:val="none" w:sz="0" w:space="0" w:color="auto"/>
      </w:divBdr>
    </w:div>
    <w:div w:id="150486404">
      <w:bodyDiv w:val="1"/>
      <w:marLeft w:val="0"/>
      <w:marRight w:val="0"/>
      <w:marTop w:val="0"/>
      <w:marBottom w:val="0"/>
      <w:divBdr>
        <w:top w:val="none" w:sz="0" w:space="0" w:color="auto"/>
        <w:left w:val="none" w:sz="0" w:space="0" w:color="auto"/>
        <w:bottom w:val="none" w:sz="0" w:space="0" w:color="auto"/>
        <w:right w:val="none" w:sz="0" w:space="0" w:color="auto"/>
      </w:divBdr>
    </w:div>
    <w:div w:id="153955049">
      <w:bodyDiv w:val="1"/>
      <w:marLeft w:val="0"/>
      <w:marRight w:val="0"/>
      <w:marTop w:val="0"/>
      <w:marBottom w:val="0"/>
      <w:divBdr>
        <w:top w:val="none" w:sz="0" w:space="0" w:color="auto"/>
        <w:left w:val="none" w:sz="0" w:space="0" w:color="auto"/>
        <w:bottom w:val="none" w:sz="0" w:space="0" w:color="auto"/>
        <w:right w:val="none" w:sz="0" w:space="0" w:color="auto"/>
      </w:divBdr>
    </w:div>
    <w:div w:id="164247267">
      <w:bodyDiv w:val="1"/>
      <w:marLeft w:val="0"/>
      <w:marRight w:val="0"/>
      <w:marTop w:val="0"/>
      <w:marBottom w:val="0"/>
      <w:divBdr>
        <w:top w:val="none" w:sz="0" w:space="0" w:color="auto"/>
        <w:left w:val="none" w:sz="0" w:space="0" w:color="auto"/>
        <w:bottom w:val="none" w:sz="0" w:space="0" w:color="auto"/>
        <w:right w:val="none" w:sz="0" w:space="0" w:color="auto"/>
      </w:divBdr>
    </w:div>
    <w:div w:id="189808627">
      <w:bodyDiv w:val="1"/>
      <w:marLeft w:val="0"/>
      <w:marRight w:val="0"/>
      <w:marTop w:val="0"/>
      <w:marBottom w:val="0"/>
      <w:divBdr>
        <w:top w:val="none" w:sz="0" w:space="0" w:color="auto"/>
        <w:left w:val="none" w:sz="0" w:space="0" w:color="auto"/>
        <w:bottom w:val="none" w:sz="0" w:space="0" w:color="auto"/>
        <w:right w:val="none" w:sz="0" w:space="0" w:color="auto"/>
      </w:divBdr>
    </w:div>
    <w:div w:id="192547625">
      <w:bodyDiv w:val="1"/>
      <w:marLeft w:val="0"/>
      <w:marRight w:val="0"/>
      <w:marTop w:val="0"/>
      <w:marBottom w:val="0"/>
      <w:divBdr>
        <w:top w:val="none" w:sz="0" w:space="0" w:color="auto"/>
        <w:left w:val="none" w:sz="0" w:space="0" w:color="auto"/>
        <w:bottom w:val="none" w:sz="0" w:space="0" w:color="auto"/>
        <w:right w:val="none" w:sz="0" w:space="0" w:color="auto"/>
      </w:divBdr>
    </w:div>
    <w:div w:id="201865846">
      <w:bodyDiv w:val="1"/>
      <w:marLeft w:val="0"/>
      <w:marRight w:val="0"/>
      <w:marTop w:val="0"/>
      <w:marBottom w:val="0"/>
      <w:divBdr>
        <w:top w:val="none" w:sz="0" w:space="0" w:color="auto"/>
        <w:left w:val="none" w:sz="0" w:space="0" w:color="auto"/>
        <w:bottom w:val="none" w:sz="0" w:space="0" w:color="auto"/>
        <w:right w:val="none" w:sz="0" w:space="0" w:color="auto"/>
      </w:divBdr>
    </w:div>
    <w:div w:id="207692987">
      <w:bodyDiv w:val="1"/>
      <w:marLeft w:val="0"/>
      <w:marRight w:val="0"/>
      <w:marTop w:val="0"/>
      <w:marBottom w:val="0"/>
      <w:divBdr>
        <w:top w:val="none" w:sz="0" w:space="0" w:color="auto"/>
        <w:left w:val="none" w:sz="0" w:space="0" w:color="auto"/>
        <w:bottom w:val="none" w:sz="0" w:space="0" w:color="auto"/>
        <w:right w:val="none" w:sz="0" w:space="0" w:color="auto"/>
      </w:divBdr>
    </w:div>
    <w:div w:id="219170429">
      <w:bodyDiv w:val="1"/>
      <w:marLeft w:val="0"/>
      <w:marRight w:val="0"/>
      <w:marTop w:val="0"/>
      <w:marBottom w:val="0"/>
      <w:divBdr>
        <w:top w:val="none" w:sz="0" w:space="0" w:color="auto"/>
        <w:left w:val="none" w:sz="0" w:space="0" w:color="auto"/>
        <w:bottom w:val="none" w:sz="0" w:space="0" w:color="auto"/>
        <w:right w:val="none" w:sz="0" w:space="0" w:color="auto"/>
      </w:divBdr>
    </w:div>
    <w:div w:id="226383298">
      <w:bodyDiv w:val="1"/>
      <w:marLeft w:val="0"/>
      <w:marRight w:val="0"/>
      <w:marTop w:val="0"/>
      <w:marBottom w:val="0"/>
      <w:divBdr>
        <w:top w:val="none" w:sz="0" w:space="0" w:color="auto"/>
        <w:left w:val="none" w:sz="0" w:space="0" w:color="auto"/>
        <w:bottom w:val="none" w:sz="0" w:space="0" w:color="auto"/>
        <w:right w:val="none" w:sz="0" w:space="0" w:color="auto"/>
      </w:divBdr>
    </w:div>
    <w:div w:id="242305590">
      <w:bodyDiv w:val="1"/>
      <w:marLeft w:val="0"/>
      <w:marRight w:val="0"/>
      <w:marTop w:val="0"/>
      <w:marBottom w:val="0"/>
      <w:divBdr>
        <w:top w:val="none" w:sz="0" w:space="0" w:color="auto"/>
        <w:left w:val="none" w:sz="0" w:space="0" w:color="auto"/>
        <w:bottom w:val="none" w:sz="0" w:space="0" w:color="auto"/>
        <w:right w:val="none" w:sz="0" w:space="0" w:color="auto"/>
      </w:divBdr>
    </w:div>
    <w:div w:id="242421838">
      <w:bodyDiv w:val="1"/>
      <w:marLeft w:val="0"/>
      <w:marRight w:val="0"/>
      <w:marTop w:val="0"/>
      <w:marBottom w:val="0"/>
      <w:divBdr>
        <w:top w:val="none" w:sz="0" w:space="0" w:color="auto"/>
        <w:left w:val="none" w:sz="0" w:space="0" w:color="auto"/>
        <w:bottom w:val="none" w:sz="0" w:space="0" w:color="auto"/>
        <w:right w:val="none" w:sz="0" w:space="0" w:color="auto"/>
      </w:divBdr>
    </w:div>
    <w:div w:id="251160207">
      <w:bodyDiv w:val="1"/>
      <w:marLeft w:val="0"/>
      <w:marRight w:val="0"/>
      <w:marTop w:val="0"/>
      <w:marBottom w:val="0"/>
      <w:divBdr>
        <w:top w:val="none" w:sz="0" w:space="0" w:color="auto"/>
        <w:left w:val="none" w:sz="0" w:space="0" w:color="auto"/>
        <w:bottom w:val="none" w:sz="0" w:space="0" w:color="auto"/>
        <w:right w:val="none" w:sz="0" w:space="0" w:color="auto"/>
      </w:divBdr>
    </w:div>
    <w:div w:id="256789878">
      <w:bodyDiv w:val="1"/>
      <w:marLeft w:val="0"/>
      <w:marRight w:val="0"/>
      <w:marTop w:val="0"/>
      <w:marBottom w:val="0"/>
      <w:divBdr>
        <w:top w:val="none" w:sz="0" w:space="0" w:color="auto"/>
        <w:left w:val="none" w:sz="0" w:space="0" w:color="auto"/>
        <w:bottom w:val="none" w:sz="0" w:space="0" w:color="auto"/>
        <w:right w:val="none" w:sz="0" w:space="0" w:color="auto"/>
      </w:divBdr>
    </w:div>
    <w:div w:id="260913092">
      <w:bodyDiv w:val="1"/>
      <w:marLeft w:val="0"/>
      <w:marRight w:val="0"/>
      <w:marTop w:val="0"/>
      <w:marBottom w:val="0"/>
      <w:divBdr>
        <w:top w:val="none" w:sz="0" w:space="0" w:color="auto"/>
        <w:left w:val="none" w:sz="0" w:space="0" w:color="auto"/>
        <w:bottom w:val="none" w:sz="0" w:space="0" w:color="auto"/>
        <w:right w:val="none" w:sz="0" w:space="0" w:color="auto"/>
      </w:divBdr>
    </w:div>
    <w:div w:id="269514150">
      <w:bodyDiv w:val="1"/>
      <w:marLeft w:val="0"/>
      <w:marRight w:val="0"/>
      <w:marTop w:val="0"/>
      <w:marBottom w:val="0"/>
      <w:divBdr>
        <w:top w:val="none" w:sz="0" w:space="0" w:color="auto"/>
        <w:left w:val="none" w:sz="0" w:space="0" w:color="auto"/>
        <w:bottom w:val="none" w:sz="0" w:space="0" w:color="auto"/>
        <w:right w:val="none" w:sz="0" w:space="0" w:color="auto"/>
      </w:divBdr>
    </w:div>
    <w:div w:id="316766588">
      <w:bodyDiv w:val="1"/>
      <w:marLeft w:val="0"/>
      <w:marRight w:val="0"/>
      <w:marTop w:val="0"/>
      <w:marBottom w:val="0"/>
      <w:divBdr>
        <w:top w:val="none" w:sz="0" w:space="0" w:color="auto"/>
        <w:left w:val="none" w:sz="0" w:space="0" w:color="auto"/>
        <w:bottom w:val="none" w:sz="0" w:space="0" w:color="auto"/>
        <w:right w:val="none" w:sz="0" w:space="0" w:color="auto"/>
      </w:divBdr>
    </w:div>
    <w:div w:id="324937509">
      <w:bodyDiv w:val="1"/>
      <w:marLeft w:val="0"/>
      <w:marRight w:val="0"/>
      <w:marTop w:val="0"/>
      <w:marBottom w:val="0"/>
      <w:divBdr>
        <w:top w:val="none" w:sz="0" w:space="0" w:color="auto"/>
        <w:left w:val="none" w:sz="0" w:space="0" w:color="auto"/>
        <w:bottom w:val="none" w:sz="0" w:space="0" w:color="auto"/>
        <w:right w:val="none" w:sz="0" w:space="0" w:color="auto"/>
      </w:divBdr>
    </w:div>
    <w:div w:id="334311172">
      <w:bodyDiv w:val="1"/>
      <w:marLeft w:val="0"/>
      <w:marRight w:val="0"/>
      <w:marTop w:val="0"/>
      <w:marBottom w:val="0"/>
      <w:divBdr>
        <w:top w:val="none" w:sz="0" w:space="0" w:color="auto"/>
        <w:left w:val="none" w:sz="0" w:space="0" w:color="auto"/>
        <w:bottom w:val="none" w:sz="0" w:space="0" w:color="auto"/>
        <w:right w:val="none" w:sz="0" w:space="0" w:color="auto"/>
      </w:divBdr>
    </w:div>
    <w:div w:id="335810691">
      <w:bodyDiv w:val="1"/>
      <w:marLeft w:val="0"/>
      <w:marRight w:val="0"/>
      <w:marTop w:val="0"/>
      <w:marBottom w:val="0"/>
      <w:divBdr>
        <w:top w:val="none" w:sz="0" w:space="0" w:color="auto"/>
        <w:left w:val="none" w:sz="0" w:space="0" w:color="auto"/>
        <w:bottom w:val="none" w:sz="0" w:space="0" w:color="auto"/>
        <w:right w:val="none" w:sz="0" w:space="0" w:color="auto"/>
      </w:divBdr>
    </w:div>
    <w:div w:id="336664424">
      <w:bodyDiv w:val="1"/>
      <w:marLeft w:val="0"/>
      <w:marRight w:val="0"/>
      <w:marTop w:val="0"/>
      <w:marBottom w:val="0"/>
      <w:divBdr>
        <w:top w:val="none" w:sz="0" w:space="0" w:color="auto"/>
        <w:left w:val="none" w:sz="0" w:space="0" w:color="auto"/>
        <w:bottom w:val="none" w:sz="0" w:space="0" w:color="auto"/>
        <w:right w:val="none" w:sz="0" w:space="0" w:color="auto"/>
      </w:divBdr>
    </w:div>
    <w:div w:id="349649065">
      <w:bodyDiv w:val="1"/>
      <w:marLeft w:val="0"/>
      <w:marRight w:val="0"/>
      <w:marTop w:val="0"/>
      <w:marBottom w:val="0"/>
      <w:divBdr>
        <w:top w:val="none" w:sz="0" w:space="0" w:color="auto"/>
        <w:left w:val="none" w:sz="0" w:space="0" w:color="auto"/>
        <w:bottom w:val="none" w:sz="0" w:space="0" w:color="auto"/>
        <w:right w:val="none" w:sz="0" w:space="0" w:color="auto"/>
      </w:divBdr>
      <w:divsChild>
        <w:div w:id="1373767611">
          <w:marLeft w:val="0"/>
          <w:marRight w:val="0"/>
          <w:marTop w:val="0"/>
          <w:marBottom w:val="0"/>
          <w:divBdr>
            <w:top w:val="none" w:sz="0" w:space="0" w:color="auto"/>
            <w:left w:val="none" w:sz="0" w:space="0" w:color="auto"/>
            <w:bottom w:val="none" w:sz="0" w:space="0" w:color="auto"/>
            <w:right w:val="none" w:sz="0" w:space="0" w:color="auto"/>
          </w:divBdr>
          <w:divsChild>
            <w:div w:id="154809903">
              <w:marLeft w:val="0"/>
              <w:marRight w:val="0"/>
              <w:marTop w:val="0"/>
              <w:marBottom w:val="0"/>
              <w:divBdr>
                <w:top w:val="none" w:sz="0" w:space="0" w:color="auto"/>
                <w:left w:val="none" w:sz="0" w:space="0" w:color="auto"/>
                <w:bottom w:val="none" w:sz="0" w:space="0" w:color="auto"/>
                <w:right w:val="none" w:sz="0" w:space="0" w:color="auto"/>
              </w:divBdr>
              <w:divsChild>
                <w:div w:id="1980304208">
                  <w:marLeft w:val="0"/>
                  <w:marRight w:val="0"/>
                  <w:marTop w:val="0"/>
                  <w:marBottom w:val="0"/>
                  <w:divBdr>
                    <w:top w:val="none" w:sz="0" w:space="0" w:color="auto"/>
                    <w:left w:val="none" w:sz="0" w:space="0" w:color="auto"/>
                    <w:bottom w:val="none" w:sz="0" w:space="0" w:color="auto"/>
                    <w:right w:val="none" w:sz="0" w:space="0" w:color="auto"/>
                  </w:divBdr>
                  <w:divsChild>
                    <w:div w:id="1310330694">
                      <w:marLeft w:val="0"/>
                      <w:marRight w:val="0"/>
                      <w:marTop w:val="0"/>
                      <w:marBottom w:val="0"/>
                      <w:divBdr>
                        <w:top w:val="none" w:sz="0" w:space="0" w:color="auto"/>
                        <w:left w:val="none" w:sz="0" w:space="0" w:color="auto"/>
                        <w:bottom w:val="none" w:sz="0" w:space="0" w:color="auto"/>
                        <w:right w:val="none" w:sz="0" w:space="0" w:color="auto"/>
                      </w:divBdr>
                      <w:divsChild>
                        <w:div w:id="418411223">
                          <w:marLeft w:val="0"/>
                          <w:marRight w:val="0"/>
                          <w:marTop w:val="0"/>
                          <w:marBottom w:val="0"/>
                          <w:divBdr>
                            <w:top w:val="none" w:sz="0" w:space="0" w:color="auto"/>
                            <w:left w:val="none" w:sz="0" w:space="0" w:color="auto"/>
                            <w:bottom w:val="none" w:sz="0" w:space="0" w:color="auto"/>
                            <w:right w:val="none" w:sz="0" w:space="0" w:color="auto"/>
                          </w:divBdr>
                          <w:divsChild>
                            <w:div w:id="21302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628786">
      <w:bodyDiv w:val="1"/>
      <w:marLeft w:val="0"/>
      <w:marRight w:val="0"/>
      <w:marTop w:val="0"/>
      <w:marBottom w:val="0"/>
      <w:divBdr>
        <w:top w:val="none" w:sz="0" w:space="0" w:color="auto"/>
        <w:left w:val="none" w:sz="0" w:space="0" w:color="auto"/>
        <w:bottom w:val="none" w:sz="0" w:space="0" w:color="auto"/>
        <w:right w:val="none" w:sz="0" w:space="0" w:color="auto"/>
      </w:divBdr>
      <w:divsChild>
        <w:div w:id="1138377426">
          <w:marLeft w:val="0"/>
          <w:marRight w:val="0"/>
          <w:marTop w:val="0"/>
          <w:marBottom w:val="0"/>
          <w:divBdr>
            <w:top w:val="none" w:sz="0" w:space="0" w:color="auto"/>
            <w:left w:val="none" w:sz="0" w:space="0" w:color="auto"/>
            <w:bottom w:val="none" w:sz="0" w:space="0" w:color="auto"/>
            <w:right w:val="none" w:sz="0" w:space="0" w:color="auto"/>
          </w:divBdr>
          <w:divsChild>
            <w:div w:id="1159035254">
              <w:marLeft w:val="0"/>
              <w:marRight w:val="0"/>
              <w:marTop w:val="0"/>
              <w:marBottom w:val="0"/>
              <w:divBdr>
                <w:top w:val="none" w:sz="0" w:space="0" w:color="auto"/>
                <w:left w:val="none" w:sz="0" w:space="0" w:color="auto"/>
                <w:bottom w:val="none" w:sz="0" w:space="0" w:color="auto"/>
                <w:right w:val="none" w:sz="0" w:space="0" w:color="auto"/>
              </w:divBdr>
              <w:divsChild>
                <w:div w:id="1381704838">
                  <w:marLeft w:val="0"/>
                  <w:marRight w:val="0"/>
                  <w:marTop w:val="0"/>
                  <w:marBottom w:val="0"/>
                  <w:divBdr>
                    <w:top w:val="none" w:sz="0" w:space="0" w:color="auto"/>
                    <w:left w:val="none" w:sz="0" w:space="0" w:color="auto"/>
                    <w:bottom w:val="none" w:sz="0" w:space="0" w:color="auto"/>
                    <w:right w:val="none" w:sz="0" w:space="0" w:color="auto"/>
                  </w:divBdr>
                  <w:divsChild>
                    <w:div w:id="31911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12794">
      <w:bodyDiv w:val="1"/>
      <w:marLeft w:val="0"/>
      <w:marRight w:val="0"/>
      <w:marTop w:val="0"/>
      <w:marBottom w:val="0"/>
      <w:divBdr>
        <w:top w:val="none" w:sz="0" w:space="0" w:color="auto"/>
        <w:left w:val="none" w:sz="0" w:space="0" w:color="auto"/>
        <w:bottom w:val="none" w:sz="0" w:space="0" w:color="auto"/>
        <w:right w:val="none" w:sz="0" w:space="0" w:color="auto"/>
      </w:divBdr>
      <w:divsChild>
        <w:div w:id="866678473">
          <w:marLeft w:val="0"/>
          <w:marRight w:val="0"/>
          <w:marTop w:val="0"/>
          <w:marBottom w:val="0"/>
          <w:divBdr>
            <w:top w:val="none" w:sz="0" w:space="0" w:color="auto"/>
            <w:left w:val="none" w:sz="0" w:space="0" w:color="auto"/>
            <w:bottom w:val="none" w:sz="0" w:space="0" w:color="auto"/>
            <w:right w:val="none" w:sz="0" w:space="0" w:color="auto"/>
          </w:divBdr>
          <w:divsChild>
            <w:div w:id="1411538855">
              <w:marLeft w:val="0"/>
              <w:marRight w:val="0"/>
              <w:marTop w:val="0"/>
              <w:marBottom w:val="0"/>
              <w:divBdr>
                <w:top w:val="none" w:sz="0" w:space="0" w:color="auto"/>
                <w:left w:val="none" w:sz="0" w:space="0" w:color="auto"/>
                <w:bottom w:val="none" w:sz="0" w:space="0" w:color="auto"/>
                <w:right w:val="none" w:sz="0" w:space="0" w:color="auto"/>
              </w:divBdr>
              <w:divsChild>
                <w:div w:id="1519395327">
                  <w:marLeft w:val="0"/>
                  <w:marRight w:val="0"/>
                  <w:marTop w:val="0"/>
                  <w:marBottom w:val="0"/>
                  <w:divBdr>
                    <w:top w:val="none" w:sz="0" w:space="0" w:color="auto"/>
                    <w:left w:val="none" w:sz="0" w:space="0" w:color="auto"/>
                    <w:bottom w:val="none" w:sz="0" w:space="0" w:color="auto"/>
                    <w:right w:val="none" w:sz="0" w:space="0" w:color="auto"/>
                  </w:divBdr>
                  <w:divsChild>
                    <w:div w:id="65687957">
                      <w:marLeft w:val="0"/>
                      <w:marRight w:val="0"/>
                      <w:marTop w:val="0"/>
                      <w:marBottom w:val="0"/>
                      <w:divBdr>
                        <w:top w:val="none" w:sz="0" w:space="0" w:color="auto"/>
                        <w:left w:val="none" w:sz="0" w:space="0" w:color="auto"/>
                        <w:bottom w:val="none" w:sz="0" w:space="0" w:color="auto"/>
                        <w:right w:val="none" w:sz="0" w:space="0" w:color="auto"/>
                      </w:divBdr>
                      <w:divsChild>
                        <w:div w:id="1731146215">
                          <w:marLeft w:val="0"/>
                          <w:marRight w:val="0"/>
                          <w:marTop w:val="0"/>
                          <w:marBottom w:val="0"/>
                          <w:divBdr>
                            <w:top w:val="none" w:sz="0" w:space="0" w:color="auto"/>
                            <w:left w:val="none" w:sz="0" w:space="0" w:color="auto"/>
                            <w:bottom w:val="none" w:sz="0" w:space="0" w:color="auto"/>
                            <w:right w:val="none" w:sz="0" w:space="0" w:color="auto"/>
                          </w:divBdr>
                          <w:divsChild>
                            <w:div w:id="1176310197">
                              <w:marLeft w:val="0"/>
                              <w:marRight w:val="0"/>
                              <w:marTop w:val="0"/>
                              <w:marBottom w:val="0"/>
                              <w:divBdr>
                                <w:top w:val="none" w:sz="0" w:space="0" w:color="auto"/>
                                <w:left w:val="none" w:sz="0" w:space="0" w:color="auto"/>
                                <w:bottom w:val="none" w:sz="0" w:space="0" w:color="auto"/>
                                <w:right w:val="none" w:sz="0" w:space="0" w:color="auto"/>
                              </w:divBdr>
                              <w:divsChild>
                                <w:div w:id="427115650">
                                  <w:marLeft w:val="0"/>
                                  <w:marRight w:val="0"/>
                                  <w:marTop w:val="0"/>
                                  <w:marBottom w:val="0"/>
                                  <w:divBdr>
                                    <w:top w:val="none" w:sz="0" w:space="0" w:color="auto"/>
                                    <w:left w:val="none" w:sz="0" w:space="0" w:color="auto"/>
                                    <w:bottom w:val="none" w:sz="0" w:space="0" w:color="auto"/>
                                    <w:right w:val="none" w:sz="0" w:space="0" w:color="auto"/>
                                  </w:divBdr>
                                  <w:divsChild>
                                    <w:div w:id="228807653">
                                      <w:marLeft w:val="0"/>
                                      <w:marRight w:val="0"/>
                                      <w:marTop w:val="0"/>
                                      <w:marBottom w:val="0"/>
                                      <w:divBdr>
                                        <w:top w:val="none" w:sz="0" w:space="0" w:color="auto"/>
                                        <w:left w:val="none" w:sz="0" w:space="0" w:color="auto"/>
                                        <w:bottom w:val="none" w:sz="0" w:space="0" w:color="auto"/>
                                        <w:right w:val="none" w:sz="0" w:space="0" w:color="auto"/>
                                      </w:divBdr>
                                      <w:divsChild>
                                        <w:div w:id="1595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566741">
      <w:bodyDiv w:val="1"/>
      <w:marLeft w:val="0"/>
      <w:marRight w:val="0"/>
      <w:marTop w:val="0"/>
      <w:marBottom w:val="0"/>
      <w:divBdr>
        <w:top w:val="none" w:sz="0" w:space="0" w:color="auto"/>
        <w:left w:val="none" w:sz="0" w:space="0" w:color="auto"/>
        <w:bottom w:val="none" w:sz="0" w:space="0" w:color="auto"/>
        <w:right w:val="none" w:sz="0" w:space="0" w:color="auto"/>
      </w:divBdr>
    </w:div>
    <w:div w:id="404962509">
      <w:bodyDiv w:val="1"/>
      <w:marLeft w:val="0"/>
      <w:marRight w:val="0"/>
      <w:marTop w:val="0"/>
      <w:marBottom w:val="0"/>
      <w:divBdr>
        <w:top w:val="none" w:sz="0" w:space="0" w:color="auto"/>
        <w:left w:val="none" w:sz="0" w:space="0" w:color="auto"/>
        <w:bottom w:val="none" w:sz="0" w:space="0" w:color="auto"/>
        <w:right w:val="none" w:sz="0" w:space="0" w:color="auto"/>
      </w:divBdr>
    </w:div>
    <w:div w:id="407267459">
      <w:bodyDiv w:val="1"/>
      <w:marLeft w:val="0"/>
      <w:marRight w:val="0"/>
      <w:marTop w:val="0"/>
      <w:marBottom w:val="0"/>
      <w:divBdr>
        <w:top w:val="none" w:sz="0" w:space="0" w:color="auto"/>
        <w:left w:val="none" w:sz="0" w:space="0" w:color="auto"/>
        <w:bottom w:val="none" w:sz="0" w:space="0" w:color="auto"/>
        <w:right w:val="none" w:sz="0" w:space="0" w:color="auto"/>
      </w:divBdr>
    </w:div>
    <w:div w:id="410009472">
      <w:bodyDiv w:val="1"/>
      <w:marLeft w:val="0"/>
      <w:marRight w:val="0"/>
      <w:marTop w:val="0"/>
      <w:marBottom w:val="0"/>
      <w:divBdr>
        <w:top w:val="none" w:sz="0" w:space="0" w:color="auto"/>
        <w:left w:val="none" w:sz="0" w:space="0" w:color="auto"/>
        <w:bottom w:val="none" w:sz="0" w:space="0" w:color="auto"/>
        <w:right w:val="none" w:sz="0" w:space="0" w:color="auto"/>
      </w:divBdr>
    </w:div>
    <w:div w:id="422336989">
      <w:bodyDiv w:val="1"/>
      <w:marLeft w:val="0"/>
      <w:marRight w:val="0"/>
      <w:marTop w:val="0"/>
      <w:marBottom w:val="0"/>
      <w:divBdr>
        <w:top w:val="none" w:sz="0" w:space="0" w:color="auto"/>
        <w:left w:val="none" w:sz="0" w:space="0" w:color="auto"/>
        <w:bottom w:val="none" w:sz="0" w:space="0" w:color="auto"/>
        <w:right w:val="none" w:sz="0" w:space="0" w:color="auto"/>
      </w:divBdr>
      <w:divsChild>
        <w:div w:id="1164079833">
          <w:marLeft w:val="0"/>
          <w:marRight w:val="0"/>
          <w:marTop w:val="0"/>
          <w:marBottom w:val="0"/>
          <w:divBdr>
            <w:top w:val="none" w:sz="0" w:space="0" w:color="auto"/>
            <w:left w:val="none" w:sz="0" w:space="0" w:color="auto"/>
            <w:bottom w:val="none" w:sz="0" w:space="0" w:color="auto"/>
            <w:right w:val="none" w:sz="0" w:space="0" w:color="auto"/>
          </w:divBdr>
          <w:divsChild>
            <w:div w:id="456679559">
              <w:marLeft w:val="0"/>
              <w:marRight w:val="0"/>
              <w:marTop w:val="0"/>
              <w:marBottom w:val="0"/>
              <w:divBdr>
                <w:top w:val="none" w:sz="0" w:space="0" w:color="auto"/>
                <w:left w:val="none" w:sz="0" w:space="0" w:color="auto"/>
                <w:bottom w:val="none" w:sz="0" w:space="0" w:color="auto"/>
                <w:right w:val="none" w:sz="0" w:space="0" w:color="auto"/>
              </w:divBdr>
              <w:divsChild>
                <w:div w:id="1244604840">
                  <w:marLeft w:val="0"/>
                  <w:marRight w:val="0"/>
                  <w:marTop w:val="0"/>
                  <w:marBottom w:val="0"/>
                  <w:divBdr>
                    <w:top w:val="none" w:sz="0" w:space="0" w:color="auto"/>
                    <w:left w:val="none" w:sz="0" w:space="0" w:color="auto"/>
                    <w:bottom w:val="none" w:sz="0" w:space="0" w:color="auto"/>
                    <w:right w:val="none" w:sz="0" w:space="0" w:color="auto"/>
                  </w:divBdr>
                  <w:divsChild>
                    <w:div w:id="953175528">
                      <w:marLeft w:val="0"/>
                      <w:marRight w:val="0"/>
                      <w:marTop w:val="0"/>
                      <w:marBottom w:val="0"/>
                      <w:divBdr>
                        <w:top w:val="none" w:sz="0" w:space="0" w:color="auto"/>
                        <w:left w:val="none" w:sz="0" w:space="0" w:color="auto"/>
                        <w:bottom w:val="none" w:sz="0" w:space="0" w:color="auto"/>
                        <w:right w:val="none" w:sz="0" w:space="0" w:color="auto"/>
                      </w:divBdr>
                      <w:divsChild>
                        <w:div w:id="1480655957">
                          <w:marLeft w:val="0"/>
                          <w:marRight w:val="0"/>
                          <w:marTop w:val="0"/>
                          <w:marBottom w:val="0"/>
                          <w:divBdr>
                            <w:top w:val="none" w:sz="0" w:space="0" w:color="auto"/>
                            <w:left w:val="none" w:sz="0" w:space="0" w:color="auto"/>
                            <w:bottom w:val="none" w:sz="0" w:space="0" w:color="auto"/>
                            <w:right w:val="none" w:sz="0" w:space="0" w:color="auto"/>
                          </w:divBdr>
                          <w:divsChild>
                            <w:div w:id="1589146691">
                              <w:marLeft w:val="0"/>
                              <w:marRight w:val="0"/>
                              <w:marTop w:val="0"/>
                              <w:marBottom w:val="0"/>
                              <w:divBdr>
                                <w:top w:val="none" w:sz="0" w:space="0" w:color="auto"/>
                                <w:left w:val="none" w:sz="0" w:space="0" w:color="auto"/>
                                <w:bottom w:val="none" w:sz="0" w:space="0" w:color="auto"/>
                                <w:right w:val="none" w:sz="0" w:space="0" w:color="auto"/>
                              </w:divBdr>
                              <w:divsChild>
                                <w:div w:id="1478523798">
                                  <w:marLeft w:val="0"/>
                                  <w:marRight w:val="0"/>
                                  <w:marTop w:val="0"/>
                                  <w:marBottom w:val="0"/>
                                  <w:divBdr>
                                    <w:top w:val="none" w:sz="0" w:space="0" w:color="auto"/>
                                    <w:left w:val="none" w:sz="0" w:space="0" w:color="auto"/>
                                    <w:bottom w:val="none" w:sz="0" w:space="0" w:color="auto"/>
                                    <w:right w:val="none" w:sz="0" w:space="0" w:color="auto"/>
                                  </w:divBdr>
                                  <w:divsChild>
                                    <w:div w:id="233322562">
                                      <w:marLeft w:val="0"/>
                                      <w:marRight w:val="0"/>
                                      <w:marTop w:val="0"/>
                                      <w:marBottom w:val="0"/>
                                      <w:divBdr>
                                        <w:top w:val="none" w:sz="0" w:space="0" w:color="auto"/>
                                        <w:left w:val="none" w:sz="0" w:space="0" w:color="auto"/>
                                        <w:bottom w:val="none" w:sz="0" w:space="0" w:color="auto"/>
                                        <w:right w:val="none" w:sz="0" w:space="0" w:color="auto"/>
                                      </w:divBdr>
                                      <w:divsChild>
                                        <w:div w:id="8328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860749">
      <w:bodyDiv w:val="1"/>
      <w:marLeft w:val="0"/>
      <w:marRight w:val="0"/>
      <w:marTop w:val="0"/>
      <w:marBottom w:val="0"/>
      <w:divBdr>
        <w:top w:val="none" w:sz="0" w:space="0" w:color="auto"/>
        <w:left w:val="none" w:sz="0" w:space="0" w:color="auto"/>
        <w:bottom w:val="none" w:sz="0" w:space="0" w:color="auto"/>
        <w:right w:val="none" w:sz="0" w:space="0" w:color="auto"/>
      </w:divBdr>
    </w:div>
    <w:div w:id="455024022">
      <w:bodyDiv w:val="1"/>
      <w:marLeft w:val="0"/>
      <w:marRight w:val="0"/>
      <w:marTop w:val="0"/>
      <w:marBottom w:val="0"/>
      <w:divBdr>
        <w:top w:val="none" w:sz="0" w:space="0" w:color="auto"/>
        <w:left w:val="none" w:sz="0" w:space="0" w:color="auto"/>
        <w:bottom w:val="none" w:sz="0" w:space="0" w:color="auto"/>
        <w:right w:val="none" w:sz="0" w:space="0" w:color="auto"/>
      </w:divBdr>
    </w:div>
    <w:div w:id="480197458">
      <w:bodyDiv w:val="1"/>
      <w:marLeft w:val="0"/>
      <w:marRight w:val="0"/>
      <w:marTop w:val="0"/>
      <w:marBottom w:val="0"/>
      <w:divBdr>
        <w:top w:val="none" w:sz="0" w:space="0" w:color="auto"/>
        <w:left w:val="none" w:sz="0" w:space="0" w:color="auto"/>
        <w:bottom w:val="none" w:sz="0" w:space="0" w:color="auto"/>
        <w:right w:val="none" w:sz="0" w:space="0" w:color="auto"/>
      </w:divBdr>
    </w:div>
    <w:div w:id="495074283">
      <w:bodyDiv w:val="1"/>
      <w:marLeft w:val="0"/>
      <w:marRight w:val="0"/>
      <w:marTop w:val="0"/>
      <w:marBottom w:val="0"/>
      <w:divBdr>
        <w:top w:val="none" w:sz="0" w:space="0" w:color="auto"/>
        <w:left w:val="none" w:sz="0" w:space="0" w:color="auto"/>
        <w:bottom w:val="none" w:sz="0" w:space="0" w:color="auto"/>
        <w:right w:val="none" w:sz="0" w:space="0" w:color="auto"/>
      </w:divBdr>
    </w:div>
    <w:div w:id="521894988">
      <w:bodyDiv w:val="1"/>
      <w:marLeft w:val="0"/>
      <w:marRight w:val="0"/>
      <w:marTop w:val="0"/>
      <w:marBottom w:val="0"/>
      <w:divBdr>
        <w:top w:val="none" w:sz="0" w:space="0" w:color="auto"/>
        <w:left w:val="none" w:sz="0" w:space="0" w:color="auto"/>
        <w:bottom w:val="none" w:sz="0" w:space="0" w:color="auto"/>
        <w:right w:val="none" w:sz="0" w:space="0" w:color="auto"/>
      </w:divBdr>
    </w:div>
    <w:div w:id="524908717">
      <w:bodyDiv w:val="1"/>
      <w:marLeft w:val="0"/>
      <w:marRight w:val="0"/>
      <w:marTop w:val="0"/>
      <w:marBottom w:val="0"/>
      <w:divBdr>
        <w:top w:val="none" w:sz="0" w:space="0" w:color="auto"/>
        <w:left w:val="none" w:sz="0" w:space="0" w:color="auto"/>
        <w:bottom w:val="none" w:sz="0" w:space="0" w:color="auto"/>
        <w:right w:val="none" w:sz="0" w:space="0" w:color="auto"/>
      </w:divBdr>
    </w:div>
    <w:div w:id="531236310">
      <w:bodyDiv w:val="1"/>
      <w:marLeft w:val="0"/>
      <w:marRight w:val="0"/>
      <w:marTop w:val="0"/>
      <w:marBottom w:val="0"/>
      <w:divBdr>
        <w:top w:val="none" w:sz="0" w:space="0" w:color="auto"/>
        <w:left w:val="none" w:sz="0" w:space="0" w:color="auto"/>
        <w:bottom w:val="none" w:sz="0" w:space="0" w:color="auto"/>
        <w:right w:val="none" w:sz="0" w:space="0" w:color="auto"/>
      </w:divBdr>
    </w:div>
    <w:div w:id="537670560">
      <w:bodyDiv w:val="1"/>
      <w:marLeft w:val="0"/>
      <w:marRight w:val="0"/>
      <w:marTop w:val="0"/>
      <w:marBottom w:val="0"/>
      <w:divBdr>
        <w:top w:val="none" w:sz="0" w:space="0" w:color="auto"/>
        <w:left w:val="none" w:sz="0" w:space="0" w:color="auto"/>
        <w:bottom w:val="none" w:sz="0" w:space="0" w:color="auto"/>
        <w:right w:val="none" w:sz="0" w:space="0" w:color="auto"/>
      </w:divBdr>
    </w:div>
    <w:div w:id="541983527">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60605500">
      <w:bodyDiv w:val="1"/>
      <w:marLeft w:val="0"/>
      <w:marRight w:val="0"/>
      <w:marTop w:val="0"/>
      <w:marBottom w:val="0"/>
      <w:divBdr>
        <w:top w:val="none" w:sz="0" w:space="0" w:color="auto"/>
        <w:left w:val="none" w:sz="0" w:space="0" w:color="auto"/>
        <w:bottom w:val="none" w:sz="0" w:space="0" w:color="auto"/>
        <w:right w:val="none" w:sz="0" w:space="0" w:color="auto"/>
      </w:divBdr>
    </w:div>
    <w:div w:id="591277735">
      <w:bodyDiv w:val="1"/>
      <w:marLeft w:val="0"/>
      <w:marRight w:val="0"/>
      <w:marTop w:val="0"/>
      <w:marBottom w:val="0"/>
      <w:divBdr>
        <w:top w:val="none" w:sz="0" w:space="0" w:color="auto"/>
        <w:left w:val="none" w:sz="0" w:space="0" w:color="auto"/>
        <w:bottom w:val="none" w:sz="0" w:space="0" w:color="auto"/>
        <w:right w:val="none" w:sz="0" w:space="0" w:color="auto"/>
      </w:divBdr>
    </w:div>
    <w:div w:id="630407498">
      <w:bodyDiv w:val="1"/>
      <w:marLeft w:val="0"/>
      <w:marRight w:val="0"/>
      <w:marTop w:val="0"/>
      <w:marBottom w:val="0"/>
      <w:divBdr>
        <w:top w:val="none" w:sz="0" w:space="0" w:color="auto"/>
        <w:left w:val="none" w:sz="0" w:space="0" w:color="auto"/>
        <w:bottom w:val="none" w:sz="0" w:space="0" w:color="auto"/>
        <w:right w:val="none" w:sz="0" w:space="0" w:color="auto"/>
      </w:divBdr>
    </w:div>
    <w:div w:id="660425499">
      <w:bodyDiv w:val="1"/>
      <w:marLeft w:val="0"/>
      <w:marRight w:val="0"/>
      <w:marTop w:val="0"/>
      <w:marBottom w:val="0"/>
      <w:divBdr>
        <w:top w:val="none" w:sz="0" w:space="0" w:color="auto"/>
        <w:left w:val="none" w:sz="0" w:space="0" w:color="auto"/>
        <w:bottom w:val="none" w:sz="0" w:space="0" w:color="auto"/>
        <w:right w:val="none" w:sz="0" w:space="0" w:color="auto"/>
      </w:divBdr>
    </w:div>
    <w:div w:id="670523780">
      <w:bodyDiv w:val="1"/>
      <w:marLeft w:val="0"/>
      <w:marRight w:val="0"/>
      <w:marTop w:val="0"/>
      <w:marBottom w:val="0"/>
      <w:divBdr>
        <w:top w:val="none" w:sz="0" w:space="0" w:color="auto"/>
        <w:left w:val="none" w:sz="0" w:space="0" w:color="auto"/>
        <w:bottom w:val="none" w:sz="0" w:space="0" w:color="auto"/>
        <w:right w:val="none" w:sz="0" w:space="0" w:color="auto"/>
      </w:divBdr>
    </w:div>
    <w:div w:id="683941457">
      <w:bodyDiv w:val="1"/>
      <w:marLeft w:val="0"/>
      <w:marRight w:val="0"/>
      <w:marTop w:val="0"/>
      <w:marBottom w:val="0"/>
      <w:divBdr>
        <w:top w:val="none" w:sz="0" w:space="0" w:color="auto"/>
        <w:left w:val="none" w:sz="0" w:space="0" w:color="auto"/>
        <w:bottom w:val="none" w:sz="0" w:space="0" w:color="auto"/>
        <w:right w:val="none" w:sz="0" w:space="0" w:color="auto"/>
      </w:divBdr>
    </w:div>
    <w:div w:id="689914968">
      <w:bodyDiv w:val="1"/>
      <w:marLeft w:val="0"/>
      <w:marRight w:val="0"/>
      <w:marTop w:val="0"/>
      <w:marBottom w:val="0"/>
      <w:divBdr>
        <w:top w:val="none" w:sz="0" w:space="0" w:color="auto"/>
        <w:left w:val="none" w:sz="0" w:space="0" w:color="auto"/>
        <w:bottom w:val="none" w:sz="0" w:space="0" w:color="auto"/>
        <w:right w:val="none" w:sz="0" w:space="0" w:color="auto"/>
      </w:divBdr>
    </w:div>
    <w:div w:id="696347565">
      <w:bodyDiv w:val="1"/>
      <w:marLeft w:val="0"/>
      <w:marRight w:val="0"/>
      <w:marTop w:val="0"/>
      <w:marBottom w:val="0"/>
      <w:divBdr>
        <w:top w:val="none" w:sz="0" w:space="0" w:color="auto"/>
        <w:left w:val="none" w:sz="0" w:space="0" w:color="auto"/>
        <w:bottom w:val="none" w:sz="0" w:space="0" w:color="auto"/>
        <w:right w:val="none" w:sz="0" w:space="0" w:color="auto"/>
      </w:divBdr>
    </w:div>
    <w:div w:id="698973781">
      <w:bodyDiv w:val="1"/>
      <w:marLeft w:val="0"/>
      <w:marRight w:val="0"/>
      <w:marTop w:val="0"/>
      <w:marBottom w:val="0"/>
      <w:divBdr>
        <w:top w:val="none" w:sz="0" w:space="0" w:color="auto"/>
        <w:left w:val="none" w:sz="0" w:space="0" w:color="auto"/>
        <w:bottom w:val="none" w:sz="0" w:space="0" w:color="auto"/>
        <w:right w:val="none" w:sz="0" w:space="0" w:color="auto"/>
      </w:divBdr>
    </w:div>
    <w:div w:id="700595811">
      <w:bodyDiv w:val="1"/>
      <w:marLeft w:val="0"/>
      <w:marRight w:val="0"/>
      <w:marTop w:val="0"/>
      <w:marBottom w:val="0"/>
      <w:divBdr>
        <w:top w:val="none" w:sz="0" w:space="0" w:color="auto"/>
        <w:left w:val="none" w:sz="0" w:space="0" w:color="auto"/>
        <w:bottom w:val="none" w:sz="0" w:space="0" w:color="auto"/>
        <w:right w:val="none" w:sz="0" w:space="0" w:color="auto"/>
      </w:divBdr>
      <w:divsChild>
        <w:div w:id="628823182">
          <w:marLeft w:val="0"/>
          <w:marRight w:val="0"/>
          <w:marTop w:val="0"/>
          <w:marBottom w:val="0"/>
          <w:divBdr>
            <w:top w:val="none" w:sz="0" w:space="0" w:color="auto"/>
            <w:left w:val="none" w:sz="0" w:space="0" w:color="auto"/>
            <w:bottom w:val="none" w:sz="0" w:space="0" w:color="auto"/>
            <w:right w:val="none" w:sz="0" w:space="0" w:color="auto"/>
          </w:divBdr>
          <w:divsChild>
            <w:div w:id="1111390501">
              <w:marLeft w:val="0"/>
              <w:marRight w:val="0"/>
              <w:marTop w:val="0"/>
              <w:marBottom w:val="0"/>
              <w:divBdr>
                <w:top w:val="none" w:sz="0" w:space="0" w:color="auto"/>
                <w:left w:val="none" w:sz="0" w:space="0" w:color="auto"/>
                <w:bottom w:val="none" w:sz="0" w:space="0" w:color="auto"/>
                <w:right w:val="none" w:sz="0" w:space="0" w:color="auto"/>
              </w:divBdr>
              <w:divsChild>
                <w:div w:id="867714321">
                  <w:marLeft w:val="0"/>
                  <w:marRight w:val="0"/>
                  <w:marTop w:val="0"/>
                  <w:marBottom w:val="0"/>
                  <w:divBdr>
                    <w:top w:val="none" w:sz="0" w:space="0" w:color="auto"/>
                    <w:left w:val="none" w:sz="0" w:space="0" w:color="auto"/>
                    <w:bottom w:val="none" w:sz="0" w:space="0" w:color="auto"/>
                    <w:right w:val="none" w:sz="0" w:space="0" w:color="auto"/>
                  </w:divBdr>
                  <w:divsChild>
                    <w:div w:id="2141459315">
                      <w:marLeft w:val="0"/>
                      <w:marRight w:val="0"/>
                      <w:marTop w:val="0"/>
                      <w:marBottom w:val="0"/>
                      <w:divBdr>
                        <w:top w:val="none" w:sz="0" w:space="0" w:color="auto"/>
                        <w:left w:val="none" w:sz="0" w:space="0" w:color="auto"/>
                        <w:bottom w:val="none" w:sz="0" w:space="0" w:color="auto"/>
                        <w:right w:val="none" w:sz="0" w:space="0" w:color="auto"/>
                      </w:divBdr>
                      <w:divsChild>
                        <w:div w:id="1503357412">
                          <w:marLeft w:val="0"/>
                          <w:marRight w:val="0"/>
                          <w:marTop w:val="0"/>
                          <w:marBottom w:val="0"/>
                          <w:divBdr>
                            <w:top w:val="none" w:sz="0" w:space="0" w:color="auto"/>
                            <w:left w:val="none" w:sz="0" w:space="0" w:color="auto"/>
                            <w:bottom w:val="none" w:sz="0" w:space="0" w:color="auto"/>
                            <w:right w:val="none" w:sz="0" w:space="0" w:color="auto"/>
                          </w:divBdr>
                          <w:divsChild>
                            <w:div w:id="984235258">
                              <w:marLeft w:val="0"/>
                              <w:marRight w:val="0"/>
                              <w:marTop w:val="0"/>
                              <w:marBottom w:val="0"/>
                              <w:divBdr>
                                <w:top w:val="none" w:sz="0" w:space="0" w:color="auto"/>
                                <w:left w:val="none" w:sz="0" w:space="0" w:color="auto"/>
                                <w:bottom w:val="none" w:sz="0" w:space="0" w:color="auto"/>
                                <w:right w:val="none" w:sz="0" w:space="0" w:color="auto"/>
                              </w:divBdr>
                              <w:divsChild>
                                <w:div w:id="890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352135">
      <w:bodyDiv w:val="1"/>
      <w:marLeft w:val="0"/>
      <w:marRight w:val="0"/>
      <w:marTop w:val="0"/>
      <w:marBottom w:val="0"/>
      <w:divBdr>
        <w:top w:val="none" w:sz="0" w:space="0" w:color="auto"/>
        <w:left w:val="none" w:sz="0" w:space="0" w:color="auto"/>
        <w:bottom w:val="none" w:sz="0" w:space="0" w:color="auto"/>
        <w:right w:val="none" w:sz="0" w:space="0" w:color="auto"/>
      </w:divBdr>
    </w:div>
    <w:div w:id="738793430">
      <w:bodyDiv w:val="1"/>
      <w:marLeft w:val="0"/>
      <w:marRight w:val="0"/>
      <w:marTop w:val="0"/>
      <w:marBottom w:val="0"/>
      <w:divBdr>
        <w:top w:val="none" w:sz="0" w:space="0" w:color="auto"/>
        <w:left w:val="none" w:sz="0" w:space="0" w:color="auto"/>
        <w:bottom w:val="none" w:sz="0" w:space="0" w:color="auto"/>
        <w:right w:val="none" w:sz="0" w:space="0" w:color="auto"/>
      </w:divBdr>
    </w:div>
    <w:div w:id="748962570">
      <w:bodyDiv w:val="1"/>
      <w:marLeft w:val="0"/>
      <w:marRight w:val="0"/>
      <w:marTop w:val="0"/>
      <w:marBottom w:val="0"/>
      <w:divBdr>
        <w:top w:val="none" w:sz="0" w:space="0" w:color="auto"/>
        <w:left w:val="none" w:sz="0" w:space="0" w:color="auto"/>
        <w:bottom w:val="none" w:sz="0" w:space="0" w:color="auto"/>
        <w:right w:val="none" w:sz="0" w:space="0" w:color="auto"/>
      </w:divBdr>
      <w:divsChild>
        <w:div w:id="46611565">
          <w:marLeft w:val="547"/>
          <w:marRight w:val="0"/>
          <w:marTop w:val="0"/>
          <w:marBottom w:val="0"/>
          <w:divBdr>
            <w:top w:val="none" w:sz="0" w:space="0" w:color="auto"/>
            <w:left w:val="none" w:sz="0" w:space="0" w:color="auto"/>
            <w:bottom w:val="none" w:sz="0" w:space="0" w:color="auto"/>
            <w:right w:val="none" w:sz="0" w:space="0" w:color="auto"/>
          </w:divBdr>
        </w:div>
      </w:divsChild>
    </w:div>
    <w:div w:id="751968016">
      <w:bodyDiv w:val="1"/>
      <w:marLeft w:val="0"/>
      <w:marRight w:val="0"/>
      <w:marTop w:val="0"/>
      <w:marBottom w:val="0"/>
      <w:divBdr>
        <w:top w:val="none" w:sz="0" w:space="0" w:color="auto"/>
        <w:left w:val="none" w:sz="0" w:space="0" w:color="auto"/>
        <w:bottom w:val="none" w:sz="0" w:space="0" w:color="auto"/>
        <w:right w:val="none" w:sz="0" w:space="0" w:color="auto"/>
      </w:divBdr>
    </w:div>
    <w:div w:id="776944755">
      <w:bodyDiv w:val="1"/>
      <w:marLeft w:val="0"/>
      <w:marRight w:val="0"/>
      <w:marTop w:val="0"/>
      <w:marBottom w:val="0"/>
      <w:divBdr>
        <w:top w:val="none" w:sz="0" w:space="0" w:color="auto"/>
        <w:left w:val="none" w:sz="0" w:space="0" w:color="auto"/>
        <w:bottom w:val="none" w:sz="0" w:space="0" w:color="auto"/>
        <w:right w:val="none" w:sz="0" w:space="0" w:color="auto"/>
      </w:divBdr>
    </w:div>
    <w:div w:id="796602956">
      <w:bodyDiv w:val="1"/>
      <w:marLeft w:val="0"/>
      <w:marRight w:val="0"/>
      <w:marTop w:val="0"/>
      <w:marBottom w:val="0"/>
      <w:divBdr>
        <w:top w:val="none" w:sz="0" w:space="0" w:color="auto"/>
        <w:left w:val="none" w:sz="0" w:space="0" w:color="auto"/>
        <w:bottom w:val="none" w:sz="0" w:space="0" w:color="auto"/>
        <w:right w:val="none" w:sz="0" w:space="0" w:color="auto"/>
      </w:divBdr>
      <w:divsChild>
        <w:div w:id="679895983">
          <w:marLeft w:val="0"/>
          <w:marRight w:val="0"/>
          <w:marTop w:val="120"/>
          <w:marBottom w:val="0"/>
          <w:divBdr>
            <w:top w:val="none" w:sz="0" w:space="0" w:color="auto"/>
            <w:left w:val="none" w:sz="0" w:space="0" w:color="auto"/>
            <w:bottom w:val="none" w:sz="0" w:space="0" w:color="auto"/>
            <w:right w:val="none" w:sz="0" w:space="0" w:color="auto"/>
          </w:divBdr>
          <w:divsChild>
            <w:div w:id="1701590301">
              <w:marLeft w:val="0"/>
              <w:marRight w:val="0"/>
              <w:marTop w:val="0"/>
              <w:marBottom w:val="0"/>
              <w:divBdr>
                <w:top w:val="none" w:sz="0" w:space="0" w:color="auto"/>
                <w:left w:val="none" w:sz="0" w:space="0" w:color="auto"/>
                <w:bottom w:val="none" w:sz="0" w:space="0" w:color="auto"/>
                <w:right w:val="none" w:sz="0" w:space="0" w:color="auto"/>
              </w:divBdr>
            </w:div>
          </w:divsChild>
        </w:div>
        <w:div w:id="1489907613">
          <w:marLeft w:val="0"/>
          <w:marRight w:val="0"/>
          <w:marTop w:val="120"/>
          <w:marBottom w:val="0"/>
          <w:divBdr>
            <w:top w:val="none" w:sz="0" w:space="0" w:color="auto"/>
            <w:left w:val="none" w:sz="0" w:space="0" w:color="auto"/>
            <w:bottom w:val="none" w:sz="0" w:space="0" w:color="auto"/>
            <w:right w:val="none" w:sz="0" w:space="0" w:color="auto"/>
          </w:divBdr>
          <w:divsChild>
            <w:div w:id="143532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37195">
      <w:bodyDiv w:val="1"/>
      <w:marLeft w:val="0"/>
      <w:marRight w:val="0"/>
      <w:marTop w:val="0"/>
      <w:marBottom w:val="0"/>
      <w:divBdr>
        <w:top w:val="none" w:sz="0" w:space="0" w:color="auto"/>
        <w:left w:val="none" w:sz="0" w:space="0" w:color="auto"/>
        <w:bottom w:val="none" w:sz="0" w:space="0" w:color="auto"/>
        <w:right w:val="none" w:sz="0" w:space="0" w:color="auto"/>
      </w:divBdr>
    </w:div>
    <w:div w:id="799540709">
      <w:bodyDiv w:val="1"/>
      <w:marLeft w:val="0"/>
      <w:marRight w:val="0"/>
      <w:marTop w:val="0"/>
      <w:marBottom w:val="0"/>
      <w:divBdr>
        <w:top w:val="none" w:sz="0" w:space="0" w:color="auto"/>
        <w:left w:val="none" w:sz="0" w:space="0" w:color="auto"/>
        <w:bottom w:val="none" w:sz="0" w:space="0" w:color="auto"/>
        <w:right w:val="none" w:sz="0" w:space="0" w:color="auto"/>
      </w:divBdr>
    </w:div>
    <w:div w:id="803279615">
      <w:bodyDiv w:val="1"/>
      <w:marLeft w:val="0"/>
      <w:marRight w:val="0"/>
      <w:marTop w:val="0"/>
      <w:marBottom w:val="0"/>
      <w:divBdr>
        <w:top w:val="none" w:sz="0" w:space="0" w:color="auto"/>
        <w:left w:val="none" w:sz="0" w:space="0" w:color="auto"/>
        <w:bottom w:val="none" w:sz="0" w:space="0" w:color="auto"/>
        <w:right w:val="none" w:sz="0" w:space="0" w:color="auto"/>
      </w:divBdr>
    </w:div>
    <w:div w:id="804198764">
      <w:bodyDiv w:val="1"/>
      <w:marLeft w:val="0"/>
      <w:marRight w:val="0"/>
      <w:marTop w:val="0"/>
      <w:marBottom w:val="0"/>
      <w:divBdr>
        <w:top w:val="none" w:sz="0" w:space="0" w:color="auto"/>
        <w:left w:val="none" w:sz="0" w:space="0" w:color="auto"/>
        <w:bottom w:val="none" w:sz="0" w:space="0" w:color="auto"/>
        <w:right w:val="none" w:sz="0" w:space="0" w:color="auto"/>
      </w:divBdr>
    </w:div>
    <w:div w:id="811021594">
      <w:bodyDiv w:val="1"/>
      <w:marLeft w:val="0"/>
      <w:marRight w:val="0"/>
      <w:marTop w:val="0"/>
      <w:marBottom w:val="0"/>
      <w:divBdr>
        <w:top w:val="none" w:sz="0" w:space="0" w:color="auto"/>
        <w:left w:val="none" w:sz="0" w:space="0" w:color="auto"/>
        <w:bottom w:val="none" w:sz="0" w:space="0" w:color="auto"/>
        <w:right w:val="none" w:sz="0" w:space="0" w:color="auto"/>
      </w:divBdr>
    </w:div>
    <w:div w:id="822237231">
      <w:bodyDiv w:val="1"/>
      <w:marLeft w:val="0"/>
      <w:marRight w:val="0"/>
      <w:marTop w:val="0"/>
      <w:marBottom w:val="0"/>
      <w:divBdr>
        <w:top w:val="none" w:sz="0" w:space="0" w:color="auto"/>
        <w:left w:val="none" w:sz="0" w:space="0" w:color="auto"/>
        <w:bottom w:val="none" w:sz="0" w:space="0" w:color="auto"/>
        <w:right w:val="none" w:sz="0" w:space="0" w:color="auto"/>
      </w:divBdr>
    </w:div>
    <w:div w:id="862204240">
      <w:bodyDiv w:val="1"/>
      <w:marLeft w:val="0"/>
      <w:marRight w:val="0"/>
      <w:marTop w:val="0"/>
      <w:marBottom w:val="0"/>
      <w:divBdr>
        <w:top w:val="none" w:sz="0" w:space="0" w:color="auto"/>
        <w:left w:val="none" w:sz="0" w:space="0" w:color="auto"/>
        <w:bottom w:val="none" w:sz="0" w:space="0" w:color="auto"/>
        <w:right w:val="none" w:sz="0" w:space="0" w:color="auto"/>
      </w:divBdr>
    </w:div>
    <w:div w:id="895622433">
      <w:bodyDiv w:val="1"/>
      <w:marLeft w:val="0"/>
      <w:marRight w:val="0"/>
      <w:marTop w:val="0"/>
      <w:marBottom w:val="0"/>
      <w:divBdr>
        <w:top w:val="none" w:sz="0" w:space="0" w:color="auto"/>
        <w:left w:val="none" w:sz="0" w:space="0" w:color="auto"/>
        <w:bottom w:val="none" w:sz="0" w:space="0" w:color="auto"/>
        <w:right w:val="none" w:sz="0" w:space="0" w:color="auto"/>
      </w:divBdr>
      <w:divsChild>
        <w:div w:id="1719861770">
          <w:marLeft w:val="0"/>
          <w:marRight w:val="0"/>
          <w:marTop w:val="0"/>
          <w:marBottom w:val="0"/>
          <w:divBdr>
            <w:top w:val="none" w:sz="0" w:space="0" w:color="auto"/>
            <w:left w:val="none" w:sz="0" w:space="0" w:color="auto"/>
            <w:bottom w:val="none" w:sz="0" w:space="0" w:color="auto"/>
            <w:right w:val="none" w:sz="0" w:space="0" w:color="auto"/>
          </w:divBdr>
          <w:divsChild>
            <w:div w:id="1956675208">
              <w:marLeft w:val="0"/>
              <w:marRight w:val="0"/>
              <w:marTop w:val="0"/>
              <w:marBottom w:val="0"/>
              <w:divBdr>
                <w:top w:val="none" w:sz="0" w:space="0" w:color="auto"/>
                <w:left w:val="none" w:sz="0" w:space="0" w:color="auto"/>
                <w:bottom w:val="none" w:sz="0" w:space="0" w:color="auto"/>
                <w:right w:val="none" w:sz="0" w:space="0" w:color="auto"/>
              </w:divBdr>
              <w:divsChild>
                <w:div w:id="1855220930">
                  <w:marLeft w:val="0"/>
                  <w:marRight w:val="0"/>
                  <w:marTop w:val="0"/>
                  <w:marBottom w:val="0"/>
                  <w:divBdr>
                    <w:top w:val="none" w:sz="0" w:space="0" w:color="auto"/>
                    <w:left w:val="none" w:sz="0" w:space="0" w:color="auto"/>
                    <w:bottom w:val="none" w:sz="0" w:space="0" w:color="auto"/>
                    <w:right w:val="none" w:sz="0" w:space="0" w:color="auto"/>
                  </w:divBdr>
                  <w:divsChild>
                    <w:div w:id="2005356195">
                      <w:marLeft w:val="0"/>
                      <w:marRight w:val="0"/>
                      <w:marTop w:val="0"/>
                      <w:marBottom w:val="0"/>
                      <w:divBdr>
                        <w:top w:val="none" w:sz="0" w:space="0" w:color="auto"/>
                        <w:left w:val="none" w:sz="0" w:space="0" w:color="auto"/>
                        <w:bottom w:val="none" w:sz="0" w:space="0" w:color="auto"/>
                        <w:right w:val="none" w:sz="0" w:space="0" w:color="auto"/>
                      </w:divBdr>
                      <w:divsChild>
                        <w:div w:id="1828784095">
                          <w:marLeft w:val="0"/>
                          <w:marRight w:val="0"/>
                          <w:marTop w:val="0"/>
                          <w:marBottom w:val="0"/>
                          <w:divBdr>
                            <w:top w:val="none" w:sz="0" w:space="0" w:color="auto"/>
                            <w:left w:val="none" w:sz="0" w:space="0" w:color="auto"/>
                            <w:bottom w:val="none" w:sz="0" w:space="0" w:color="auto"/>
                            <w:right w:val="none" w:sz="0" w:space="0" w:color="auto"/>
                          </w:divBdr>
                          <w:divsChild>
                            <w:div w:id="1495995233">
                              <w:marLeft w:val="0"/>
                              <w:marRight w:val="0"/>
                              <w:marTop w:val="0"/>
                              <w:marBottom w:val="0"/>
                              <w:divBdr>
                                <w:top w:val="none" w:sz="0" w:space="0" w:color="auto"/>
                                <w:left w:val="none" w:sz="0" w:space="0" w:color="auto"/>
                                <w:bottom w:val="none" w:sz="0" w:space="0" w:color="auto"/>
                                <w:right w:val="none" w:sz="0" w:space="0" w:color="auto"/>
                              </w:divBdr>
                              <w:divsChild>
                                <w:div w:id="1390835409">
                                  <w:marLeft w:val="0"/>
                                  <w:marRight w:val="0"/>
                                  <w:marTop w:val="0"/>
                                  <w:marBottom w:val="0"/>
                                  <w:divBdr>
                                    <w:top w:val="none" w:sz="0" w:space="0" w:color="auto"/>
                                    <w:left w:val="none" w:sz="0" w:space="0" w:color="auto"/>
                                    <w:bottom w:val="none" w:sz="0" w:space="0" w:color="auto"/>
                                    <w:right w:val="none" w:sz="0" w:space="0" w:color="auto"/>
                                  </w:divBdr>
                                  <w:divsChild>
                                    <w:div w:id="91512140">
                                      <w:marLeft w:val="0"/>
                                      <w:marRight w:val="0"/>
                                      <w:marTop w:val="0"/>
                                      <w:marBottom w:val="0"/>
                                      <w:divBdr>
                                        <w:top w:val="none" w:sz="0" w:space="0" w:color="auto"/>
                                        <w:left w:val="none" w:sz="0" w:space="0" w:color="auto"/>
                                        <w:bottom w:val="none" w:sz="0" w:space="0" w:color="auto"/>
                                        <w:right w:val="none" w:sz="0" w:space="0" w:color="auto"/>
                                      </w:divBdr>
                                      <w:divsChild>
                                        <w:div w:id="6178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463777">
      <w:bodyDiv w:val="1"/>
      <w:marLeft w:val="0"/>
      <w:marRight w:val="0"/>
      <w:marTop w:val="0"/>
      <w:marBottom w:val="0"/>
      <w:divBdr>
        <w:top w:val="none" w:sz="0" w:space="0" w:color="auto"/>
        <w:left w:val="none" w:sz="0" w:space="0" w:color="auto"/>
        <w:bottom w:val="none" w:sz="0" w:space="0" w:color="auto"/>
        <w:right w:val="none" w:sz="0" w:space="0" w:color="auto"/>
      </w:divBdr>
    </w:div>
    <w:div w:id="922103392">
      <w:bodyDiv w:val="1"/>
      <w:marLeft w:val="0"/>
      <w:marRight w:val="0"/>
      <w:marTop w:val="0"/>
      <w:marBottom w:val="0"/>
      <w:divBdr>
        <w:top w:val="none" w:sz="0" w:space="0" w:color="auto"/>
        <w:left w:val="none" w:sz="0" w:space="0" w:color="auto"/>
        <w:bottom w:val="none" w:sz="0" w:space="0" w:color="auto"/>
        <w:right w:val="none" w:sz="0" w:space="0" w:color="auto"/>
      </w:divBdr>
      <w:divsChild>
        <w:div w:id="630285274">
          <w:marLeft w:val="0"/>
          <w:marRight w:val="0"/>
          <w:marTop w:val="0"/>
          <w:marBottom w:val="0"/>
          <w:divBdr>
            <w:top w:val="none" w:sz="0" w:space="0" w:color="auto"/>
            <w:left w:val="none" w:sz="0" w:space="0" w:color="auto"/>
            <w:bottom w:val="none" w:sz="0" w:space="0" w:color="auto"/>
            <w:right w:val="none" w:sz="0" w:space="0" w:color="auto"/>
          </w:divBdr>
          <w:divsChild>
            <w:div w:id="858473738">
              <w:marLeft w:val="0"/>
              <w:marRight w:val="0"/>
              <w:marTop w:val="0"/>
              <w:marBottom w:val="0"/>
              <w:divBdr>
                <w:top w:val="none" w:sz="0" w:space="0" w:color="auto"/>
                <w:left w:val="none" w:sz="0" w:space="0" w:color="auto"/>
                <w:bottom w:val="none" w:sz="0" w:space="0" w:color="auto"/>
                <w:right w:val="none" w:sz="0" w:space="0" w:color="auto"/>
              </w:divBdr>
              <w:divsChild>
                <w:div w:id="569343990">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946238115">
                          <w:marLeft w:val="0"/>
                          <w:marRight w:val="0"/>
                          <w:marTop w:val="0"/>
                          <w:marBottom w:val="0"/>
                          <w:divBdr>
                            <w:top w:val="none" w:sz="0" w:space="0" w:color="auto"/>
                            <w:left w:val="none" w:sz="0" w:space="0" w:color="auto"/>
                            <w:bottom w:val="none" w:sz="0" w:space="0" w:color="auto"/>
                            <w:right w:val="none" w:sz="0" w:space="0" w:color="auto"/>
                          </w:divBdr>
                          <w:divsChild>
                            <w:div w:id="17271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20251">
      <w:bodyDiv w:val="1"/>
      <w:marLeft w:val="0"/>
      <w:marRight w:val="0"/>
      <w:marTop w:val="0"/>
      <w:marBottom w:val="0"/>
      <w:divBdr>
        <w:top w:val="none" w:sz="0" w:space="0" w:color="auto"/>
        <w:left w:val="none" w:sz="0" w:space="0" w:color="auto"/>
        <w:bottom w:val="none" w:sz="0" w:space="0" w:color="auto"/>
        <w:right w:val="none" w:sz="0" w:space="0" w:color="auto"/>
      </w:divBdr>
    </w:div>
    <w:div w:id="953096050">
      <w:bodyDiv w:val="1"/>
      <w:marLeft w:val="0"/>
      <w:marRight w:val="0"/>
      <w:marTop w:val="0"/>
      <w:marBottom w:val="0"/>
      <w:divBdr>
        <w:top w:val="none" w:sz="0" w:space="0" w:color="auto"/>
        <w:left w:val="none" w:sz="0" w:space="0" w:color="auto"/>
        <w:bottom w:val="none" w:sz="0" w:space="0" w:color="auto"/>
        <w:right w:val="none" w:sz="0" w:space="0" w:color="auto"/>
      </w:divBdr>
    </w:div>
    <w:div w:id="953362079">
      <w:bodyDiv w:val="1"/>
      <w:marLeft w:val="0"/>
      <w:marRight w:val="0"/>
      <w:marTop w:val="0"/>
      <w:marBottom w:val="0"/>
      <w:divBdr>
        <w:top w:val="none" w:sz="0" w:space="0" w:color="auto"/>
        <w:left w:val="none" w:sz="0" w:space="0" w:color="auto"/>
        <w:bottom w:val="none" w:sz="0" w:space="0" w:color="auto"/>
        <w:right w:val="none" w:sz="0" w:space="0" w:color="auto"/>
      </w:divBdr>
    </w:div>
    <w:div w:id="953515808">
      <w:bodyDiv w:val="1"/>
      <w:marLeft w:val="0"/>
      <w:marRight w:val="0"/>
      <w:marTop w:val="0"/>
      <w:marBottom w:val="0"/>
      <w:divBdr>
        <w:top w:val="none" w:sz="0" w:space="0" w:color="auto"/>
        <w:left w:val="none" w:sz="0" w:space="0" w:color="auto"/>
        <w:bottom w:val="none" w:sz="0" w:space="0" w:color="auto"/>
        <w:right w:val="none" w:sz="0" w:space="0" w:color="auto"/>
      </w:divBdr>
    </w:div>
    <w:div w:id="961034259">
      <w:bodyDiv w:val="1"/>
      <w:marLeft w:val="0"/>
      <w:marRight w:val="0"/>
      <w:marTop w:val="0"/>
      <w:marBottom w:val="0"/>
      <w:divBdr>
        <w:top w:val="none" w:sz="0" w:space="0" w:color="auto"/>
        <w:left w:val="none" w:sz="0" w:space="0" w:color="auto"/>
        <w:bottom w:val="none" w:sz="0" w:space="0" w:color="auto"/>
        <w:right w:val="none" w:sz="0" w:space="0" w:color="auto"/>
      </w:divBdr>
    </w:div>
    <w:div w:id="974989106">
      <w:bodyDiv w:val="1"/>
      <w:marLeft w:val="0"/>
      <w:marRight w:val="0"/>
      <w:marTop w:val="0"/>
      <w:marBottom w:val="0"/>
      <w:divBdr>
        <w:top w:val="none" w:sz="0" w:space="0" w:color="auto"/>
        <w:left w:val="none" w:sz="0" w:space="0" w:color="auto"/>
        <w:bottom w:val="none" w:sz="0" w:space="0" w:color="auto"/>
        <w:right w:val="none" w:sz="0" w:space="0" w:color="auto"/>
      </w:divBdr>
    </w:div>
    <w:div w:id="1023170543">
      <w:bodyDiv w:val="1"/>
      <w:marLeft w:val="0"/>
      <w:marRight w:val="0"/>
      <w:marTop w:val="0"/>
      <w:marBottom w:val="0"/>
      <w:divBdr>
        <w:top w:val="none" w:sz="0" w:space="0" w:color="auto"/>
        <w:left w:val="none" w:sz="0" w:space="0" w:color="auto"/>
        <w:bottom w:val="none" w:sz="0" w:space="0" w:color="auto"/>
        <w:right w:val="none" w:sz="0" w:space="0" w:color="auto"/>
      </w:divBdr>
      <w:divsChild>
        <w:div w:id="1011835732">
          <w:marLeft w:val="0"/>
          <w:marRight w:val="0"/>
          <w:marTop w:val="0"/>
          <w:marBottom w:val="0"/>
          <w:divBdr>
            <w:top w:val="none" w:sz="0" w:space="0" w:color="auto"/>
            <w:left w:val="none" w:sz="0" w:space="0" w:color="auto"/>
            <w:bottom w:val="none" w:sz="0" w:space="0" w:color="auto"/>
            <w:right w:val="none" w:sz="0" w:space="0" w:color="auto"/>
          </w:divBdr>
          <w:divsChild>
            <w:div w:id="23333767">
              <w:marLeft w:val="0"/>
              <w:marRight w:val="0"/>
              <w:marTop w:val="0"/>
              <w:marBottom w:val="0"/>
              <w:divBdr>
                <w:top w:val="none" w:sz="0" w:space="0" w:color="auto"/>
                <w:left w:val="none" w:sz="0" w:space="0" w:color="auto"/>
                <w:bottom w:val="none" w:sz="0" w:space="0" w:color="auto"/>
                <w:right w:val="none" w:sz="0" w:space="0" w:color="auto"/>
              </w:divBdr>
              <w:divsChild>
                <w:div w:id="736588908">
                  <w:marLeft w:val="0"/>
                  <w:marRight w:val="0"/>
                  <w:marTop w:val="0"/>
                  <w:marBottom w:val="0"/>
                  <w:divBdr>
                    <w:top w:val="none" w:sz="0" w:space="0" w:color="auto"/>
                    <w:left w:val="none" w:sz="0" w:space="0" w:color="auto"/>
                    <w:bottom w:val="none" w:sz="0" w:space="0" w:color="auto"/>
                    <w:right w:val="none" w:sz="0" w:space="0" w:color="auto"/>
                  </w:divBdr>
                  <w:divsChild>
                    <w:div w:id="19293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94924">
      <w:bodyDiv w:val="1"/>
      <w:marLeft w:val="0"/>
      <w:marRight w:val="0"/>
      <w:marTop w:val="0"/>
      <w:marBottom w:val="0"/>
      <w:divBdr>
        <w:top w:val="none" w:sz="0" w:space="0" w:color="auto"/>
        <w:left w:val="none" w:sz="0" w:space="0" w:color="auto"/>
        <w:bottom w:val="none" w:sz="0" w:space="0" w:color="auto"/>
        <w:right w:val="none" w:sz="0" w:space="0" w:color="auto"/>
      </w:divBdr>
    </w:div>
    <w:div w:id="1045446972">
      <w:bodyDiv w:val="1"/>
      <w:marLeft w:val="0"/>
      <w:marRight w:val="0"/>
      <w:marTop w:val="0"/>
      <w:marBottom w:val="0"/>
      <w:divBdr>
        <w:top w:val="none" w:sz="0" w:space="0" w:color="auto"/>
        <w:left w:val="none" w:sz="0" w:space="0" w:color="auto"/>
        <w:bottom w:val="none" w:sz="0" w:space="0" w:color="auto"/>
        <w:right w:val="none" w:sz="0" w:space="0" w:color="auto"/>
      </w:divBdr>
      <w:divsChild>
        <w:div w:id="319192495">
          <w:marLeft w:val="0"/>
          <w:marRight w:val="0"/>
          <w:marTop w:val="0"/>
          <w:marBottom w:val="0"/>
          <w:divBdr>
            <w:top w:val="none" w:sz="0" w:space="0" w:color="auto"/>
            <w:left w:val="none" w:sz="0" w:space="0" w:color="auto"/>
            <w:bottom w:val="none" w:sz="0" w:space="0" w:color="auto"/>
            <w:right w:val="none" w:sz="0" w:space="0" w:color="auto"/>
          </w:divBdr>
          <w:divsChild>
            <w:div w:id="1198353593">
              <w:marLeft w:val="0"/>
              <w:marRight w:val="0"/>
              <w:marTop w:val="0"/>
              <w:marBottom w:val="0"/>
              <w:divBdr>
                <w:top w:val="none" w:sz="0" w:space="0" w:color="auto"/>
                <w:left w:val="none" w:sz="0" w:space="0" w:color="auto"/>
                <w:bottom w:val="none" w:sz="0" w:space="0" w:color="auto"/>
                <w:right w:val="none" w:sz="0" w:space="0" w:color="auto"/>
              </w:divBdr>
              <w:divsChild>
                <w:div w:id="934095513">
                  <w:marLeft w:val="0"/>
                  <w:marRight w:val="0"/>
                  <w:marTop w:val="0"/>
                  <w:marBottom w:val="0"/>
                  <w:divBdr>
                    <w:top w:val="none" w:sz="0" w:space="0" w:color="auto"/>
                    <w:left w:val="none" w:sz="0" w:space="0" w:color="auto"/>
                    <w:bottom w:val="none" w:sz="0" w:space="0" w:color="auto"/>
                    <w:right w:val="none" w:sz="0" w:space="0" w:color="auto"/>
                  </w:divBdr>
                  <w:divsChild>
                    <w:div w:id="20321363">
                      <w:marLeft w:val="0"/>
                      <w:marRight w:val="0"/>
                      <w:marTop w:val="0"/>
                      <w:marBottom w:val="0"/>
                      <w:divBdr>
                        <w:top w:val="none" w:sz="0" w:space="0" w:color="auto"/>
                        <w:left w:val="none" w:sz="0" w:space="0" w:color="auto"/>
                        <w:bottom w:val="none" w:sz="0" w:space="0" w:color="auto"/>
                        <w:right w:val="none" w:sz="0" w:space="0" w:color="auto"/>
                      </w:divBdr>
                      <w:divsChild>
                        <w:div w:id="753744403">
                          <w:marLeft w:val="0"/>
                          <w:marRight w:val="0"/>
                          <w:marTop w:val="0"/>
                          <w:marBottom w:val="0"/>
                          <w:divBdr>
                            <w:top w:val="none" w:sz="0" w:space="0" w:color="auto"/>
                            <w:left w:val="none" w:sz="0" w:space="0" w:color="auto"/>
                            <w:bottom w:val="none" w:sz="0" w:space="0" w:color="auto"/>
                            <w:right w:val="none" w:sz="0" w:space="0" w:color="auto"/>
                          </w:divBdr>
                          <w:divsChild>
                            <w:div w:id="1497649552">
                              <w:marLeft w:val="0"/>
                              <w:marRight w:val="0"/>
                              <w:marTop w:val="0"/>
                              <w:marBottom w:val="0"/>
                              <w:divBdr>
                                <w:top w:val="none" w:sz="0" w:space="0" w:color="auto"/>
                                <w:left w:val="none" w:sz="0" w:space="0" w:color="auto"/>
                                <w:bottom w:val="none" w:sz="0" w:space="0" w:color="auto"/>
                                <w:right w:val="none" w:sz="0" w:space="0" w:color="auto"/>
                              </w:divBdr>
                              <w:divsChild>
                                <w:div w:id="1045905061">
                                  <w:marLeft w:val="0"/>
                                  <w:marRight w:val="0"/>
                                  <w:marTop w:val="0"/>
                                  <w:marBottom w:val="0"/>
                                  <w:divBdr>
                                    <w:top w:val="none" w:sz="0" w:space="0" w:color="auto"/>
                                    <w:left w:val="none" w:sz="0" w:space="0" w:color="auto"/>
                                    <w:bottom w:val="none" w:sz="0" w:space="0" w:color="auto"/>
                                    <w:right w:val="none" w:sz="0" w:space="0" w:color="auto"/>
                                  </w:divBdr>
                                  <w:divsChild>
                                    <w:div w:id="1506629783">
                                      <w:marLeft w:val="0"/>
                                      <w:marRight w:val="0"/>
                                      <w:marTop w:val="0"/>
                                      <w:marBottom w:val="0"/>
                                      <w:divBdr>
                                        <w:top w:val="none" w:sz="0" w:space="0" w:color="auto"/>
                                        <w:left w:val="none" w:sz="0" w:space="0" w:color="auto"/>
                                        <w:bottom w:val="none" w:sz="0" w:space="0" w:color="auto"/>
                                        <w:right w:val="none" w:sz="0" w:space="0" w:color="auto"/>
                                      </w:divBdr>
                                      <w:divsChild>
                                        <w:div w:id="16966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508111">
      <w:bodyDiv w:val="1"/>
      <w:marLeft w:val="0"/>
      <w:marRight w:val="0"/>
      <w:marTop w:val="0"/>
      <w:marBottom w:val="0"/>
      <w:divBdr>
        <w:top w:val="none" w:sz="0" w:space="0" w:color="auto"/>
        <w:left w:val="none" w:sz="0" w:space="0" w:color="auto"/>
        <w:bottom w:val="none" w:sz="0" w:space="0" w:color="auto"/>
        <w:right w:val="none" w:sz="0" w:space="0" w:color="auto"/>
      </w:divBdr>
    </w:div>
    <w:div w:id="1059673647">
      <w:bodyDiv w:val="1"/>
      <w:marLeft w:val="0"/>
      <w:marRight w:val="0"/>
      <w:marTop w:val="0"/>
      <w:marBottom w:val="0"/>
      <w:divBdr>
        <w:top w:val="none" w:sz="0" w:space="0" w:color="auto"/>
        <w:left w:val="none" w:sz="0" w:space="0" w:color="auto"/>
        <w:bottom w:val="none" w:sz="0" w:space="0" w:color="auto"/>
        <w:right w:val="none" w:sz="0" w:space="0" w:color="auto"/>
      </w:divBdr>
    </w:div>
    <w:div w:id="1061245918">
      <w:bodyDiv w:val="1"/>
      <w:marLeft w:val="0"/>
      <w:marRight w:val="0"/>
      <w:marTop w:val="0"/>
      <w:marBottom w:val="0"/>
      <w:divBdr>
        <w:top w:val="none" w:sz="0" w:space="0" w:color="auto"/>
        <w:left w:val="none" w:sz="0" w:space="0" w:color="auto"/>
        <w:bottom w:val="none" w:sz="0" w:space="0" w:color="auto"/>
        <w:right w:val="none" w:sz="0" w:space="0" w:color="auto"/>
      </w:divBdr>
      <w:divsChild>
        <w:div w:id="1042097633">
          <w:marLeft w:val="0"/>
          <w:marRight w:val="0"/>
          <w:marTop w:val="0"/>
          <w:marBottom w:val="0"/>
          <w:divBdr>
            <w:top w:val="none" w:sz="0" w:space="0" w:color="auto"/>
            <w:left w:val="none" w:sz="0" w:space="0" w:color="auto"/>
            <w:bottom w:val="none" w:sz="0" w:space="0" w:color="auto"/>
            <w:right w:val="none" w:sz="0" w:space="0" w:color="auto"/>
          </w:divBdr>
          <w:divsChild>
            <w:div w:id="1079794909">
              <w:marLeft w:val="0"/>
              <w:marRight w:val="0"/>
              <w:marTop w:val="0"/>
              <w:marBottom w:val="0"/>
              <w:divBdr>
                <w:top w:val="none" w:sz="0" w:space="0" w:color="auto"/>
                <w:left w:val="none" w:sz="0" w:space="0" w:color="auto"/>
                <w:bottom w:val="none" w:sz="0" w:space="0" w:color="auto"/>
                <w:right w:val="none" w:sz="0" w:space="0" w:color="auto"/>
              </w:divBdr>
              <w:divsChild>
                <w:div w:id="1895114566">
                  <w:marLeft w:val="0"/>
                  <w:marRight w:val="0"/>
                  <w:marTop w:val="0"/>
                  <w:marBottom w:val="0"/>
                  <w:divBdr>
                    <w:top w:val="none" w:sz="0" w:space="0" w:color="auto"/>
                    <w:left w:val="none" w:sz="0" w:space="0" w:color="auto"/>
                    <w:bottom w:val="none" w:sz="0" w:space="0" w:color="auto"/>
                    <w:right w:val="none" w:sz="0" w:space="0" w:color="auto"/>
                  </w:divBdr>
                  <w:divsChild>
                    <w:div w:id="76561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278876">
      <w:bodyDiv w:val="1"/>
      <w:marLeft w:val="0"/>
      <w:marRight w:val="0"/>
      <w:marTop w:val="0"/>
      <w:marBottom w:val="0"/>
      <w:divBdr>
        <w:top w:val="none" w:sz="0" w:space="0" w:color="auto"/>
        <w:left w:val="none" w:sz="0" w:space="0" w:color="auto"/>
        <w:bottom w:val="none" w:sz="0" w:space="0" w:color="auto"/>
        <w:right w:val="none" w:sz="0" w:space="0" w:color="auto"/>
      </w:divBdr>
    </w:div>
    <w:div w:id="1099524371">
      <w:bodyDiv w:val="1"/>
      <w:marLeft w:val="0"/>
      <w:marRight w:val="0"/>
      <w:marTop w:val="0"/>
      <w:marBottom w:val="0"/>
      <w:divBdr>
        <w:top w:val="none" w:sz="0" w:space="0" w:color="auto"/>
        <w:left w:val="none" w:sz="0" w:space="0" w:color="auto"/>
        <w:bottom w:val="none" w:sz="0" w:space="0" w:color="auto"/>
        <w:right w:val="none" w:sz="0" w:space="0" w:color="auto"/>
      </w:divBdr>
    </w:div>
    <w:div w:id="1126582814">
      <w:bodyDiv w:val="1"/>
      <w:marLeft w:val="0"/>
      <w:marRight w:val="0"/>
      <w:marTop w:val="0"/>
      <w:marBottom w:val="0"/>
      <w:divBdr>
        <w:top w:val="none" w:sz="0" w:space="0" w:color="auto"/>
        <w:left w:val="none" w:sz="0" w:space="0" w:color="auto"/>
        <w:bottom w:val="none" w:sz="0" w:space="0" w:color="auto"/>
        <w:right w:val="none" w:sz="0" w:space="0" w:color="auto"/>
      </w:divBdr>
    </w:div>
    <w:div w:id="1139224977">
      <w:bodyDiv w:val="1"/>
      <w:marLeft w:val="0"/>
      <w:marRight w:val="0"/>
      <w:marTop w:val="0"/>
      <w:marBottom w:val="0"/>
      <w:divBdr>
        <w:top w:val="none" w:sz="0" w:space="0" w:color="auto"/>
        <w:left w:val="none" w:sz="0" w:space="0" w:color="auto"/>
        <w:bottom w:val="none" w:sz="0" w:space="0" w:color="auto"/>
        <w:right w:val="none" w:sz="0" w:space="0" w:color="auto"/>
      </w:divBdr>
    </w:div>
    <w:div w:id="1147743574">
      <w:bodyDiv w:val="1"/>
      <w:marLeft w:val="0"/>
      <w:marRight w:val="0"/>
      <w:marTop w:val="0"/>
      <w:marBottom w:val="0"/>
      <w:divBdr>
        <w:top w:val="none" w:sz="0" w:space="0" w:color="auto"/>
        <w:left w:val="none" w:sz="0" w:space="0" w:color="auto"/>
        <w:bottom w:val="none" w:sz="0" w:space="0" w:color="auto"/>
        <w:right w:val="none" w:sz="0" w:space="0" w:color="auto"/>
      </w:divBdr>
    </w:div>
    <w:div w:id="1153762334">
      <w:bodyDiv w:val="1"/>
      <w:marLeft w:val="0"/>
      <w:marRight w:val="0"/>
      <w:marTop w:val="0"/>
      <w:marBottom w:val="0"/>
      <w:divBdr>
        <w:top w:val="none" w:sz="0" w:space="0" w:color="auto"/>
        <w:left w:val="none" w:sz="0" w:space="0" w:color="auto"/>
        <w:bottom w:val="none" w:sz="0" w:space="0" w:color="auto"/>
        <w:right w:val="none" w:sz="0" w:space="0" w:color="auto"/>
      </w:divBdr>
    </w:div>
    <w:div w:id="1161044922">
      <w:bodyDiv w:val="1"/>
      <w:marLeft w:val="0"/>
      <w:marRight w:val="0"/>
      <w:marTop w:val="0"/>
      <w:marBottom w:val="0"/>
      <w:divBdr>
        <w:top w:val="none" w:sz="0" w:space="0" w:color="auto"/>
        <w:left w:val="none" w:sz="0" w:space="0" w:color="auto"/>
        <w:bottom w:val="none" w:sz="0" w:space="0" w:color="auto"/>
        <w:right w:val="none" w:sz="0" w:space="0" w:color="auto"/>
      </w:divBdr>
    </w:div>
    <w:div w:id="1182353219">
      <w:bodyDiv w:val="1"/>
      <w:marLeft w:val="0"/>
      <w:marRight w:val="0"/>
      <w:marTop w:val="0"/>
      <w:marBottom w:val="0"/>
      <w:divBdr>
        <w:top w:val="none" w:sz="0" w:space="0" w:color="auto"/>
        <w:left w:val="none" w:sz="0" w:space="0" w:color="auto"/>
        <w:bottom w:val="none" w:sz="0" w:space="0" w:color="auto"/>
        <w:right w:val="none" w:sz="0" w:space="0" w:color="auto"/>
      </w:divBdr>
    </w:div>
    <w:div w:id="1216430060">
      <w:bodyDiv w:val="1"/>
      <w:marLeft w:val="0"/>
      <w:marRight w:val="0"/>
      <w:marTop w:val="0"/>
      <w:marBottom w:val="0"/>
      <w:divBdr>
        <w:top w:val="none" w:sz="0" w:space="0" w:color="auto"/>
        <w:left w:val="none" w:sz="0" w:space="0" w:color="auto"/>
        <w:bottom w:val="none" w:sz="0" w:space="0" w:color="auto"/>
        <w:right w:val="none" w:sz="0" w:space="0" w:color="auto"/>
      </w:divBdr>
    </w:div>
    <w:div w:id="1221987933">
      <w:bodyDiv w:val="1"/>
      <w:marLeft w:val="0"/>
      <w:marRight w:val="0"/>
      <w:marTop w:val="0"/>
      <w:marBottom w:val="0"/>
      <w:divBdr>
        <w:top w:val="none" w:sz="0" w:space="0" w:color="auto"/>
        <w:left w:val="none" w:sz="0" w:space="0" w:color="auto"/>
        <w:bottom w:val="none" w:sz="0" w:space="0" w:color="auto"/>
        <w:right w:val="none" w:sz="0" w:space="0" w:color="auto"/>
      </w:divBdr>
    </w:div>
    <w:div w:id="1244022159">
      <w:bodyDiv w:val="1"/>
      <w:marLeft w:val="0"/>
      <w:marRight w:val="0"/>
      <w:marTop w:val="0"/>
      <w:marBottom w:val="0"/>
      <w:divBdr>
        <w:top w:val="none" w:sz="0" w:space="0" w:color="auto"/>
        <w:left w:val="none" w:sz="0" w:space="0" w:color="auto"/>
        <w:bottom w:val="none" w:sz="0" w:space="0" w:color="auto"/>
        <w:right w:val="none" w:sz="0" w:space="0" w:color="auto"/>
      </w:divBdr>
    </w:div>
    <w:div w:id="1247378061">
      <w:bodyDiv w:val="1"/>
      <w:marLeft w:val="0"/>
      <w:marRight w:val="0"/>
      <w:marTop w:val="0"/>
      <w:marBottom w:val="0"/>
      <w:divBdr>
        <w:top w:val="none" w:sz="0" w:space="0" w:color="auto"/>
        <w:left w:val="none" w:sz="0" w:space="0" w:color="auto"/>
        <w:bottom w:val="none" w:sz="0" w:space="0" w:color="auto"/>
        <w:right w:val="none" w:sz="0" w:space="0" w:color="auto"/>
      </w:divBdr>
    </w:div>
    <w:div w:id="1248996891">
      <w:bodyDiv w:val="1"/>
      <w:marLeft w:val="0"/>
      <w:marRight w:val="0"/>
      <w:marTop w:val="0"/>
      <w:marBottom w:val="0"/>
      <w:divBdr>
        <w:top w:val="none" w:sz="0" w:space="0" w:color="auto"/>
        <w:left w:val="none" w:sz="0" w:space="0" w:color="auto"/>
        <w:bottom w:val="none" w:sz="0" w:space="0" w:color="auto"/>
        <w:right w:val="none" w:sz="0" w:space="0" w:color="auto"/>
      </w:divBdr>
    </w:div>
    <w:div w:id="1255866632">
      <w:bodyDiv w:val="1"/>
      <w:marLeft w:val="0"/>
      <w:marRight w:val="0"/>
      <w:marTop w:val="0"/>
      <w:marBottom w:val="0"/>
      <w:divBdr>
        <w:top w:val="none" w:sz="0" w:space="0" w:color="auto"/>
        <w:left w:val="none" w:sz="0" w:space="0" w:color="auto"/>
        <w:bottom w:val="none" w:sz="0" w:space="0" w:color="auto"/>
        <w:right w:val="none" w:sz="0" w:space="0" w:color="auto"/>
      </w:divBdr>
    </w:div>
    <w:div w:id="1266114949">
      <w:bodyDiv w:val="1"/>
      <w:marLeft w:val="0"/>
      <w:marRight w:val="0"/>
      <w:marTop w:val="0"/>
      <w:marBottom w:val="0"/>
      <w:divBdr>
        <w:top w:val="none" w:sz="0" w:space="0" w:color="auto"/>
        <w:left w:val="none" w:sz="0" w:space="0" w:color="auto"/>
        <w:bottom w:val="none" w:sz="0" w:space="0" w:color="auto"/>
        <w:right w:val="none" w:sz="0" w:space="0" w:color="auto"/>
      </w:divBdr>
    </w:div>
    <w:div w:id="1266689803">
      <w:bodyDiv w:val="1"/>
      <w:marLeft w:val="0"/>
      <w:marRight w:val="0"/>
      <w:marTop w:val="0"/>
      <w:marBottom w:val="0"/>
      <w:divBdr>
        <w:top w:val="none" w:sz="0" w:space="0" w:color="auto"/>
        <w:left w:val="none" w:sz="0" w:space="0" w:color="auto"/>
        <w:bottom w:val="none" w:sz="0" w:space="0" w:color="auto"/>
        <w:right w:val="none" w:sz="0" w:space="0" w:color="auto"/>
      </w:divBdr>
    </w:div>
    <w:div w:id="1282029212">
      <w:bodyDiv w:val="1"/>
      <w:marLeft w:val="0"/>
      <w:marRight w:val="0"/>
      <w:marTop w:val="0"/>
      <w:marBottom w:val="0"/>
      <w:divBdr>
        <w:top w:val="none" w:sz="0" w:space="0" w:color="auto"/>
        <w:left w:val="none" w:sz="0" w:space="0" w:color="auto"/>
        <w:bottom w:val="none" w:sz="0" w:space="0" w:color="auto"/>
        <w:right w:val="none" w:sz="0" w:space="0" w:color="auto"/>
      </w:divBdr>
    </w:div>
    <w:div w:id="1286306830">
      <w:bodyDiv w:val="1"/>
      <w:marLeft w:val="0"/>
      <w:marRight w:val="0"/>
      <w:marTop w:val="0"/>
      <w:marBottom w:val="0"/>
      <w:divBdr>
        <w:top w:val="none" w:sz="0" w:space="0" w:color="auto"/>
        <w:left w:val="none" w:sz="0" w:space="0" w:color="auto"/>
        <w:bottom w:val="none" w:sz="0" w:space="0" w:color="auto"/>
        <w:right w:val="none" w:sz="0" w:space="0" w:color="auto"/>
      </w:divBdr>
    </w:div>
    <w:div w:id="1288929171">
      <w:bodyDiv w:val="1"/>
      <w:marLeft w:val="0"/>
      <w:marRight w:val="0"/>
      <w:marTop w:val="0"/>
      <w:marBottom w:val="0"/>
      <w:divBdr>
        <w:top w:val="none" w:sz="0" w:space="0" w:color="auto"/>
        <w:left w:val="none" w:sz="0" w:space="0" w:color="auto"/>
        <w:bottom w:val="none" w:sz="0" w:space="0" w:color="auto"/>
        <w:right w:val="none" w:sz="0" w:space="0" w:color="auto"/>
      </w:divBdr>
    </w:div>
    <w:div w:id="1297225355">
      <w:bodyDiv w:val="1"/>
      <w:marLeft w:val="0"/>
      <w:marRight w:val="0"/>
      <w:marTop w:val="0"/>
      <w:marBottom w:val="0"/>
      <w:divBdr>
        <w:top w:val="none" w:sz="0" w:space="0" w:color="auto"/>
        <w:left w:val="none" w:sz="0" w:space="0" w:color="auto"/>
        <w:bottom w:val="none" w:sz="0" w:space="0" w:color="auto"/>
        <w:right w:val="none" w:sz="0" w:space="0" w:color="auto"/>
      </w:divBdr>
    </w:div>
    <w:div w:id="1310598681">
      <w:bodyDiv w:val="1"/>
      <w:marLeft w:val="0"/>
      <w:marRight w:val="0"/>
      <w:marTop w:val="0"/>
      <w:marBottom w:val="0"/>
      <w:divBdr>
        <w:top w:val="none" w:sz="0" w:space="0" w:color="auto"/>
        <w:left w:val="none" w:sz="0" w:space="0" w:color="auto"/>
        <w:bottom w:val="none" w:sz="0" w:space="0" w:color="auto"/>
        <w:right w:val="none" w:sz="0" w:space="0" w:color="auto"/>
      </w:divBdr>
    </w:div>
    <w:div w:id="1311864234">
      <w:bodyDiv w:val="1"/>
      <w:marLeft w:val="0"/>
      <w:marRight w:val="0"/>
      <w:marTop w:val="0"/>
      <w:marBottom w:val="0"/>
      <w:divBdr>
        <w:top w:val="none" w:sz="0" w:space="0" w:color="auto"/>
        <w:left w:val="none" w:sz="0" w:space="0" w:color="auto"/>
        <w:bottom w:val="none" w:sz="0" w:space="0" w:color="auto"/>
        <w:right w:val="none" w:sz="0" w:space="0" w:color="auto"/>
      </w:divBdr>
    </w:div>
    <w:div w:id="1314259614">
      <w:bodyDiv w:val="1"/>
      <w:marLeft w:val="0"/>
      <w:marRight w:val="0"/>
      <w:marTop w:val="0"/>
      <w:marBottom w:val="0"/>
      <w:divBdr>
        <w:top w:val="none" w:sz="0" w:space="0" w:color="auto"/>
        <w:left w:val="none" w:sz="0" w:space="0" w:color="auto"/>
        <w:bottom w:val="none" w:sz="0" w:space="0" w:color="auto"/>
        <w:right w:val="none" w:sz="0" w:space="0" w:color="auto"/>
      </w:divBdr>
      <w:divsChild>
        <w:div w:id="441614067">
          <w:marLeft w:val="0"/>
          <w:marRight w:val="0"/>
          <w:marTop w:val="0"/>
          <w:marBottom w:val="0"/>
          <w:divBdr>
            <w:top w:val="none" w:sz="0" w:space="0" w:color="auto"/>
            <w:left w:val="none" w:sz="0" w:space="0" w:color="auto"/>
            <w:bottom w:val="none" w:sz="0" w:space="0" w:color="auto"/>
            <w:right w:val="none" w:sz="0" w:space="0" w:color="auto"/>
          </w:divBdr>
          <w:divsChild>
            <w:div w:id="857933021">
              <w:marLeft w:val="0"/>
              <w:marRight w:val="0"/>
              <w:marTop w:val="0"/>
              <w:marBottom w:val="0"/>
              <w:divBdr>
                <w:top w:val="none" w:sz="0" w:space="0" w:color="auto"/>
                <w:left w:val="none" w:sz="0" w:space="0" w:color="auto"/>
                <w:bottom w:val="none" w:sz="0" w:space="0" w:color="auto"/>
                <w:right w:val="none" w:sz="0" w:space="0" w:color="auto"/>
              </w:divBdr>
              <w:divsChild>
                <w:div w:id="262689469">
                  <w:marLeft w:val="0"/>
                  <w:marRight w:val="0"/>
                  <w:marTop w:val="0"/>
                  <w:marBottom w:val="0"/>
                  <w:divBdr>
                    <w:top w:val="none" w:sz="0" w:space="0" w:color="auto"/>
                    <w:left w:val="none" w:sz="0" w:space="0" w:color="auto"/>
                    <w:bottom w:val="none" w:sz="0" w:space="0" w:color="auto"/>
                    <w:right w:val="none" w:sz="0" w:space="0" w:color="auto"/>
                  </w:divBdr>
                  <w:divsChild>
                    <w:div w:id="1237470794">
                      <w:marLeft w:val="0"/>
                      <w:marRight w:val="0"/>
                      <w:marTop w:val="0"/>
                      <w:marBottom w:val="0"/>
                      <w:divBdr>
                        <w:top w:val="none" w:sz="0" w:space="0" w:color="auto"/>
                        <w:left w:val="none" w:sz="0" w:space="0" w:color="auto"/>
                        <w:bottom w:val="none" w:sz="0" w:space="0" w:color="auto"/>
                        <w:right w:val="none" w:sz="0" w:space="0" w:color="auto"/>
                      </w:divBdr>
                      <w:divsChild>
                        <w:div w:id="548760162">
                          <w:marLeft w:val="0"/>
                          <w:marRight w:val="0"/>
                          <w:marTop w:val="0"/>
                          <w:marBottom w:val="0"/>
                          <w:divBdr>
                            <w:top w:val="none" w:sz="0" w:space="0" w:color="auto"/>
                            <w:left w:val="none" w:sz="0" w:space="0" w:color="auto"/>
                            <w:bottom w:val="none" w:sz="0" w:space="0" w:color="auto"/>
                            <w:right w:val="none" w:sz="0" w:space="0" w:color="auto"/>
                          </w:divBdr>
                          <w:divsChild>
                            <w:div w:id="11928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71122">
      <w:bodyDiv w:val="1"/>
      <w:marLeft w:val="0"/>
      <w:marRight w:val="0"/>
      <w:marTop w:val="0"/>
      <w:marBottom w:val="0"/>
      <w:divBdr>
        <w:top w:val="none" w:sz="0" w:space="0" w:color="auto"/>
        <w:left w:val="none" w:sz="0" w:space="0" w:color="auto"/>
        <w:bottom w:val="none" w:sz="0" w:space="0" w:color="auto"/>
        <w:right w:val="none" w:sz="0" w:space="0" w:color="auto"/>
      </w:divBdr>
    </w:div>
    <w:div w:id="1357972198">
      <w:bodyDiv w:val="1"/>
      <w:marLeft w:val="0"/>
      <w:marRight w:val="0"/>
      <w:marTop w:val="0"/>
      <w:marBottom w:val="0"/>
      <w:divBdr>
        <w:top w:val="none" w:sz="0" w:space="0" w:color="auto"/>
        <w:left w:val="none" w:sz="0" w:space="0" w:color="auto"/>
        <w:bottom w:val="none" w:sz="0" w:space="0" w:color="auto"/>
        <w:right w:val="none" w:sz="0" w:space="0" w:color="auto"/>
      </w:divBdr>
    </w:div>
    <w:div w:id="1368800708">
      <w:bodyDiv w:val="1"/>
      <w:marLeft w:val="0"/>
      <w:marRight w:val="0"/>
      <w:marTop w:val="0"/>
      <w:marBottom w:val="0"/>
      <w:divBdr>
        <w:top w:val="none" w:sz="0" w:space="0" w:color="auto"/>
        <w:left w:val="none" w:sz="0" w:space="0" w:color="auto"/>
        <w:bottom w:val="none" w:sz="0" w:space="0" w:color="auto"/>
        <w:right w:val="none" w:sz="0" w:space="0" w:color="auto"/>
      </w:divBdr>
    </w:div>
    <w:div w:id="1379622401">
      <w:bodyDiv w:val="1"/>
      <w:marLeft w:val="0"/>
      <w:marRight w:val="0"/>
      <w:marTop w:val="0"/>
      <w:marBottom w:val="0"/>
      <w:divBdr>
        <w:top w:val="none" w:sz="0" w:space="0" w:color="auto"/>
        <w:left w:val="none" w:sz="0" w:space="0" w:color="auto"/>
        <w:bottom w:val="none" w:sz="0" w:space="0" w:color="auto"/>
        <w:right w:val="none" w:sz="0" w:space="0" w:color="auto"/>
      </w:divBdr>
    </w:div>
    <w:div w:id="1380517758">
      <w:bodyDiv w:val="1"/>
      <w:marLeft w:val="0"/>
      <w:marRight w:val="0"/>
      <w:marTop w:val="0"/>
      <w:marBottom w:val="0"/>
      <w:divBdr>
        <w:top w:val="none" w:sz="0" w:space="0" w:color="auto"/>
        <w:left w:val="none" w:sz="0" w:space="0" w:color="auto"/>
        <w:bottom w:val="none" w:sz="0" w:space="0" w:color="auto"/>
        <w:right w:val="none" w:sz="0" w:space="0" w:color="auto"/>
      </w:divBdr>
    </w:div>
    <w:div w:id="1398549446">
      <w:bodyDiv w:val="1"/>
      <w:marLeft w:val="0"/>
      <w:marRight w:val="0"/>
      <w:marTop w:val="0"/>
      <w:marBottom w:val="0"/>
      <w:divBdr>
        <w:top w:val="none" w:sz="0" w:space="0" w:color="auto"/>
        <w:left w:val="none" w:sz="0" w:space="0" w:color="auto"/>
        <w:bottom w:val="none" w:sz="0" w:space="0" w:color="auto"/>
        <w:right w:val="none" w:sz="0" w:space="0" w:color="auto"/>
      </w:divBdr>
    </w:div>
    <w:div w:id="1412579218">
      <w:bodyDiv w:val="1"/>
      <w:marLeft w:val="0"/>
      <w:marRight w:val="0"/>
      <w:marTop w:val="0"/>
      <w:marBottom w:val="0"/>
      <w:divBdr>
        <w:top w:val="none" w:sz="0" w:space="0" w:color="auto"/>
        <w:left w:val="none" w:sz="0" w:space="0" w:color="auto"/>
        <w:bottom w:val="none" w:sz="0" w:space="0" w:color="auto"/>
        <w:right w:val="none" w:sz="0" w:space="0" w:color="auto"/>
      </w:divBdr>
    </w:div>
    <w:div w:id="1428695540">
      <w:bodyDiv w:val="1"/>
      <w:marLeft w:val="0"/>
      <w:marRight w:val="0"/>
      <w:marTop w:val="0"/>
      <w:marBottom w:val="0"/>
      <w:divBdr>
        <w:top w:val="none" w:sz="0" w:space="0" w:color="auto"/>
        <w:left w:val="none" w:sz="0" w:space="0" w:color="auto"/>
        <w:bottom w:val="none" w:sz="0" w:space="0" w:color="auto"/>
        <w:right w:val="none" w:sz="0" w:space="0" w:color="auto"/>
      </w:divBdr>
    </w:div>
    <w:div w:id="1434321035">
      <w:bodyDiv w:val="1"/>
      <w:marLeft w:val="0"/>
      <w:marRight w:val="0"/>
      <w:marTop w:val="0"/>
      <w:marBottom w:val="0"/>
      <w:divBdr>
        <w:top w:val="none" w:sz="0" w:space="0" w:color="auto"/>
        <w:left w:val="none" w:sz="0" w:space="0" w:color="auto"/>
        <w:bottom w:val="none" w:sz="0" w:space="0" w:color="auto"/>
        <w:right w:val="none" w:sz="0" w:space="0" w:color="auto"/>
      </w:divBdr>
    </w:div>
    <w:div w:id="1445613263">
      <w:bodyDiv w:val="1"/>
      <w:marLeft w:val="0"/>
      <w:marRight w:val="0"/>
      <w:marTop w:val="0"/>
      <w:marBottom w:val="0"/>
      <w:divBdr>
        <w:top w:val="none" w:sz="0" w:space="0" w:color="auto"/>
        <w:left w:val="none" w:sz="0" w:space="0" w:color="auto"/>
        <w:bottom w:val="none" w:sz="0" w:space="0" w:color="auto"/>
        <w:right w:val="none" w:sz="0" w:space="0" w:color="auto"/>
      </w:divBdr>
    </w:div>
    <w:div w:id="1446268519">
      <w:bodyDiv w:val="1"/>
      <w:marLeft w:val="0"/>
      <w:marRight w:val="0"/>
      <w:marTop w:val="0"/>
      <w:marBottom w:val="0"/>
      <w:divBdr>
        <w:top w:val="none" w:sz="0" w:space="0" w:color="auto"/>
        <w:left w:val="none" w:sz="0" w:space="0" w:color="auto"/>
        <w:bottom w:val="none" w:sz="0" w:space="0" w:color="auto"/>
        <w:right w:val="none" w:sz="0" w:space="0" w:color="auto"/>
      </w:divBdr>
      <w:divsChild>
        <w:div w:id="88963383">
          <w:marLeft w:val="0"/>
          <w:marRight w:val="0"/>
          <w:marTop w:val="0"/>
          <w:marBottom w:val="0"/>
          <w:divBdr>
            <w:top w:val="none" w:sz="0" w:space="0" w:color="auto"/>
            <w:left w:val="none" w:sz="0" w:space="0" w:color="auto"/>
            <w:bottom w:val="none" w:sz="0" w:space="0" w:color="auto"/>
            <w:right w:val="none" w:sz="0" w:space="0" w:color="auto"/>
          </w:divBdr>
          <w:divsChild>
            <w:div w:id="709645608">
              <w:marLeft w:val="0"/>
              <w:marRight w:val="0"/>
              <w:marTop w:val="0"/>
              <w:marBottom w:val="0"/>
              <w:divBdr>
                <w:top w:val="none" w:sz="0" w:space="0" w:color="auto"/>
                <w:left w:val="none" w:sz="0" w:space="0" w:color="auto"/>
                <w:bottom w:val="none" w:sz="0" w:space="0" w:color="auto"/>
                <w:right w:val="none" w:sz="0" w:space="0" w:color="auto"/>
              </w:divBdr>
              <w:divsChild>
                <w:div w:id="1315984935">
                  <w:marLeft w:val="0"/>
                  <w:marRight w:val="0"/>
                  <w:marTop w:val="0"/>
                  <w:marBottom w:val="0"/>
                  <w:divBdr>
                    <w:top w:val="none" w:sz="0" w:space="0" w:color="auto"/>
                    <w:left w:val="none" w:sz="0" w:space="0" w:color="auto"/>
                    <w:bottom w:val="none" w:sz="0" w:space="0" w:color="auto"/>
                    <w:right w:val="none" w:sz="0" w:space="0" w:color="auto"/>
                  </w:divBdr>
                  <w:divsChild>
                    <w:div w:id="1582761873">
                      <w:marLeft w:val="0"/>
                      <w:marRight w:val="0"/>
                      <w:marTop w:val="0"/>
                      <w:marBottom w:val="0"/>
                      <w:divBdr>
                        <w:top w:val="none" w:sz="0" w:space="0" w:color="auto"/>
                        <w:left w:val="none" w:sz="0" w:space="0" w:color="auto"/>
                        <w:bottom w:val="none" w:sz="0" w:space="0" w:color="auto"/>
                        <w:right w:val="none" w:sz="0" w:space="0" w:color="auto"/>
                      </w:divBdr>
                      <w:divsChild>
                        <w:div w:id="1380284490">
                          <w:marLeft w:val="0"/>
                          <w:marRight w:val="0"/>
                          <w:marTop w:val="0"/>
                          <w:marBottom w:val="0"/>
                          <w:divBdr>
                            <w:top w:val="none" w:sz="0" w:space="0" w:color="auto"/>
                            <w:left w:val="none" w:sz="0" w:space="0" w:color="auto"/>
                            <w:bottom w:val="none" w:sz="0" w:space="0" w:color="auto"/>
                            <w:right w:val="none" w:sz="0" w:space="0" w:color="auto"/>
                          </w:divBdr>
                          <w:divsChild>
                            <w:div w:id="700858118">
                              <w:marLeft w:val="0"/>
                              <w:marRight w:val="0"/>
                              <w:marTop w:val="0"/>
                              <w:marBottom w:val="0"/>
                              <w:divBdr>
                                <w:top w:val="none" w:sz="0" w:space="0" w:color="auto"/>
                                <w:left w:val="none" w:sz="0" w:space="0" w:color="auto"/>
                                <w:bottom w:val="none" w:sz="0" w:space="0" w:color="auto"/>
                                <w:right w:val="none" w:sz="0" w:space="0" w:color="auto"/>
                              </w:divBdr>
                              <w:divsChild>
                                <w:div w:id="21044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406533">
      <w:bodyDiv w:val="1"/>
      <w:marLeft w:val="0"/>
      <w:marRight w:val="0"/>
      <w:marTop w:val="0"/>
      <w:marBottom w:val="0"/>
      <w:divBdr>
        <w:top w:val="none" w:sz="0" w:space="0" w:color="auto"/>
        <w:left w:val="none" w:sz="0" w:space="0" w:color="auto"/>
        <w:bottom w:val="none" w:sz="0" w:space="0" w:color="auto"/>
        <w:right w:val="none" w:sz="0" w:space="0" w:color="auto"/>
      </w:divBdr>
    </w:div>
    <w:div w:id="1457523260">
      <w:bodyDiv w:val="1"/>
      <w:marLeft w:val="0"/>
      <w:marRight w:val="0"/>
      <w:marTop w:val="0"/>
      <w:marBottom w:val="0"/>
      <w:divBdr>
        <w:top w:val="none" w:sz="0" w:space="0" w:color="auto"/>
        <w:left w:val="none" w:sz="0" w:space="0" w:color="auto"/>
        <w:bottom w:val="none" w:sz="0" w:space="0" w:color="auto"/>
        <w:right w:val="none" w:sz="0" w:space="0" w:color="auto"/>
      </w:divBdr>
    </w:div>
    <w:div w:id="1477071016">
      <w:bodyDiv w:val="1"/>
      <w:marLeft w:val="0"/>
      <w:marRight w:val="0"/>
      <w:marTop w:val="0"/>
      <w:marBottom w:val="0"/>
      <w:divBdr>
        <w:top w:val="none" w:sz="0" w:space="0" w:color="auto"/>
        <w:left w:val="none" w:sz="0" w:space="0" w:color="auto"/>
        <w:bottom w:val="none" w:sz="0" w:space="0" w:color="auto"/>
        <w:right w:val="none" w:sz="0" w:space="0" w:color="auto"/>
      </w:divBdr>
    </w:div>
    <w:div w:id="1483884245">
      <w:bodyDiv w:val="1"/>
      <w:marLeft w:val="0"/>
      <w:marRight w:val="0"/>
      <w:marTop w:val="0"/>
      <w:marBottom w:val="0"/>
      <w:divBdr>
        <w:top w:val="none" w:sz="0" w:space="0" w:color="auto"/>
        <w:left w:val="none" w:sz="0" w:space="0" w:color="auto"/>
        <w:bottom w:val="none" w:sz="0" w:space="0" w:color="auto"/>
        <w:right w:val="none" w:sz="0" w:space="0" w:color="auto"/>
      </w:divBdr>
    </w:div>
    <w:div w:id="1484665846">
      <w:bodyDiv w:val="1"/>
      <w:marLeft w:val="0"/>
      <w:marRight w:val="0"/>
      <w:marTop w:val="0"/>
      <w:marBottom w:val="0"/>
      <w:divBdr>
        <w:top w:val="none" w:sz="0" w:space="0" w:color="auto"/>
        <w:left w:val="none" w:sz="0" w:space="0" w:color="auto"/>
        <w:bottom w:val="none" w:sz="0" w:space="0" w:color="auto"/>
        <w:right w:val="none" w:sz="0" w:space="0" w:color="auto"/>
      </w:divBdr>
    </w:div>
    <w:div w:id="1490756220">
      <w:bodyDiv w:val="1"/>
      <w:marLeft w:val="0"/>
      <w:marRight w:val="0"/>
      <w:marTop w:val="0"/>
      <w:marBottom w:val="0"/>
      <w:divBdr>
        <w:top w:val="none" w:sz="0" w:space="0" w:color="auto"/>
        <w:left w:val="none" w:sz="0" w:space="0" w:color="auto"/>
        <w:bottom w:val="none" w:sz="0" w:space="0" w:color="auto"/>
        <w:right w:val="none" w:sz="0" w:space="0" w:color="auto"/>
      </w:divBdr>
    </w:div>
    <w:div w:id="1503276103">
      <w:bodyDiv w:val="1"/>
      <w:marLeft w:val="0"/>
      <w:marRight w:val="0"/>
      <w:marTop w:val="0"/>
      <w:marBottom w:val="0"/>
      <w:divBdr>
        <w:top w:val="none" w:sz="0" w:space="0" w:color="auto"/>
        <w:left w:val="none" w:sz="0" w:space="0" w:color="auto"/>
        <w:bottom w:val="none" w:sz="0" w:space="0" w:color="auto"/>
        <w:right w:val="none" w:sz="0" w:space="0" w:color="auto"/>
      </w:divBdr>
    </w:div>
    <w:div w:id="1516840266">
      <w:bodyDiv w:val="1"/>
      <w:marLeft w:val="0"/>
      <w:marRight w:val="0"/>
      <w:marTop w:val="0"/>
      <w:marBottom w:val="0"/>
      <w:divBdr>
        <w:top w:val="none" w:sz="0" w:space="0" w:color="auto"/>
        <w:left w:val="none" w:sz="0" w:space="0" w:color="auto"/>
        <w:bottom w:val="none" w:sz="0" w:space="0" w:color="auto"/>
        <w:right w:val="none" w:sz="0" w:space="0" w:color="auto"/>
      </w:divBdr>
    </w:div>
    <w:div w:id="1521505718">
      <w:bodyDiv w:val="1"/>
      <w:marLeft w:val="0"/>
      <w:marRight w:val="0"/>
      <w:marTop w:val="0"/>
      <w:marBottom w:val="0"/>
      <w:divBdr>
        <w:top w:val="none" w:sz="0" w:space="0" w:color="auto"/>
        <w:left w:val="none" w:sz="0" w:space="0" w:color="auto"/>
        <w:bottom w:val="none" w:sz="0" w:space="0" w:color="auto"/>
        <w:right w:val="none" w:sz="0" w:space="0" w:color="auto"/>
      </w:divBdr>
      <w:divsChild>
        <w:div w:id="1287616566">
          <w:marLeft w:val="0"/>
          <w:marRight w:val="0"/>
          <w:marTop w:val="0"/>
          <w:marBottom w:val="0"/>
          <w:divBdr>
            <w:top w:val="none" w:sz="0" w:space="0" w:color="auto"/>
            <w:left w:val="none" w:sz="0" w:space="0" w:color="auto"/>
            <w:bottom w:val="none" w:sz="0" w:space="0" w:color="auto"/>
            <w:right w:val="none" w:sz="0" w:space="0" w:color="auto"/>
          </w:divBdr>
          <w:divsChild>
            <w:div w:id="1946037673">
              <w:marLeft w:val="0"/>
              <w:marRight w:val="0"/>
              <w:marTop w:val="0"/>
              <w:marBottom w:val="0"/>
              <w:divBdr>
                <w:top w:val="none" w:sz="0" w:space="0" w:color="auto"/>
                <w:left w:val="none" w:sz="0" w:space="0" w:color="auto"/>
                <w:bottom w:val="none" w:sz="0" w:space="0" w:color="auto"/>
                <w:right w:val="none" w:sz="0" w:space="0" w:color="auto"/>
              </w:divBdr>
              <w:divsChild>
                <w:div w:id="50270649">
                  <w:marLeft w:val="0"/>
                  <w:marRight w:val="0"/>
                  <w:marTop w:val="0"/>
                  <w:marBottom w:val="0"/>
                  <w:divBdr>
                    <w:top w:val="none" w:sz="0" w:space="0" w:color="auto"/>
                    <w:left w:val="none" w:sz="0" w:space="0" w:color="auto"/>
                    <w:bottom w:val="none" w:sz="0" w:space="0" w:color="auto"/>
                    <w:right w:val="none" w:sz="0" w:space="0" w:color="auto"/>
                  </w:divBdr>
                  <w:divsChild>
                    <w:div w:id="364141601">
                      <w:marLeft w:val="0"/>
                      <w:marRight w:val="0"/>
                      <w:marTop w:val="0"/>
                      <w:marBottom w:val="0"/>
                      <w:divBdr>
                        <w:top w:val="none" w:sz="0" w:space="0" w:color="auto"/>
                        <w:left w:val="none" w:sz="0" w:space="0" w:color="auto"/>
                        <w:bottom w:val="none" w:sz="0" w:space="0" w:color="auto"/>
                        <w:right w:val="none" w:sz="0" w:space="0" w:color="auto"/>
                      </w:divBdr>
                      <w:divsChild>
                        <w:div w:id="614990795">
                          <w:marLeft w:val="0"/>
                          <w:marRight w:val="0"/>
                          <w:marTop w:val="0"/>
                          <w:marBottom w:val="0"/>
                          <w:divBdr>
                            <w:top w:val="none" w:sz="0" w:space="0" w:color="auto"/>
                            <w:left w:val="none" w:sz="0" w:space="0" w:color="auto"/>
                            <w:bottom w:val="none" w:sz="0" w:space="0" w:color="auto"/>
                            <w:right w:val="none" w:sz="0" w:space="0" w:color="auto"/>
                          </w:divBdr>
                          <w:divsChild>
                            <w:div w:id="1533377098">
                              <w:marLeft w:val="0"/>
                              <w:marRight w:val="0"/>
                              <w:marTop w:val="0"/>
                              <w:marBottom w:val="0"/>
                              <w:divBdr>
                                <w:top w:val="none" w:sz="0" w:space="0" w:color="auto"/>
                                <w:left w:val="none" w:sz="0" w:space="0" w:color="auto"/>
                                <w:bottom w:val="none" w:sz="0" w:space="0" w:color="auto"/>
                                <w:right w:val="none" w:sz="0" w:space="0" w:color="auto"/>
                              </w:divBdr>
                              <w:divsChild>
                                <w:div w:id="1722750806">
                                  <w:marLeft w:val="0"/>
                                  <w:marRight w:val="0"/>
                                  <w:marTop w:val="0"/>
                                  <w:marBottom w:val="0"/>
                                  <w:divBdr>
                                    <w:top w:val="none" w:sz="0" w:space="0" w:color="auto"/>
                                    <w:left w:val="none" w:sz="0" w:space="0" w:color="auto"/>
                                    <w:bottom w:val="none" w:sz="0" w:space="0" w:color="auto"/>
                                    <w:right w:val="none" w:sz="0" w:space="0" w:color="auto"/>
                                  </w:divBdr>
                                  <w:divsChild>
                                    <w:div w:id="979533232">
                                      <w:marLeft w:val="0"/>
                                      <w:marRight w:val="0"/>
                                      <w:marTop w:val="0"/>
                                      <w:marBottom w:val="0"/>
                                      <w:divBdr>
                                        <w:top w:val="none" w:sz="0" w:space="0" w:color="auto"/>
                                        <w:left w:val="none" w:sz="0" w:space="0" w:color="auto"/>
                                        <w:bottom w:val="none" w:sz="0" w:space="0" w:color="auto"/>
                                        <w:right w:val="none" w:sz="0" w:space="0" w:color="auto"/>
                                      </w:divBdr>
                                      <w:divsChild>
                                        <w:div w:id="183980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443638">
      <w:bodyDiv w:val="1"/>
      <w:marLeft w:val="0"/>
      <w:marRight w:val="0"/>
      <w:marTop w:val="0"/>
      <w:marBottom w:val="0"/>
      <w:divBdr>
        <w:top w:val="none" w:sz="0" w:space="0" w:color="auto"/>
        <w:left w:val="none" w:sz="0" w:space="0" w:color="auto"/>
        <w:bottom w:val="none" w:sz="0" w:space="0" w:color="auto"/>
        <w:right w:val="none" w:sz="0" w:space="0" w:color="auto"/>
      </w:divBdr>
      <w:divsChild>
        <w:div w:id="1063406426">
          <w:marLeft w:val="0"/>
          <w:marRight w:val="0"/>
          <w:marTop w:val="0"/>
          <w:marBottom w:val="0"/>
          <w:divBdr>
            <w:top w:val="none" w:sz="0" w:space="0" w:color="auto"/>
            <w:left w:val="none" w:sz="0" w:space="0" w:color="auto"/>
            <w:bottom w:val="none" w:sz="0" w:space="0" w:color="auto"/>
            <w:right w:val="none" w:sz="0" w:space="0" w:color="auto"/>
          </w:divBdr>
          <w:divsChild>
            <w:div w:id="1364601257">
              <w:marLeft w:val="0"/>
              <w:marRight w:val="0"/>
              <w:marTop w:val="0"/>
              <w:marBottom w:val="0"/>
              <w:divBdr>
                <w:top w:val="none" w:sz="0" w:space="0" w:color="auto"/>
                <w:left w:val="none" w:sz="0" w:space="0" w:color="auto"/>
                <w:bottom w:val="none" w:sz="0" w:space="0" w:color="auto"/>
                <w:right w:val="none" w:sz="0" w:space="0" w:color="auto"/>
              </w:divBdr>
              <w:divsChild>
                <w:div w:id="1775858578">
                  <w:marLeft w:val="0"/>
                  <w:marRight w:val="0"/>
                  <w:marTop w:val="0"/>
                  <w:marBottom w:val="0"/>
                  <w:divBdr>
                    <w:top w:val="none" w:sz="0" w:space="0" w:color="auto"/>
                    <w:left w:val="none" w:sz="0" w:space="0" w:color="auto"/>
                    <w:bottom w:val="none" w:sz="0" w:space="0" w:color="auto"/>
                    <w:right w:val="none" w:sz="0" w:space="0" w:color="auto"/>
                  </w:divBdr>
                  <w:divsChild>
                    <w:div w:id="1034845385">
                      <w:marLeft w:val="0"/>
                      <w:marRight w:val="0"/>
                      <w:marTop w:val="0"/>
                      <w:marBottom w:val="0"/>
                      <w:divBdr>
                        <w:top w:val="none" w:sz="0" w:space="0" w:color="auto"/>
                        <w:left w:val="none" w:sz="0" w:space="0" w:color="auto"/>
                        <w:bottom w:val="none" w:sz="0" w:space="0" w:color="auto"/>
                        <w:right w:val="none" w:sz="0" w:space="0" w:color="auto"/>
                      </w:divBdr>
                      <w:divsChild>
                        <w:div w:id="1940596273">
                          <w:marLeft w:val="0"/>
                          <w:marRight w:val="0"/>
                          <w:marTop w:val="0"/>
                          <w:marBottom w:val="0"/>
                          <w:divBdr>
                            <w:top w:val="none" w:sz="0" w:space="0" w:color="auto"/>
                            <w:left w:val="none" w:sz="0" w:space="0" w:color="auto"/>
                            <w:bottom w:val="none" w:sz="0" w:space="0" w:color="auto"/>
                            <w:right w:val="none" w:sz="0" w:space="0" w:color="auto"/>
                          </w:divBdr>
                          <w:divsChild>
                            <w:div w:id="1877036557">
                              <w:marLeft w:val="0"/>
                              <w:marRight w:val="0"/>
                              <w:marTop w:val="0"/>
                              <w:marBottom w:val="0"/>
                              <w:divBdr>
                                <w:top w:val="none" w:sz="0" w:space="0" w:color="auto"/>
                                <w:left w:val="none" w:sz="0" w:space="0" w:color="auto"/>
                                <w:bottom w:val="none" w:sz="0" w:space="0" w:color="auto"/>
                                <w:right w:val="none" w:sz="0" w:space="0" w:color="auto"/>
                              </w:divBdr>
                              <w:divsChild>
                                <w:div w:id="652487936">
                                  <w:marLeft w:val="0"/>
                                  <w:marRight w:val="0"/>
                                  <w:marTop w:val="0"/>
                                  <w:marBottom w:val="0"/>
                                  <w:divBdr>
                                    <w:top w:val="none" w:sz="0" w:space="0" w:color="auto"/>
                                    <w:left w:val="none" w:sz="0" w:space="0" w:color="auto"/>
                                    <w:bottom w:val="none" w:sz="0" w:space="0" w:color="auto"/>
                                    <w:right w:val="none" w:sz="0" w:space="0" w:color="auto"/>
                                  </w:divBdr>
                                  <w:divsChild>
                                    <w:div w:id="2000696842">
                                      <w:marLeft w:val="0"/>
                                      <w:marRight w:val="0"/>
                                      <w:marTop w:val="0"/>
                                      <w:marBottom w:val="0"/>
                                      <w:divBdr>
                                        <w:top w:val="none" w:sz="0" w:space="0" w:color="auto"/>
                                        <w:left w:val="none" w:sz="0" w:space="0" w:color="auto"/>
                                        <w:bottom w:val="none" w:sz="0" w:space="0" w:color="auto"/>
                                        <w:right w:val="none" w:sz="0" w:space="0" w:color="auto"/>
                                      </w:divBdr>
                                      <w:divsChild>
                                        <w:div w:id="17892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51422">
      <w:bodyDiv w:val="1"/>
      <w:marLeft w:val="0"/>
      <w:marRight w:val="0"/>
      <w:marTop w:val="0"/>
      <w:marBottom w:val="0"/>
      <w:divBdr>
        <w:top w:val="none" w:sz="0" w:space="0" w:color="auto"/>
        <w:left w:val="none" w:sz="0" w:space="0" w:color="auto"/>
        <w:bottom w:val="none" w:sz="0" w:space="0" w:color="auto"/>
        <w:right w:val="none" w:sz="0" w:space="0" w:color="auto"/>
      </w:divBdr>
    </w:div>
    <w:div w:id="1557550993">
      <w:bodyDiv w:val="1"/>
      <w:marLeft w:val="0"/>
      <w:marRight w:val="0"/>
      <w:marTop w:val="0"/>
      <w:marBottom w:val="0"/>
      <w:divBdr>
        <w:top w:val="none" w:sz="0" w:space="0" w:color="auto"/>
        <w:left w:val="none" w:sz="0" w:space="0" w:color="auto"/>
        <w:bottom w:val="none" w:sz="0" w:space="0" w:color="auto"/>
        <w:right w:val="none" w:sz="0" w:space="0" w:color="auto"/>
      </w:divBdr>
    </w:div>
    <w:div w:id="1564177123">
      <w:bodyDiv w:val="1"/>
      <w:marLeft w:val="0"/>
      <w:marRight w:val="0"/>
      <w:marTop w:val="0"/>
      <w:marBottom w:val="0"/>
      <w:divBdr>
        <w:top w:val="none" w:sz="0" w:space="0" w:color="auto"/>
        <w:left w:val="none" w:sz="0" w:space="0" w:color="auto"/>
        <w:bottom w:val="none" w:sz="0" w:space="0" w:color="auto"/>
        <w:right w:val="none" w:sz="0" w:space="0" w:color="auto"/>
      </w:divBdr>
    </w:div>
    <w:div w:id="1573806065">
      <w:bodyDiv w:val="1"/>
      <w:marLeft w:val="0"/>
      <w:marRight w:val="0"/>
      <w:marTop w:val="0"/>
      <w:marBottom w:val="0"/>
      <w:divBdr>
        <w:top w:val="none" w:sz="0" w:space="0" w:color="auto"/>
        <w:left w:val="none" w:sz="0" w:space="0" w:color="auto"/>
        <w:bottom w:val="none" w:sz="0" w:space="0" w:color="auto"/>
        <w:right w:val="none" w:sz="0" w:space="0" w:color="auto"/>
      </w:divBdr>
    </w:div>
    <w:div w:id="1593270773">
      <w:bodyDiv w:val="1"/>
      <w:marLeft w:val="0"/>
      <w:marRight w:val="0"/>
      <w:marTop w:val="0"/>
      <w:marBottom w:val="0"/>
      <w:divBdr>
        <w:top w:val="none" w:sz="0" w:space="0" w:color="auto"/>
        <w:left w:val="none" w:sz="0" w:space="0" w:color="auto"/>
        <w:bottom w:val="none" w:sz="0" w:space="0" w:color="auto"/>
        <w:right w:val="none" w:sz="0" w:space="0" w:color="auto"/>
      </w:divBdr>
    </w:div>
    <w:div w:id="1608123495">
      <w:bodyDiv w:val="1"/>
      <w:marLeft w:val="0"/>
      <w:marRight w:val="0"/>
      <w:marTop w:val="0"/>
      <w:marBottom w:val="0"/>
      <w:divBdr>
        <w:top w:val="none" w:sz="0" w:space="0" w:color="auto"/>
        <w:left w:val="none" w:sz="0" w:space="0" w:color="auto"/>
        <w:bottom w:val="none" w:sz="0" w:space="0" w:color="auto"/>
        <w:right w:val="none" w:sz="0" w:space="0" w:color="auto"/>
      </w:divBdr>
    </w:div>
    <w:div w:id="1635285271">
      <w:bodyDiv w:val="1"/>
      <w:marLeft w:val="0"/>
      <w:marRight w:val="0"/>
      <w:marTop w:val="0"/>
      <w:marBottom w:val="0"/>
      <w:divBdr>
        <w:top w:val="none" w:sz="0" w:space="0" w:color="auto"/>
        <w:left w:val="none" w:sz="0" w:space="0" w:color="auto"/>
        <w:bottom w:val="none" w:sz="0" w:space="0" w:color="auto"/>
        <w:right w:val="none" w:sz="0" w:space="0" w:color="auto"/>
      </w:divBdr>
    </w:div>
    <w:div w:id="1665011953">
      <w:bodyDiv w:val="1"/>
      <w:marLeft w:val="0"/>
      <w:marRight w:val="0"/>
      <w:marTop w:val="0"/>
      <w:marBottom w:val="0"/>
      <w:divBdr>
        <w:top w:val="none" w:sz="0" w:space="0" w:color="auto"/>
        <w:left w:val="none" w:sz="0" w:space="0" w:color="auto"/>
        <w:bottom w:val="none" w:sz="0" w:space="0" w:color="auto"/>
        <w:right w:val="none" w:sz="0" w:space="0" w:color="auto"/>
      </w:divBdr>
    </w:div>
    <w:div w:id="1678770421">
      <w:bodyDiv w:val="1"/>
      <w:marLeft w:val="0"/>
      <w:marRight w:val="0"/>
      <w:marTop w:val="0"/>
      <w:marBottom w:val="0"/>
      <w:divBdr>
        <w:top w:val="none" w:sz="0" w:space="0" w:color="auto"/>
        <w:left w:val="none" w:sz="0" w:space="0" w:color="auto"/>
        <w:bottom w:val="none" w:sz="0" w:space="0" w:color="auto"/>
        <w:right w:val="none" w:sz="0" w:space="0" w:color="auto"/>
      </w:divBdr>
    </w:div>
    <w:div w:id="1694958967">
      <w:bodyDiv w:val="1"/>
      <w:marLeft w:val="0"/>
      <w:marRight w:val="0"/>
      <w:marTop w:val="0"/>
      <w:marBottom w:val="0"/>
      <w:divBdr>
        <w:top w:val="none" w:sz="0" w:space="0" w:color="auto"/>
        <w:left w:val="none" w:sz="0" w:space="0" w:color="auto"/>
        <w:bottom w:val="none" w:sz="0" w:space="0" w:color="auto"/>
        <w:right w:val="none" w:sz="0" w:space="0" w:color="auto"/>
      </w:divBdr>
    </w:div>
    <w:div w:id="1696691027">
      <w:bodyDiv w:val="1"/>
      <w:marLeft w:val="0"/>
      <w:marRight w:val="0"/>
      <w:marTop w:val="0"/>
      <w:marBottom w:val="0"/>
      <w:divBdr>
        <w:top w:val="none" w:sz="0" w:space="0" w:color="auto"/>
        <w:left w:val="none" w:sz="0" w:space="0" w:color="auto"/>
        <w:bottom w:val="none" w:sz="0" w:space="0" w:color="auto"/>
        <w:right w:val="none" w:sz="0" w:space="0" w:color="auto"/>
      </w:divBdr>
    </w:div>
    <w:div w:id="1698190364">
      <w:bodyDiv w:val="1"/>
      <w:marLeft w:val="0"/>
      <w:marRight w:val="0"/>
      <w:marTop w:val="0"/>
      <w:marBottom w:val="0"/>
      <w:divBdr>
        <w:top w:val="none" w:sz="0" w:space="0" w:color="auto"/>
        <w:left w:val="none" w:sz="0" w:space="0" w:color="auto"/>
        <w:bottom w:val="none" w:sz="0" w:space="0" w:color="auto"/>
        <w:right w:val="none" w:sz="0" w:space="0" w:color="auto"/>
      </w:divBdr>
      <w:divsChild>
        <w:div w:id="115755419">
          <w:marLeft w:val="0"/>
          <w:marRight w:val="0"/>
          <w:marTop w:val="0"/>
          <w:marBottom w:val="0"/>
          <w:divBdr>
            <w:top w:val="none" w:sz="0" w:space="0" w:color="auto"/>
            <w:left w:val="none" w:sz="0" w:space="0" w:color="auto"/>
            <w:bottom w:val="none" w:sz="0" w:space="0" w:color="auto"/>
            <w:right w:val="none" w:sz="0" w:space="0" w:color="auto"/>
          </w:divBdr>
          <w:divsChild>
            <w:div w:id="969290195">
              <w:marLeft w:val="0"/>
              <w:marRight w:val="0"/>
              <w:marTop w:val="0"/>
              <w:marBottom w:val="0"/>
              <w:divBdr>
                <w:top w:val="none" w:sz="0" w:space="0" w:color="auto"/>
                <w:left w:val="none" w:sz="0" w:space="0" w:color="auto"/>
                <w:bottom w:val="none" w:sz="0" w:space="0" w:color="auto"/>
                <w:right w:val="none" w:sz="0" w:space="0" w:color="auto"/>
              </w:divBdr>
              <w:divsChild>
                <w:div w:id="60299430">
                  <w:marLeft w:val="0"/>
                  <w:marRight w:val="0"/>
                  <w:marTop w:val="0"/>
                  <w:marBottom w:val="0"/>
                  <w:divBdr>
                    <w:top w:val="none" w:sz="0" w:space="0" w:color="auto"/>
                    <w:left w:val="none" w:sz="0" w:space="0" w:color="auto"/>
                    <w:bottom w:val="none" w:sz="0" w:space="0" w:color="auto"/>
                    <w:right w:val="none" w:sz="0" w:space="0" w:color="auto"/>
                  </w:divBdr>
                  <w:divsChild>
                    <w:div w:id="269122011">
                      <w:marLeft w:val="0"/>
                      <w:marRight w:val="0"/>
                      <w:marTop w:val="0"/>
                      <w:marBottom w:val="0"/>
                      <w:divBdr>
                        <w:top w:val="none" w:sz="0" w:space="0" w:color="auto"/>
                        <w:left w:val="none" w:sz="0" w:space="0" w:color="auto"/>
                        <w:bottom w:val="none" w:sz="0" w:space="0" w:color="auto"/>
                        <w:right w:val="none" w:sz="0" w:space="0" w:color="auto"/>
                      </w:divBdr>
                      <w:divsChild>
                        <w:div w:id="220408965">
                          <w:marLeft w:val="0"/>
                          <w:marRight w:val="0"/>
                          <w:marTop w:val="0"/>
                          <w:marBottom w:val="0"/>
                          <w:divBdr>
                            <w:top w:val="none" w:sz="0" w:space="0" w:color="auto"/>
                            <w:left w:val="none" w:sz="0" w:space="0" w:color="auto"/>
                            <w:bottom w:val="none" w:sz="0" w:space="0" w:color="auto"/>
                            <w:right w:val="none" w:sz="0" w:space="0" w:color="auto"/>
                          </w:divBdr>
                          <w:divsChild>
                            <w:div w:id="1402410102">
                              <w:marLeft w:val="0"/>
                              <w:marRight w:val="0"/>
                              <w:marTop w:val="0"/>
                              <w:marBottom w:val="0"/>
                              <w:divBdr>
                                <w:top w:val="none" w:sz="0" w:space="0" w:color="auto"/>
                                <w:left w:val="none" w:sz="0" w:space="0" w:color="auto"/>
                                <w:bottom w:val="none" w:sz="0" w:space="0" w:color="auto"/>
                                <w:right w:val="none" w:sz="0" w:space="0" w:color="auto"/>
                              </w:divBdr>
                              <w:divsChild>
                                <w:div w:id="476605747">
                                  <w:marLeft w:val="0"/>
                                  <w:marRight w:val="0"/>
                                  <w:marTop w:val="0"/>
                                  <w:marBottom w:val="0"/>
                                  <w:divBdr>
                                    <w:top w:val="none" w:sz="0" w:space="0" w:color="auto"/>
                                    <w:left w:val="none" w:sz="0" w:space="0" w:color="auto"/>
                                    <w:bottom w:val="none" w:sz="0" w:space="0" w:color="auto"/>
                                    <w:right w:val="none" w:sz="0" w:space="0" w:color="auto"/>
                                  </w:divBdr>
                                  <w:divsChild>
                                    <w:div w:id="1127427720">
                                      <w:marLeft w:val="0"/>
                                      <w:marRight w:val="0"/>
                                      <w:marTop w:val="0"/>
                                      <w:marBottom w:val="0"/>
                                      <w:divBdr>
                                        <w:top w:val="none" w:sz="0" w:space="0" w:color="auto"/>
                                        <w:left w:val="none" w:sz="0" w:space="0" w:color="auto"/>
                                        <w:bottom w:val="none" w:sz="0" w:space="0" w:color="auto"/>
                                        <w:right w:val="none" w:sz="0" w:space="0" w:color="auto"/>
                                      </w:divBdr>
                                      <w:divsChild>
                                        <w:div w:id="186732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902425">
      <w:bodyDiv w:val="1"/>
      <w:marLeft w:val="0"/>
      <w:marRight w:val="0"/>
      <w:marTop w:val="0"/>
      <w:marBottom w:val="0"/>
      <w:divBdr>
        <w:top w:val="none" w:sz="0" w:space="0" w:color="auto"/>
        <w:left w:val="none" w:sz="0" w:space="0" w:color="auto"/>
        <w:bottom w:val="none" w:sz="0" w:space="0" w:color="auto"/>
        <w:right w:val="none" w:sz="0" w:space="0" w:color="auto"/>
      </w:divBdr>
    </w:div>
    <w:div w:id="1715038128">
      <w:bodyDiv w:val="1"/>
      <w:marLeft w:val="0"/>
      <w:marRight w:val="0"/>
      <w:marTop w:val="0"/>
      <w:marBottom w:val="0"/>
      <w:divBdr>
        <w:top w:val="none" w:sz="0" w:space="0" w:color="auto"/>
        <w:left w:val="none" w:sz="0" w:space="0" w:color="auto"/>
        <w:bottom w:val="none" w:sz="0" w:space="0" w:color="auto"/>
        <w:right w:val="none" w:sz="0" w:space="0" w:color="auto"/>
      </w:divBdr>
    </w:div>
    <w:div w:id="1761562299">
      <w:bodyDiv w:val="1"/>
      <w:marLeft w:val="0"/>
      <w:marRight w:val="0"/>
      <w:marTop w:val="0"/>
      <w:marBottom w:val="0"/>
      <w:divBdr>
        <w:top w:val="none" w:sz="0" w:space="0" w:color="auto"/>
        <w:left w:val="none" w:sz="0" w:space="0" w:color="auto"/>
        <w:bottom w:val="none" w:sz="0" w:space="0" w:color="auto"/>
        <w:right w:val="none" w:sz="0" w:space="0" w:color="auto"/>
      </w:divBdr>
    </w:div>
    <w:div w:id="1786653902">
      <w:bodyDiv w:val="1"/>
      <w:marLeft w:val="0"/>
      <w:marRight w:val="0"/>
      <w:marTop w:val="0"/>
      <w:marBottom w:val="0"/>
      <w:divBdr>
        <w:top w:val="none" w:sz="0" w:space="0" w:color="auto"/>
        <w:left w:val="none" w:sz="0" w:space="0" w:color="auto"/>
        <w:bottom w:val="none" w:sz="0" w:space="0" w:color="auto"/>
        <w:right w:val="none" w:sz="0" w:space="0" w:color="auto"/>
      </w:divBdr>
    </w:div>
    <w:div w:id="1816800198">
      <w:bodyDiv w:val="1"/>
      <w:marLeft w:val="0"/>
      <w:marRight w:val="0"/>
      <w:marTop w:val="0"/>
      <w:marBottom w:val="0"/>
      <w:divBdr>
        <w:top w:val="none" w:sz="0" w:space="0" w:color="auto"/>
        <w:left w:val="none" w:sz="0" w:space="0" w:color="auto"/>
        <w:bottom w:val="none" w:sz="0" w:space="0" w:color="auto"/>
        <w:right w:val="none" w:sz="0" w:space="0" w:color="auto"/>
      </w:divBdr>
    </w:div>
    <w:div w:id="1838570732">
      <w:bodyDiv w:val="1"/>
      <w:marLeft w:val="0"/>
      <w:marRight w:val="0"/>
      <w:marTop w:val="0"/>
      <w:marBottom w:val="0"/>
      <w:divBdr>
        <w:top w:val="none" w:sz="0" w:space="0" w:color="auto"/>
        <w:left w:val="none" w:sz="0" w:space="0" w:color="auto"/>
        <w:bottom w:val="none" w:sz="0" w:space="0" w:color="auto"/>
        <w:right w:val="none" w:sz="0" w:space="0" w:color="auto"/>
      </w:divBdr>
    </w:div>
    <w:div w:id="1848909758">
      <w:bodyDiv w:val="1"/>
      <w:marLeft w:val="0"/>
      <w:marRight w:val="0"/>
      <w:marTop w:val="0"/>
      <w:marBottom w:val="0"/>
      <w:divBdr>
        <w:top w:val="none" w:sz="0" w:space="0" w:color="auto"/>
        <w:left w:val="none" w:sz="0" w:space="0" w:color="auto"/>
        <w:bottom w:val="none" w:sz="0" w:space="0" w:color="auto"/>
        <w:right w:val="none" w:sz="0" w:space="0" w:color="auto"/>
      </w:divBdr>
      <w:divsChild>
        <w:div w:id="2083795040">
          <w:marLeft w:val="0"/>
          <w:marRight w:val="0"/>
          <w:marTop w:val="0"/>
          <w:marBottom w:val="0"/>
          <w:divBdr>
            <w:top w:val="none" w:sz="0" w:space="0" w:color="auto"/>
            <w:left w:val="none" w:sz="0" w:space="0" w:color="auto"/>
            <w:bottom w:val="none" w:sz="0" w:space="0" w:color="auto"/>
            <w:right w:val="none" w:sz="0" w:space="0" w:color="auto"/>
          </w:divBdr>
          <w:divsChild>
            <w:div w:id="1204712309">
              <w:marLeft w:val="0"/>
              <w:marRight w:val="0"/>
              <w:marTop w:val="0"/>
              <w:marBottom w:val="0"/>
              <w:divBdr>
                <w:top w:val="none" w:sz="0" w:space="0" w:color="auto"/>
                <w:left w:val="none" w:sz="0" w:space="0" w:color="auto"/>
                <w:bottom w:val="none" w:sz="0" w:space="0" w:color="auto"/>
                <w:right w:val="none" w:sz="0" w:space="0" w:color="auto"/>
              </w:divBdr>
              <w:divsChild>
                <w:div w:id="361639054">
                  <w:marLeft w:val="0"/>
                  <w:marRight w:val="0"/>
                  <w:marTop w:val="0"/>
                  <w:marBottom w:val="0"/>
                  <w:divBdr>
                    <w:top w:val="none" w:sz="0" w:space="0" w:color="auto"/>
                    <w:left w:val="none" w:sz="0" w:space="0" w:color="auto"/>
                    <w:bottom w:val="none" w:sz="0" w:space="0" w:color="auto"/>
                    <w:right w:val="none" w:sz="0" w:space="0" w:color="auto"/>
                  </w:divBdr>
                  <w:divsChild>
                    <w:div w:id="1068841375">
                      <w:marLeft w:val="0"/>
                      <w:marRight w:val="0"/>
                      <w:marTop w:val="0"/>
                      <w:marBottom w:val="0"/>
                      <w:divBdr>
                        <w:top w:val="none" w:sz="0" w:space="0" w:color="auto"/>
                        <w:left w:val="none" w:sz="0" w:space="0" w:color="auto"/>
                        <w:bottom w:val="none" w:sz="0" w:space="0" w:color="auto"/>
                        <w:right w:val="none" w:sz="0" w:space="0" w:color="auto"/>
                      </w:divBdr>
                      <w:divsChild>
                        <w:div w:id="1548642243">
                          <w:marLeft w:val="0"/>
                          <w:marRight w:val="0"/>
                          <w:marTop w:val="0"/>
                          <w:marBottom w:val="0"/>
                          <w:divBdr>
                            <w:top w:val="none" w:sz="0" w:space="0" w:color="auto"/>
                            <w:left w:val="none" w:sz="0" w:space="0" w:color="auto"/>
                            <w:bottom w:val="none" w:sz="0" w:space="0" w:color="auto"/>
                            <w:right w:val="none" w:sz="0" w:space="0" w:color="auto"/>
                          </w:divBdr>
                          <w:divsChild>
                            <w:div w:id="90383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843373">
      <w:bodyDiv w:val="1"/>
      <w:marLeft w:val="0"/>
      <w:marRight w:val="0"/>
      <w:marTop w:val="0"/>
      <w:marBottom w:val="0"/>
      <w:divBdr>
        <w:top w:val="none" w:sz="0" w:space="0" w:color="auto"/>
        <w:left w:val="none" w:sz="0" w:space="0" w:color="auto"/>
        <w:bottom w:val="none" w:sz="0" w:space="0" w:color="auto"/>
        <w:right w:val="none" w:sz="0" w:space="0" w:color="auto"/>
      </w:divBdr>
    </w:div>
    <w:div w:id="1865316973">
      <w:bodyDiv w:val="1"/>
      <w:marLeft w:val="0"/>
      <w:marRight w:val="0"/>
      <w:marTop w:val="0"/>
      <w:marBottom w:val="0"/>
      <w:divBdr>
        <w:top w:val="none" w:sz="0" w:space="0" w:color="auto"/>
        <w:left w:val="none" w:sz="0" w:space="0" w:color="auto"/>
        <w:bottom w:val="none" w:sz="0" w:space="0" w:color="auto"/>
        <w:right w:val="none" w:sz="0" w:space="0" w:color="auto"/>
      </w:divBdr>
    </w:div>
    <w:div w:id="1869176737">
      <w:bodyDiv w:val="1"/>
      <w:marLeft w:val="0"/>
      <w:marRight w:val="0"/>
      <w:marTop w:val="0"/>
      <w:marBottom w:val="0"/>
      <w:divBdr>
        <w:top w:val="none" w:sz="0" w:space="0" w:color="auto"/>
        <w:left w:val="none" w:sz="0" w:space="0" w:color="auto"/>
        <w:bottom w:val="none" w:sz="0" w:space="0" w:color="auto"/>
        <w:right w:val="none" w:sz="0" w:space="0" w:color="auto"/>
      </w:divBdr>
    </w:div>
    <w:div w:id="1871650632">
      <w:bodyDiv w:val="1"/>
      <w:marLeft w:val="0"/>
      <w:marRight w:val="0"/>
      <w:marTop w:val="0"/>
      <w:marBottom w:val="0"/>
      <w:divBdr>
        <w:top w:val="none" w:sz="0" w:space="0" w:color="auto"/>
        <w:left w:val="none" w:sz="0" w:space="0" w:color="auto"/>
        <w:bottom w:val="none" w:sz="0" w:space="0" w:color="auto"/>
        <w:right w:val="none" w:sz="0" w:space="0" w:color="auto"/>
      </w:divBdr>
    </w:div>
    <w:div w:id="1882597230">
      <w:bodyDiv w:val="1"/>
      <w:marLeft w:val="0"/>
      <w:marRight w:val="0"/>
      <w:marTop w:val="0"/>
      <w:marBottom w:val="0"/>
      <w:divBdr>
        <w:top w:val="none" w:sz="0" w:space="0" w:color="auto"/>
        <w:left w:val="none" w:sz="0" w:space="0" w:color="auto"/>
        <w:bottom w:val="none" w:sz="0" w:space="0" w:color="auto"/>
        <w:right w:val="none" w:sz="0" w:space="0" w:color="auto"/>
      </w:divBdr>
    </w:div>
    <w:div w:id="1902472545">
      <w:bodyDiv w:val="1"/>
      <w:marLeft w:val="0"/>
      <w:marRight w:val="0"/>
      <w:marTop w:val="0"/>
      <w:marBottom w:val="0"/>
      <w:divBdr>
        <w:top w:val="none" w:sz="0" w:space="0" w:color="auto"/>
        <w:left w:val="none" w:sz="0" w:space="0" w:color="auto"/>
        <w:bottom w:val="none" w:sz="0" w:space="0" w:color="auto"/>
        <w:right w:val="none" w:sz="0" w:space="0" w:color="auto"/>
      </w:divBdr>
    </w:div>
    <w:div w:id="1927958243">
      <w:bodyDiv w:val="1"/>
      <w:marLeft w:val="0"/>
      <w:marRight w:val="0"/>
      <w:marTop w:val="0"/>
      <w:marBottom w:val="0"/>
      <w:divBdr>
        <w:top w:val="none" w:sz="0" w:space="0" w:color="auto"/>
        <w:left w:val="none" w:sz="0" w:space="0" w:color="auto"/>
        <w:bottom w:val="none" w:sz="0" w:space="0" w:color="auto"/>
        <w:right w:val="none" w:sz="0" w:space="0" w:color="auto"/>
      </w:divBdr>
    </w:div>
    <w:div w:id="1944874111">
      <w:bodyDiv w:val="1"/>
      <w:marLeft w:val="0"/>
      <w:marRight w:val="0"/>
      <w:marTop w:val="0"/>
      <w:marBottom w:val="0"/>
      <w:divBdr>
        <w:top w:val="none" w:sz="0" w:space="0" w:color="auto"/>
        <w:left w:val="none" w:sz="0" w:space="0" w:color="auto"/>
        <w:bottom w:val="none" w:sz="0" w:space="0" w:color="auto"/>
        <w:right w:val="none" w:sz="0" w:space="0" w:color="auto"/>
      </w:divBdr>
      <w:divsChild>
        <w:div w:id="149299555">
          <w:marLeft w:val="0"/>
          <w:marRight w:val="0"/>
          <w:marTop w:val="0"/>
          <w:marBottom w:val="0"/>
          <w:divBdr>
            <w:top w:val="none" w:sz="0" w:space="0" w:color="auto"/>
            <w:left w:val="none" w:sz="0" w:space="0" w:color="auto"/>
            <w:bottom w:val="none" w:sz="0" w:space="0" w:color="auto"/>
            <w:right w:val="none" w:sz="0" w:space="0" w:color="auto"/>
          </w:divBdr>
          <w:divsChild>
            <w:div w:id="705788530">
              <w:marLeft w:val="0"/>
              <w:marRight w:val="0"/>
              <w:marTop w:val="0"/>
              <w:marBottom w:val="0"/>
              <w:divBdr>
                <w:top w:val="none" w:sz="0" w:space="0" w:color="auto"/>
                <w:left w:val="none" w:sz="0" w:space="0" w:color="auto"/>
                <w:bottom w:val="none" w:sz="0" w:space="0" w:color="auto"/>
                <w:right w:val="none" w:sz="0" w:space="0" w:color="auto"/>
              </w:divBdr>
              <w:divsChild>
                <w:div w:id="2006399621">
                  <w:marLeft w:val="0"/>
                  <w:marRight w:val="0"/>
                  <w:marTop w:val="0"/>
                  <w:marBottom w:val="0"/>
                  <w:divBdr>
                    <w:top w:val="none" w:sz="0" w:space="0" w:color="auto"/>
                    <w:left w:val="none" w:sz="0" w:space="0" w:color="auto"/>
                    <w:bottom w:val="none" w:sz="0" w:space="0" w:color="auto"/>
                    <w:right w:val="none" w:sz="0" w:space="0" w:color="auto"/>
                  </w:divBdr>
                  <w:divsChild>
                    <w:div w:id="10610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349284">
      <w:bodyDiv w:val="1"/>
      <w:marLeft w:val="0"/>
      <w:marRight w:val="0"/>
      <w:marTop w:val="0"/>
      <w:marBottom w:val="0"/>
      <w:divBdr>
        <w:top w:val="none" w:sz="0" w:space="0" w:color="auto"/>
        <w:left w:val="none" w:sz="0" w:space="0" w:color="auto"/>
        <w:bottom w:val="none" w:sz="0" w:space="0" w:color="auto"/>
        <w:right w:val="none" w:sz="0" w:space="0" w:color="auto"/>
      </w:divBdr>
    </w:div>
    <w:div w:id="1961718566">
      <w:bodyDiv w:val="1"/>
      <w:marLeft w:val="0"/>
      <w:marRight w:val="0"/>
      <w:marTop w:val="0"/>
      <w:marBottom w:val="0"/>
      <w:divBdr>
        <w:top w:val="none" w:sz="0" w:space="0" w:color="auto"/>
        <w:left w:val="none" w:sz="0" w:space="0" w:color="auto"/>
        <w:bottom w:val="none" w:sz="0" w:space="0" w:color="auto"/>
        <w:right w:val="none" w:sz="0" w:space="0" w:color="auto"/>
      </w:divBdr>
    </w:div>
    <w:div w:id="1969776620">
      <w:bodyDiv w:val="1"/>
      <w:marLeft w:val="0"/>
      <w:marRight w:val="0"/>
      <w:marTop w:val="0"/>
      <w:marBottom w:val="0"/>
      <w:divBdr>
        <w:top w:val="none" w:sz="0" w:space="0" w:color="auto"/>
        <w:left w:val="none" w:sz="0" w:space="0" w:color="auto"/>
        <w:bottom w:val="none" w:sz="0" w:space="0" w:color="auto"/>
        <w:right w:val="none" w:sz="0" w:space="0" w:color="auto"/>
      </w:divBdr>
    </w:div>
    <w:div w:id="1974213081">
      <w:bodyDiv w:val="1"/>
      <w:marLeft w:val="0"/>
      <w:marRight w:val="0"/>
      <w:marTop w:val="0"/>
      <w:marBottom w:val="0"/>
      <w:divBdr>
        <w:top w:val="none" w:sz="0" w:space="0" w:color="auto"/>
        <w:left w:val="none" w:sz="0" w:space="0" w:color="auto"/>
        <w:bottom w:val="none" w:sz="0" w:space="0" w:color="auto"/>
        <w:right w:val="none" w:sz="0" w:space="0" w:color="auto"/>
      </w:divBdr>
    </w:div>
    <w:div w:id="1979677698">
      <w:bodyDiv w:val="1"/>
      <w:marLeft w:val="0"/>
      <w:marRight w:val="0"/>
      <w:marTop w:val="0"/>
      <w:marBottom w:val="0"/>
      <w:divBdr>
        <w:top w:val="none" w:sz="0" w:space="0" w:color="auto"/>
        <w:left w:val="none" w:sz="0" w:space="0" w:color="auto"/>
        <w:bottom w:val="none" w:sz="0" w:space="0" w:color="auto"/>
        <w:right w:val="none" w:sz="0" w:space="0" w:color="auto"/>
      </w:divBdr>
    </w:div>
    <w:div w:id="1982533370">
      <w:bodyDiv w:val="1"/>
      <w:marLeft w:val="0"/>
      <w:marRight w:val="0"/>
      <w:marTop w:val="0"/>
      <w:marBottom w:val="0"/>
      <w:divBdr>
        <w:top w:val="none" w:sz="0" w:space="0" w:color="auto"/>
        <w:left w:val="none" w:sz="0" w:space="0" w:color="auto"/>
        <w:bottom w:val="none" w:sz="0" w:space="0" w:color="auto"/>
        <w:right w:val="none" w:sz="0" w:space="0" w:color="auto"/>
      </w:divBdr>
    </w:div>
    <w:div w:id="1997757562">
      <w:bodyDiv w:val="1"/>
      <w:marLeft w:val="0"/>
      <w:marRight w:val="0"/>
      <w:marTop w:val="0"/>
      <w:marBottom w:val="0"/>
      <w:divBdr>
        <w:top w:val="none" w:sz="0" w:space="0" w:color="auto"/>
        <w:left w:val="none" w:sz="0" w:space="0" w:color="auto"/>
        <w:bottom w:val="none" w:sz="0" w:space="0" w:color="auto"/>
        <w:right w:val="none" w:sz="0" w:space="0" w:color="auto"/>
      </w:divBdr>
    </w:div>
    <w:div w:id="2011256021">
      <w:bodyDiv w:val="1"/>
      <w:marLeft w:val="0"/>
      <w:marRight w:val="0"/>
      <w:marTop w:val="0"/>
      <w:marBottom w:val="0"/>
      <w:divBdr>
        <w:top w:val="none" w:sz="0" w:space="0" w:color="auto"/>
        <w:left w:val="none" w:sz="0" w:space="0" w:color="auto"/>
        <w:bottom w:val="none" w:sz="0" w:space="0" w:color="auto"/>
        <w:right w:val="none" w:sz="0" w:space="0" w:color="auto"/>
      </w:divBdr>
      <w:divsChild>
        <w:div w:id="1447386815">
          <w:marLeft w:val="0"/>
          <w:marRight w:val="0"/>
          <w:marTop w:val="0"/>
          <w:marBottom w:val="0"/>
          <w:divBdr>
            <w:top w:val="none" w:sz="0" w:space="0" w:color="auto"/>
            <w:left w:val="none" w:sz="0" w:space="0" w:color="auto"/>
            <w:bottom w:val="none" w:sz="0" w:space="0" w:color="auto"/>
            <w:right w:val="none" w:sz="0" w:space="0" w:color="auto"/>
          </w:divBdr>
          <w:divsChild>
            <w:div w:id="973676348">
              <w:marLeft w:val="0"/>
              <w:marRight w:val="0"/>
              <w:marTop w:val="0"/>
              <w:marBottom w:val="0"/>
              <w:divBdr>
                <w:top w:val="none" w:sz="0" w:space="0" w:color="auto"/>
                <w:left w:val="none" w:sz="0" w:space="0" w:color="auto"/>
                <w:bottom w:val="none" w:sz="0" w:space="0" w:color="auto"/>
                <w:right w:val="none" w:sz="0" w:space="0" w:color="auto"/>
              </w:divBdr>
              <w:divsChild>
                <w:div w:id="140927785">
                  <w:marLeft w:val="0"/>
                  <w:marRight w:val="0"/>
                  <w:marTop w:val="0"/>
                  <w:marBottom w:val="0"/>
                  <w:divBdr>
                    <w:top w:val="none" w:sz="0" w:space="0" w:color="auto"/>
                    <w:left w:val="none" w:sz="0" w:space="0" w:color="auto"/>
                    <w:bottom w:val="none" w:sz="0" w:space="0" w:color="auto"/>
                    <w:right w:val="none" w:sz="0" w:space="0" w:color="auto"/>
                  </w:divBdr>
                  <w:divsChild>
                    <w:div w:id="44731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94673">
      <w:bodyDiv w:val="1"/>
      <w:marLeft w:val="0"/>
      <w:marRight w:val="0"/>
      <w:marTop w:val="0"/>
      <w:marBottom w:val="0"/>
      <w:divBdr>
        <w:top w:val="none" w:sz="0" w:space="0" w:color="auto"/>
        <w:left w:val="none" w:sz="0" w:space="0" w:color="auto"/>
        <w:bottom w:val="none" w:sz="0" w:space="0" w:color="auto"/>
        <w:right w:val="none" w:sz="0" w:space="0" w:color="auto"/>
      </w:divBdr>
      <w:divsChild>
        <w:div w:id="292908546">
          <w:marLeft w:val="0"/>
          <w:marRight w:val="0"/>
          <w:marTop w:val="120"/>
          <w:marBottom w:val="0"/>
          <w:divBdr>
            <w:top w:val="none" w:sz="0" w:space="0" w:color="auto"/>
            <w:left w:val="none" w:sz="0" w:space="0" w:color="auto"/>
            <w:bottom w:val="none" w:sz="0" w:space="0" w:color="auto"/>
            <w:right w:val="none" w:sz="0" w:space="0" w:color="auto"/>
          </w:divBdr>
          <w:divsChild>
            <w:div w:id="1225916967">
              <w:marLeft w:val="0"/>
              <w:marRight w:val="0"/>
              <w:marTop w:val="0"/>
              <w:marBottom w:val="0"/>
              <w:divBdr>
                <w:top w:val="none" w:sz="0" w:space="0" w:color="auto"/>
                <w:left w:val="none" w:sz="0" w:space="0" w:color="auto"/>
                <w:bottom w:val="none" w:sz="0" w:space="0" w:color="auto"/>
                <w:right w:val="none" w:sz="0" w:space="0" w:color="auto"/>
              </w:divBdr>
            </w:div>
          </w:divsChild>
        </w:div>
        <w:div w:id="2027369638">
          <w:marLeft w:val="0"/>
          <w:marRight w:val="0"/>
          <w:marTop w:val="120"/>
          <w:marBottom w:val="0"/>
          <w:divBdr>
            <w:top w:val="none" w:sz="0" w:space="0" w:color="auto"/>
            <w:left w:val="none" w:sz="0" w:space="0" w:color="auto"/>
            <w:bottom w:val="none" w:sz="0" w:space="0" w:color="auto"/>
            <w:right w:val="none" w:sz="0" w:space="0" w:color="auto"/>
          </w:divBdr>
          <w:divsChild>
            <w:div w:id="2467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7186">
      <w:bodyDiv w:val="1"/>
      <w:marLeft w:val="0"/>
      <w:marRight w:val="0"/>
      <w:marTop w:val="0"/>
      <w:marBottom w:val="0"/>
      <w:divBdr>
        <w:top w:val="none" w:sz="0" w:space="0" w:color="auto"/>
        <w:left w:val="none" w:sz="0" w:space="0" w:color="auto"/>
        <w:bottom w:val="none" w:sz="0" w:space="0" w:color="auto"/>
        <w:right w:val="none" w:sz="0" w:space="0" w:color="auto"/>
      </w:divBdr>
    </w:div>
    <w:div w:id="2045210159">
      <w:bodyDiv w:val="1"/>
      <w:marLeft w:val="0"/>
      <w:marRight w:val="0"/>
      <w:marTop w:val="0"/>
      <w:marBottom w:val="0"/>
      <w:divBdr>
        <w:top w:val="none" w:sz="0" w:space="0" w:color="auto"/>
        <w:left w:val="none" w:sz="0" w:space="0" w:color="auto"/>
        <w:bottom w:val="none" w:sz="0" w:space="0" w:color="auto"/>
        <w:right w:val="none" w:sz="0" w:space="0" w:color="auto"/>
      </w:divBdr>
    </w:div>
    <w:div w:id="2054888294">
      <w:bodyDiv w:val="1"/>
      <w:marLeft w:val="0"/>
      <w:marRight w:val="0"/>
      <w:marTop w:val="0"/>
      <w:marBottom w:val="0"/>
      <w:divBdr>
        <w:top w:val="none" w:sz="0" w:space="0" w:color="auto"/>
        <w:left w:val="none" w:sz="0" w:space="0" w:color="auto"/>
        <w:bottom w:val="none" w:sz="0" w:space="0" w:color="auto"/>
        <w:right w:val="none" w:sz="0" w:space="0" w:color="auto"/>
      </w:divBdr>
    </w:div>
    <w:div w:id="2061857776">
      <w:bodyDiv w:val="1"/>
      <w:marLeft w:val="0"/>
      <w:marRight w:val="0"/>
      <w:marTop w:val="0"/>
      <w:marBottom w:val="0"/>
      <w:divBdr>
        <w:top w:val="none" w:sz="0" w:space="0" w:color="auto"/>
        <w:left w:val="none" w:sz="0" w:space="0" w:color="auto"/>
        <w:bottom w:val="none" w:sz="0" w:space="0" w:color="auto"/>
        <w:right w:val="none" w:sz="0" w:space="0" w:color="auto"/>
      </w:divBdr>
    </w:div>
    <w:div w:id="2067340362">
      <w:bodyDiv w:val="1"/>
      <w:marLeft w:val="0"/>
      <w:marRight w:val="0"/>
      <w:marTop w:val="0"/>
      <w:marBottom w:val="0"/>
      <w:divBdr>
        <w:top w:val="none" w:sz="0" w:space="0" w:color="auto"/>
        <w:left w:val="none" w:sz="0" w:space="0" w:color="auto"/>
        <w:bottom w:val="none" w:sz="0" w:space="0" w:color="auto"/>
        <w:right w:val="none" w:sz="0" w:space="0" w:color="auto"/>
      </w:divBdr>
    </w:div>
    <w:div w:id="2079012265">
      <w:bodyDiv w:val="1"/>
      <w:marLeft w:val="0"/>
      <w:marRight w:val="0"/>
      <w:marTop w:val="0"/>
      <w:marBottom w:val="0"/>
      <w:divBdr>
        <w:top w:val="none" w:sz="0" w:space="0" w:color="auto"/>
        <w:left w:val="none" w:sz="0" w:space="0" w:color="auto"/>
        <w:bottom w:val="none" w:sz="0" w:space="0" w:color="auto"/>
        <w:right w:val="none" w:sz="0" w:space="0" w:color="auto"/>
      </w:divBdr>
    </w:div>
    <w:div w:id="2094274086">
      <w:bodyDiv w:val="1"/>
      <w:marLeft w:val="0"/>
      <w:marRight w:val="0"/>
      <w:marTop w:val="0"/>
      <w:marBottom w:val="0"/>
      <w:divBdr>
        <w:top w:val="none" w:sz="0" w:space="0" w:color="auto"/>
        <w:left w:val="none" w:sz="0" w:space="0" w:color="auto"/>
        <w:bottom w:val="none" w:sz="0" w:space="0" w:color="auto"/>
        <w:right w:val="none" w:sz="0" w:space="0" w:color="auto"/>
      </w:divBdr>
    </w:div>
    <w:div w:id="2099905949">
      <w:bodyDiv w:val="1"/>
      <w:marLeft w:val="0"/>
      <w:marRight w:val="0"/>
      <w:marTop w:val="0"/>
      <w:marBottom w:val="0"/>
      <w:divBdr>
        <w:top w:val="none" w:sz="0" w:space="0" w:color="auto"/>
        <w:left w:val="none" w:sz="0" w:space="0" w:color="auto"/>
        <w:bottom w:val="none" w:sz="0" w:space="0" w:color="auto"/>
        <w:right w:val="none" w:sz="0" w:space="0" w:color="auto"/>
      </w:divBdr>
      <w:divsChild>
        <w:div w:id="1001393079">
          <w:marLeft w:val="0"/>
          <w:marRight w:val="0"/>
          <w:marTop w:val="0"/>
          <w:marBottom w:val="0"/>
          <w:divBdr>
            <w:top w:val="none" w:sz="0" w:space="0" w:color="auto"/>
            <w:left w:val="none" w:sz="0" w:space="0" w:color="auto"/>
            <w:bottom w:val="none" w:sz="0" w:space="0" w:color="auto"/>
            <w:right w:val="none" w:sz="0" w:space="0" w:color="auto"/>
          </w:divBdr>
          <w:divsChild>
            <w:div w:id="1925071848">
              <w:marLeft w:val="0"/>
              <w:marRight w:val="0"/>
              <w:marTop w:val="0"/>
              <w:marBottom w:val="0"/>
              <w:divBdr>
                <w:top w:val="none" w:sz="0" w:space="0" w:color="auto"/>
                <w:left w:val="none" w:sz="0" w:space="0" w:color="auto"/>
                <w:bottom w:val="none" w:sz="0" w:space="0" w:color="auto"/>
                <w:right w:val="none" w:sz="0" w:space="0" w:color="auto"/>
              </w:divBdr>
              <w:divsChild>
                <w:div w:id="2095393598">
                  <w:marLeft w:val="0"/>
                  <w:marRight w:val="0"/>
                  <w:marTop w:val="0"/>
                  <w:marBottom w:val="0"/>
                  <w:divBdr>
                    <w:top w:val="none" w:sz="0" w:space="0" w:color="auto"/>
                    <w:left w:val="none" w:sz="0" w:space="0" w:color="auto"/>
                    <w:bottom w:val="none" w:sz="0" w:space="0" w:color="auto"/>
                    <w:right w:val="none" w:sz="0" w:space="0" w:color="auto"/>
                  </w:divBdr>
                  <w:divsChild>
                    <w:div w:id="544561405">
                      <w:marLeft w:val="0"/>
                      <w:marRight w:val="0"/>
                      <w:marTop w:val="0"/>
                      <w:marBottom w:val="0"/>
                      <w:divBdr>
                        <w:top w:val="none" w:sz="0" w:space="0" w:color="auto"/>
                        <w:left w:val="none" w:sz="0" w:space="0" w:color="auto"/>
                        <w:bottom w:val="none" w:sz="0" w:space="0" w:color="auto"/>
                        <w:right w:val="none" w:sz="0" w:space="0" w:color="auto"/>
                      </w:divBdr>
                      <w:divsChild>
                        <w:div w:id="396781369">
                          <w:marLeft w:val="0"/>
                          <w:marRight w:val="0"/>
                          <w:marTop w:val="0"/>
                          <w:marBottom w:val="0"/>
                          <w:divBdr>
                            <w:top w:val="none" w:sz="0" w:space="0" w:color="auto"/>
                            <w:left w:val="none" w:sz="0" w:space="0" w:color="auto"/>
                            <w:bottom w:val="none" w:sz="0" w:space="0" w:color="auto"/>
                            <w:right w:val="none" w:sz="0" w:space="0" w:color="auto"/>
                          </w:divBdr>
                          <w:divsChild>
                            <w:div w:id="422604435">
                              <w:marLeft w:val="0"/>
                              <w:marRight w:val="0"/>
                              <w:marTop w:val="0"/>
                              <w:marBottom w:val="0"/>
                              <w:divBdr>
                                <w:top w:val="none" w:sz="0" w:space="0" w:color="auto"/>
                                <w:left w:val="none" w:sz="0" w:space="0" w:color="auto"/>
                                <w:bottom w:val="none" w:sz="0" w:space="0" w:color="auto"/>
                                <w:right w:val="none" w:sz="0" w:space="0" w:color="auto"/>
                              </w:divBdr>
                              <w:divsChild>
                                <w:div w:id="911934588">
                                  <w:marLeft w:val="0"/>
                                  <w:marRight w:val="0"/>
                                  <w:marTop w:val="0"/>
                                  <w:marBottom w:val="0"/>
                                  <w:divBdr>
                                    <w:top w:val="none" w:sz="0" w:space="0" w:color="auto"/>
                                    <w:left w:val="none" w:sz="0" w:space="0" w:color="auto"/>
                                    <w:bottom w:val="none" w:sz="0" w:space="0" w:color="auto"/>
                                    <w:right w:val="none" w:sz="0" w:space="0" w:color="auto"/>
                                  </w:divBdr>
                                  <w:divsChild>
                                    <w:div w:id="1621570915">
                                      <w:marLeft w:val="0"/>
                                      <w:marRight w:val="0"/>
                                      <w:marTop w:val="0"/>
                                      <w:marBottom w:val="0"/>
                                      <w:divBdr>
                                        <w:top w:val="none" w:sz="0" w:space="0" w:color="auto"/>
                                        <w:left w:val="none" w:sz="0" w:space="0" w:color="auto"/>
                                        <w:bottom w:val="none" w:sz="0" w:space="0" w:color="auto"/>
                                        <w:right w:val="none" w:sz="0" w:space="0" w:color="auto"/>
                                      </w:divBdr>
                                      <w:divsChild>
                                        <w:div w:id="18942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462852">
      <w:bodyDiv w:val="1"/>
      <w:marLeft w:val="0"/>
      <w:marRight w:val="0"/>
      <w:marTop w:val="0"/>
      <w:marBottom w:val="0"/>
      <w:divBdr>
        <w:top w:val="none" w:sz="0" w:space="0" w:color="auto"/>
        <w:left w:val="none" w:sz="0" w:space="0" w:color="auto"/>
        <w:bottom w:val="none" w:sz="0" w:space="0" w:color="auto"/>
        <w:right w:val="none" w:sz="0" w:space="0" w:color="auto"/>
      </w:divBdr>
    </w:div>
    <w:div w:id="2110151632">
      <w:bodyDiv w:val="1"/>
      <w:marLeft w:val="0"/>
      <w:marRight w:val="0"/>
      <w:marTop w:val="0"/>
      <w:marBottom w:val="0"/>
      <w:divBdr>
        <w:top w:val="none" w:sz="0" w:space="0" w:color="auto"/>
        <w:left w:val="none" w:sz="0" w:space="0" w:color="auto"/>
        <w:bottom w:val="none" w:sz="0" w:space="0" w:color="auto"/>
        <w:right w:val="none" w:sz="0" w:space="0" w:color="auto"/>
      </w:divBdr>
    </w:div>
    <w:div w:id="2121990181">
      <w:bodyDiv w:val="1"/>
      <w:marLeft w:val="0"/>
      <w:marRight w:val="0"/>
      <w:marTop w:val="0"/>
      <w:marBottom w:val="0"/>
      <w:divBdr>
        <w:top w:val="none" w:sz="0" w:space="0" w:color="auto"/>
        <w:left w:val="none" w:sz="0" w:space="0" w:color="auto"/>
        <w:bottom w:val="none" w:sz="0" w:space="0" w:color="auto"/>
        <w:right w:val="none" w:sz="0" w:space="0" w:color="auto"/>
      </w:divBdr>
    </w:div>
    <w:div w:id="2142189573">
      <w:bodyDiv w:val="1"/>
      <w:marLeft w:val="0"/>
      <w:marRight w:val="0"/>
      <w:marTop w:val="0"/>
      <w:marBottom w:val="0"/>
      <w:divBdr>
        <w:top w:val="none" w:sz="0" w:space="0" w:color="auto"/>
        <w:left w:val="none" w:sz="0" w:space="0" w:color="auto"/>
        <w:bottom w:val="none" w:sz="0" w:space="0" w:color="auto"/>
        <w:right w:val="none" w:sz="0" w:space="0" w:color="auto"/>
      </w:divBdr>
      <w:divsChild>
        <w:div w:id="438183899">
          <w:marLeft w:val="0"/>
          <w:marRight w:val="0"/>
          <w:marTop w:val="0"/>
          <w:marBottom w:val="0"/>
          <w:divBdr>
            <w:top w:val="none" w:sz="0" w:space="0" w:color="auto"/>
            <w:left w:val="none" w:sz="0" w:space="0" w:color="auto"/>
            <w:bottom w:val="none" w:sz="0" w:space="0" w:color="auto"/>
            <w:right w:val="none" w:sz="0" w:space="0" w:color="auto"/>
          </w:divBdr>
          <w:divsChild>
            <w:div w:id="454522152">
              <w:marLeft w:val="0"/>
              <w:marRight w:val="0"/>
              <w:marTop w:val="0"/>
              <w:marBottom w:val="0"/>
              <w:divBdr>
                <w:top w:val="none" w:sz="0" w:space="0" w:color="auto"/>
                <w:left w:val="none" w:sz="0" w:space="0" w:color="auto"/>
                <w:bottom w:val="none" w:sz="0" w:space="0" w:color="auto"/>
                <w:right w:val="none" w:sz="0" w:space="0" w:color="auto"/>
              </w:divBdr>
              <w:divsChild>
                <w:div w:id="1446726302">
                  <w:marLeft w:val="0"/>
                  <w:marRight w:val="0"/>
                  <w:marTop w:val="0"/>
                  <w:marBottom w:val="0"/>
                  <w:divBdr>
                    <w:top w:val="none" w:sz="0" w:space="0" w:color="auto"/>
                    <w:left w:val="none" w:sz="0" w:space="0" w:color="auto"/>
                    <w:bottom w:val="none" w:sz="0" w:space="0" w:color="auto"/>
                    <w:right w:val="none" w:sz="0" w:space="0" w:color="auto"/>
                  </w:divBdr>
                  <w:divsChild>
                    <w:div w:id="12136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acialequity.lci.ca.gov/framework/" TargetMode="External"/><Relationship Id="rId299" Type="http://schemas.openxmlformats.org/officeDocument/2006/relationships/hyperlink" Target="https://content.civicplus.com/api/assets/e7e9a77e-6596-43f5-86c0-a1db71e21d0c" TargetMode="External"/><Relationship Id="rId21" Type="http://schemas.openxmlformats.org/officeDocument/2006/relationships/hyperlink" Target="https://www.caloes.ca.gov/office-of-the-director/operations/recovery-directorate/hazard-mitigation/state-mitigation-planning/" TargetMode="External"/><Relationship Id="rId63" Type="http://schemas.openxmlformats.org/officeDocument/2006/relationships/image" Target="media/image6.png"/><Relationship Id="rId159" Type="http://schemas.openxmlformats.org/officeDocument/2006/relationships/hyperlink" Target="https://www.plumascounty.us/2218/Documents" TargetMode="External"/><Relationship Id="rId324" Type="http://schemas.openxmlformats.org/officeDocument/2006/relationships/hyperlink" Target="https://transformca.org/san-jose-reimagines-street-space-on-parking-day/" TargetMode="External"/><Relationship Id="rId366" Type="http://schemas.openxmlformats.org/officeDocument/2006/relationships/hyperlink" Target="https://experience.arcgis.com/experience/ae1b4e3e41004f07b4901a7a3fa50637/?org=DWR" TargetMode="External"/><Relationship Id="rId170" Type="http://schemas.openxmlformats.org/officeDocument/2006/relationships/hyperlink" Target="https://coast.noaa.gov/slr/" TargetMode="External"/><Relationship Id="rId226" Type="http://schemas.openxmlformats.org/officeDocument/2006/relationships/hyperlink" Target="https://lci.ca.gov/docs/OPR_COMPLETE_7.31.17.pdf" TargetMode="External"/><Relationship Id="rId268" Type="http://schemas.openxmlformats.org/officeDocument/2006/relationships/hyperlink" Target="https://abag.ca.gov/our-work/projects/san-francisco-bay-restoration-authority" TargetMode="External"/><Relationship Id="rId32" Type="http://schemas.openxmlformats.org/officeDocument/2006/relationships/hyperlink" Target="https://www.caloes.ca.gov/wp-content/uploads/Hazard-Mitigation/Documents/FEMA-Local-Mitigation-Planning-Handbook-06.12.2025.pdf" TargetMode="External"/><Relationship Id="rId74" Type="http://schemas.openxmlformats.org/officeDocument/2006/relationships/hyperlink" Target="https://resilientca.org/plan-alignment/tool/" TargetMode="External"/><Relationship Id="rId128" Type="http://schemas.openxmlformats.org/officeDocument/2006/relationships/hyperlink" Target="https://livingwage.mit.edu/" TargetMode="External"/><Relationship Id="rId335" Type="http://schemas.openxmlformats.org/officeDocument/2006/relationships/hyperlink" Target="https://pacinst.org/wp-content/uploads/2013/04/climate_survivor_workbook-1.pdf" TargetMode="External"/><Relationship Id="rId377" Type="http://schemas.openxmlformats.org/officeDocument/2006/relationships/hyperlink" Target="https://www.caloes.ca.gov/wp-content/uploads/Hazard-Mitigation/Documents/2025-FEMA-Local-Mitigation-Planning-Policy-Guide.pdf" TargetMode="External"/><Relationship Id="rId5" Type="http://schemas.openxmlformats.org/officeDocument/2006/relationships/numbering" Target="numbering.xml"/><Relationship Id="rId95" Type="http://schemas.openxmlformats.org/officeDocument/2006/relationships/hyperlink" Target="https://www.fema.gov/case-study/tribal-nations-take-lead-creating-first-multi-tribal-hazard-mitigation-plan" TargetMode="External"/><Relationship Id="rId160" Type="http://schemas.openxmlformats.org/officeDocument/2006/relationships/hyperlink" Target="http://cal-adapt.org/" TargetMode="External"/><Relationship Id="rId181" Type="http://schemas.openxmlformats.org/officeDocument/2006/relationships/hyperlink" Target="https://drive.google.com/file/d/1SbvjC8ItPIlkAyaSVW7jhQua5Qruv2jY/view" TargetMode="External"/><Relationship Id="rId216" Type="http://schemas.openxmlformats.org/officeDocument/2006/relationships/diagramLayout" Target="diagrams/layout2.xml"/><Relationship Id="rId237" Type="http://schemas.openxmlformats.org/officeDocument/2006/relationships/hyperlink" Target="https://www.climateresilience.ca.gov/" TargetMode="External"/><Relationship Id="rId402" Type="http://schemas.openxmlformats.org/officeDocument/2006/relationships/hyperlink" Target="https://www.climateresilience.ca.gov/" TargetMode="External"/><Relationship Id="rId258" Type="http://schemas.openxmlformats.org/officeDocument/2006/relationships/hyperlink" Target="https://water.ca.gov/Programs/All-Programs/Climate-Change-Program/Climate-Action-Plan" TargetMode="External"/><Relationship Id="rId279" Type="http://schemas.openxmlformats.org/officeDocument/2006/relationships/image" Target="media/image28.png"/><Relationship Id="rId22" Type="http://schemas.openxmlformats.org/officeDocument/2006/relationships/hyperlink" Target="https://lci.ca.gov/climate/icarp/climate-assessment/" TargetMode="External"/><Relationship Id="rId43" Type="http://schemas.openxmlformats.org/officeDocument/2006/relationships/hyperlink" Target="https://leginfo.legislature.ca.gov/faces/codes_displaySection.xhtml?sectionNum=65302.&amp;lawCode=GOV" TargetMode="External"/><Relationship Id="rId64" Type="http://schemas.openxmlformats.org/officeDocument/2006/relationships/hyperlink" Target="https://leginfo.legislature.ca.gov/faces/billNavClient.xhtml?bill_id=200720080SB97" TargetMode="External"/><Relationship Id="rId118" Type="http://schemas.openxmlformats.org/officeDocument/2006/relationships/hyperlink" Target="https://www.caloes.ca.gov/wp-content/uploads/Hazard-Mitigation/Documents/2025-FEMA-Local-Mitigation-Planning-Policy-Guide.pdf" TargetMode="External"/><Relationship Id="rId139" Type="http://schemas.openxmlformats.org/officeDocument/2006/relationships/image" Target="media/image13.jpeg"/><Relationship Id="rId290" Type="http://schemas.openxmlformats.org/officeDocument/2006/relationships/diagramLayout" Target="diagrams/layout4.xml"/><Relationship Id="rId304" Type="http://schemas.openxmlformats.org/officeDocument/2006/relationships/hyperlink" Target="https://www.boe.ca.gov/proptaxes/pdf/pub29.pdf" TargetMode="External"/><Relationship Id="rId325" Type="http://schemas.openxmlformats.org/officeDocument/2006/relationships/hyperlink" Target="https://leanurbanism.org/wp-content/uploads/2022/02/AARP-Pop-Up-Tool-Kit.pdf" TargetMode="External"/><Relationship Id="rId346" Type="http://schemas.openxmlformats.org/officeDocument/2006/relationships/image" Target="media/image41.png"/><Relationship Id="rId367" Type="http://schemas.openxmlformats.org/officeDocument/2006/relationships/hyperlink" Target="https://experience.arcgis.com/experience/652c6def7040429bafe23c38966f8f73/page/Climate-Vulnerability-Map" TargetMode="External"/><Relationship Id="rId388" Type="http://schemas.openxmlformats.org/officeDocument/2006/relationships/hyperlink" Target="https://www.caloes.ca.gov/wp-content/uploads/Hazard-Mitigation/Documents/2025-FEMA-Local-Mitigation-Planning-Policy-Guide.pdf" TargetMode="External"/><Relationship Id="rId85" Type="http://schemas.openxmlformats.org/officeDocument/2006/relationships/hyperlink" Target="https://climateresilience.ca.gov/" TargetMode="External"/><Relationship Id="rId150" Type="http://schemas.openxmlformats.org/officeDocument/2006/relationships/hyperlink" Target="https://www.caloes.ca.gov/wp-content/uploads/Hazard-Mitigation/Documents/FEMA-Tribal-Mitigation-Planning-Handbook-05.2025.pdf" TargetMode="External"/><Relationship Id="rId171" Type="http://schemas.openxmlformats.org/officeDocument/2006/relationships/hyperlink" Target="https://explorer.adaptingtorisingtides.org/home" TargetMode="External"/><Relationship Id="rId192" Type="http://schemas.openxmlformats.org/officeDocument/2006/relationships/hyperlink" Target="https://experience.arcgis.com/experience/ae1b4e3e41004f07b4901a7a3fa50637/page/Tutorial?views=Small-Water-Systems" TargetMode="External"/><Relationship Id="rId206" Type="http://schemas.openxmlformats.org/officeDocument/2006/relationships/image" Target="media/image22.png"/><Relationship Id="rId227" Type="http://schemas.openxmlformats.org/officeDocument/2006/relationships/hyperlink" Target="https://www.caloes.ca.gov/wp-content/uploads/Hazard-Mitigation/Documents/2023-California-SHMP_Volume-1-Part-4_2.23.26.pdf" TargetMode="External"/><Relationship Id="rId413" Type="http://schemas.openxmlformats.org/officeDocument/2006/relationships/theme" Target="theme/theme1.xml"/><Relationship Id="rId248" Type="http://schemas.openxmlformats.org/officeDocument/2006/relationships/hyperlink" Target="https://www.cakex.org/" TargetMode="External"/><Relationship Id="rId269" Type="http://schemas.openxmlformats.org/officeDocument/2006/relationships/hyperlink" Target="https://www.grants.ca.gov/" TargetMode="External"/><Relationship Id="rId12" Type="http://schemas.openxmlformats.org/officeDocument/2006/relationships/hyperlink" Target="https://app.smartsheet.com/b/form/019f8b8825527f3584b021a664e5af45" TargetMode="External"/><Relationship Id="rId33" Type="http://schemas.openxmlformats.org/officeDocument/2006/relationships/hyperlink" Target="https://www.caloes.ca.gov/wp-content/uploads/Hazard-Mitigation/Documents/FEMA-Tribal-Mitigation-Planning-Handbook-05.2025.pdf" TargetMode="External"/><Relationship Id="rId108" Type="http://schemas.openxmlformats.org/officeDocument/2006/relationships/hyperlink" Target="https://www.gov.ca.gov/wp-content/uploads/2019/06/6.18.19-Executive-Order.pdf" TargetMode="External"/><Relationship Id="rId129" Type="http://schemas.openxmlformats.org/officeDocument/2006/relationships/hyperlink" Target="https://kounkuey.org/projects/ecv_shade" TargetMode="External"/><Relationship Id="rId280" Type="http://schemas.openxmlformats.org/officeDocument/2006/relationships/image" Target="media/image29.png"/><Relationship Id="rId315" Type="http://schemas.openxmlformats.org/officeDocument/2006/relationships/hyperlink" Target="https://performance.envisio.com/dashboard/weho2281" TargetMode="External"/><Relationship Id="rId336" Type="http://schemas.openxmlformats.org/officeDocument/2006/relationships/hyperlink" Target="https://civicwell.org?utm_source=chatgpt.com" TargetMode="External"/><Relationship Id="rId357" Type="http://schemas.openxmlformats.org/officeDocument/2006/relationships/hyperlink" Target="https://www.fire.ca.gov/what-we-do/fire-resource-assessment-program/fire-perimeters" TargetMode="External"/><Relationship Id="rId54" Type="http://schemas.openxmlformats.org/officeDocument/2006/relationships/hyperlink" Target="https://leginfo.legislature.ca.gov/faces/billTextClient.xhtml?bill_id=201520160SB379" TargetMode="External"/><Relationship Id="rId75" Type="http://schemas.openxmlformats.org/officeDocument/2006/relationships/hyperlink" Target="https://resilientca.org/" TargetMode="External"/><Relationship Id="rId96" Type="http://schemas.openxmlformats.org/officeDocument/2006/relationships/hyperlink" Target="https://www.cityofcalabasas.com/home/showpublisheddocument/32212/638654752876330000" TargetMode="External"/><Relationship Id="rId140" Type="http://schemas.openxmlformats.org/officeDocument/2006/relationships/hyperlink" Target="https://resilientca.org/search/?phases=11&amp;phases=6&amp;q=&amp;region=&amp;geography=" TargetMode="External"/><Relationship Id="rId161" Type="http://schemas.openxmlformats.org/officeDocument/2006/relationships/image" Target="media/image19.png"/><Relationship Id="rId182" Type="http://schemas.openxmlformats.org/officeDocument/2006/relationships/hyperlink" Target="https://vcp.lci.ca.gov/pages/tool-comp" TargetMode="External"/><Relationship Id="rId217" Type="http://schemas.openxmlformats.org/officeDocument/2006/relationships/diagramQuickStyle" Target="diagrams/quickStyle2.xml"/><Relationship Id="rId378" Type="http://schemas.openxmlformats.org/officeDocument/2006/relationships/hyperlink" Target="https://sgc.ca.gov/technical-assistance/toolkit/definitions/" TargetMode="External"/><Relationship Id="rId399" Type="http://schemas.openxmlformats.org/officeDocument/2006/relationships/hyperlink" Target="https://www.caloes.ca.gov/wp-content/uploads/Hazard-Mitigation/Documents/2025-FEMA-Local-Mitigation-Planning-Policy-Guide.pdf" TargetMode="External"/><Relationship Id="rId403" Type="http://schemas.openxmlformats.org/officeDocument/2006/relationships/hyperlink" Target="https://www.caloes.ca.gov/wp-content/uploads/Hazard-Mitigation/Documents/2025-FEMA-Local-Mitigation-Planning-Policy-Guide.pdf" TargetMode="External"/><Relationship Id="rId6" Type="http://schemas.openxmlformats.org/officeDocument/2006/relationships/styles" Target="styles.xml"/><Relationship Id="rId238" Type="http://schemas.openxmlformats.org/officeDocument/2006/relationships/hyperlink" Target="https://climateresilience.ca.gov/priorities/natural-systems/" TargetMode="External"/><Relationship Id="rId259" Type="http://schemas.openxmlformats.org/officeDocument/2006/relationships/hyperlink" Target="https://water.ca.gov/-/media/DWR-Website/Web-Pages/Programs/All-Programs/Climate-Change-Program/Climate-Action-Plan/Files/Exhibit-C-CAP-Phase-1-Update-2023.pdf" TargetMode="External"/><Relationship Id="rId23" Type="http://schemas.openxmlformats.org/officeDocument/2006/relationships/hyperlink" Target="https://resilientca.org/" TargetMode="External"/><Relationship Id="rId119" Type="http://schemas.openxmlformats.org/officeDocument/2006/relationships/hyperlink" Target="https://www.caloes.ca.gov/wp-content/uploads/Hazard-Mitigation/Documents/FEMA-Local-Mitigation-Planning-Handbook-06.12.2025.pdf" TargetMode="External"/><Relationship Id="rId270" Type="http://schemas.openxmlformats.org/officeDocument/2006/relationships/hyperlink" Target="https://www.yuroktribe.org/_files/ugd/23c897_d77feebfe55b4ba889c57afaac85bba3.pdf" TargetMode="External"/><Relationship Id="rId291" Type="http://schemas.openxmlformats.org/officeDocument/2006/relationships/diagramQuickStyle" Target="diagrams/quickStyle4.xml"/><Relationship Id="rId305" Type="http://schemas.openxmlformats.org/officeDocument/2006/relationships/hyperlink" Target="https://www.lao.ca.gov/ballot/2010/26_11_2010.aspx" TargetMode="External"/><Relationship Id="rId326" Type="http://schemas.openxmlformats.org/officeDocument/2006/relationships/hyperlink" Target="https://www.theguardian.com/us-news/2025/nov/24/los-angeles-half-marathon-bakery-walk" TargetMode="External"/><Relationship Id="rId347" Type="http://schemas.openxmlformats.org/officeDocument/2006/relationships/image" Target="media/image42.png"/><Relationship Id="rId44" Type="http://schemas.openxmlformats.org/officeDocument/2006/relationships/hyperlink" Target="https://leginfo.legislature.ca.gov/faces/billNavClient.xhtml?bill_id=200520060AB2140" TargetMode="External"/><Relationship Id="rId65" Type="http://schemas.openxmlformats.org/officeDocument/2006/relationships/hyperlink" Target="https://lci.ca.gov/ceqa/" TargetMode="External"/><Relationship Id="rId86" Type="http://schemas.openxmlformats.org/officeDocument/2006/relationships/hyperlink" Target="https://www.resilientcoachella.ucr.edu/" TargetMode="External"/><Relationship Id="rId130" Type="http://schemas.openxmlformats.org/officeDocument/2006/relationships/header" Target="header3.xml"/><Relationship Id="rId151" Type="http://schemas.openxmlformats.org/officeDocument/2006/relationships/hyperlink" Target="https://www.buttecounty.net/808/Local-Hazard-Mitigation-Plan" TargetMode="External"/><Relationship Id="rId368" Type="http://schemas.openxmlformats.org/officeDocument/2006/relationships/footer" Target="footer4.xml"/><Relationship Id="rId389" Type="http://schemas.openxmlformats.org/officeDocument/2006/relationships/hyperlink" Target="https://www.caloes.ca.gov/wp-content/uploads/Hazard-Mitigation/Documents/CA-Adaptation-Planning-Guide-FINAL-June-2020-Accessible.pdf" TargetMode="External"/><Relationship Id="rId172" Type="http://schemas.openxmlformats.org/officeDocument/2006/relationships/hyperlink" Target="https://rsap-atlas.bcdc.ca.gov/" TargetMode="External"/><Relationship Id="rId193" Type="http://schemas.openxmlformats.org/officeDocument/2006/relationships/hyperlink" Target="https://www.bcdc.ca.gov/resources/maps-and-data/community-vulnerability-mapping/" TargetMode="External"/><Relationship Id="rId207" Type="http://schemas.openxmlformats.org/officeDocument/2006/relationships/hyperlink" Target="https://www.caloes.ca.gov/wp-content/uploads/Hazard-Mitigation/Documents/FEMA-Tribal-Mitigation-Planning-Handbook-05.2025.pdf" TargetMode="External"/><Relationship Id="rId228" Type="http://schemas.openxmlformats.org/officeDocument/2006/relationships/hyperlink" Target="https://www.climateresilience.ca.gov/" TargetMode="External"/><Relationship Id="rId249" Type="http://schemas.openxmlformats.org/officeDocument/2006/relationships/hyperlink" Target="https://www.adaptationclearinghouse.org/" TargetMode="External"/><Relationship Id="rId13" Type="http://schemas.openxmlformats.org/officeDocument/2006/relationships/hyperlink" Target="mailto:apg@caloes.ca.gov" TargetMode="External"/><Relationship Id="rId109" Type="http://schemas.openxmlformats.org/officeDocument/2006/relationships/hyperlink" Target="chrome-extension://efaidnbmnnnibpcajpcglclefindmkaj/https:/calsta.ca.gov/-/media/calsta-media/documents/docs-pdfs-2013-executive-order-b-10-11-a11y.pdf" TargetMode="External"/><Relationship Id="rId260" Type="http://schemas.openxmlformats.org/officeDocument/2006/relationships/hyperlink" Target="https://movementstrategy.org/" TargetMode="External"/><Relationship Id="rId281" Type="http://schemas.openxmlformats.org/officeDocument/2006/relationships/hyperlink" Target="https://www.santacruzca.gov/Government/Climate-Initiatives/Community-Climate-Game-Day" TargetMode="External"/><Relationship Id="rId316" Type="http://schemas.openxmlformats.org/officeDocument/2006/relationships/hyperlink" Target="https://www.santacruzca.gov/Government/Climate-Initiatives/Resiliency/Resilient-Coast-Santa-Cruz/Shoreline-Adaptation-Blueprints" TargetMode="External"/><Relationship Id="rId337" Type="http://schemas.openxmlformats.org/officeDocument/2006/relationships/hyperlink" Target="https://www.listoscalifornia.org/general-preparedness-games/" TargetMode="External"/><Relationship Id="rId34" Type="http://schemas.openxmlformats.org/officeDocument/2006/relationships/hyperlink" Target="https://lci.ca.gov/docs/OPR_COMPLETE_7.31.17.pdf" TargetMode="External"/><Relationship Id="rId55" Type="http://schemas.openxmlformats.org/officeDocument/2006/relationships/hyperlink" Target="https://leginfo.legislature.ca.gov/faces/billTextClient.xhtml?bill_id=201720180SB1035" TargetMode="External"/><Relationship Id="rId76" Type="http://schemas.openxmlformats.org/officeDocument/2006/relationships/hyperlink" Target="https://resilientca.org/plan-alignment/coastal-resilience-compass/" TargetMode="External"/><Relationship Id="rId97" Type="http://schemas.openxmlformats.org/officeDocument/2006/relationships/hyperlink" Target="https://www.iid.com/home/showpublisheddocument/22737/639098771583770000" TargetMode="External"/><Relationship Id="rId120" Type="http://schemas.openxmlformats.org/officeDocument/2006/relationships/hyperlink" Target="https://www.caloes.ca.gov/wp-content/uploads/Hazard-Mitigation/Documents/FEMA-Tribal-Mitigation-Plan-Review-Guide-12.05.2017.pdf" TargetMode="External"/><Relationship Id="rId141" Type="http://schemas.openxmlformats.org/officeDocument/2006/relationships/hyperlink" Target="https://climate.calpoly.edu/CCAP" TargetMode="External"/><Relationship Id="rId358" Type="http://schemas.openxmlformats.org/officeDocument/2006/relationships/hyperlink" Target="https://adaptationatlas.org/" TargetMode="External"/><Relationship Id="rId379" Type="http://schemas.openxmlformats.org/officeDocument/2006/relationships/hyperlink" Target="https://lao.ca.gov/Publications/Report/5076" TargetMode="External"/><Relationship Id="rId7" Type="http://schemas.openxmlformats.org/officeDocument/2006/relationships/settings" Target="settings.xml"/><Relationship Id="rId162" Type="http://schemas.openxmlformats.org/officeDocument/2006/relationships/hyperlink" Target="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 TargetMode="External"/><Relationship Id="rId183" Type="http://schemas.openxmlformats.org/officeDocument/2006/relationships/hyperlink" Target="https://experience.arcgis.com/experience/8c5c5c91ebb8481a8a3d92c897faf8ed/page/Results" TargetMode="External"/><Relationship Id="rId218" Type="http://schemas.openxmlformats.org/officeDocument/2006/relationships/diagramColors" Target="diagrams/colors2.xml"/><Relationship Id="rId239" Type="http://schemas.openxmlformats.org/officeDocument/2006/relationships/hyperlink" Target="https://cvmshcp.org/wp-content/uploads/2026/04/CVMSHCP_AnnualReport_2025_FINAL.pdf" TargetMode="External"/><Relationship Id="rId390" Type="http://schemas.openxmlformats.org/officeDocument/2006/relationships/hyperlink" Target="https://www.caloes.ca.gov/wp-content/uploads/Hazard-Mitigation/Documents/2025-FEMA-Local-Mitigation-Planning-Policy-Guide.pdf" TargetMode="External"/><Relationship Id="rId404" Type="http://schemas.openxmlformats.org/officeDocument/2006/relationships/hyperlink" Target="https://www.ipcc.ch/report/ar6/wg2/" TargetMode="External"/><Relationship Id="rId250" Type="http://schemas.openxmlformats.org/officeDocument/2006/relationships/hyperlink" Target="https://www.usdn.org/uploads/cms/documents/usdn_guide_to_equitable_community-driven_climate_preparedness-_high_res.pdf" TargetMode="External"/><Relationship Id="rId271" Type="http://schemas.openxmlformats.org/officeDocument/2006/relationships/hyperlink" Target="https://adaptationprofessionals.org/ready-to-fund-resilience-toolkit/" TargetMode="External"/><Relationship Id="rId292" Type="http://schemas.openxmlformats.org/officeDocument/2006/relationships/diagramColors" Target="diagrams/colors4.xml"/><Relationship Id="rId306" Type="http://schemas.openxmlformats.org/officeDocument/2006/relationships/hyperlink" Target="https://www.sfbayrestore.org/overview" TargetMode="External"/><Relationship Id="rId24" Type="http://schemas.openxmlformats.org/officeDocument/2006/relationships/hyperlink" Target="https://vcp.lci.ca.gov/" TargetMode="External"/><Relationship Id="rId45" Type="http://schemas.openxmlformats.org/officeDocument/2006/relationships/hyperlink" Target="https://www.caloes.ca.gov/wp-content/uploads/Hazard-Mitigation/Documents/AB-2140-fact-sheet_11.20.24-update.pdf" TargetMode="External"/><Relationship Id="rId66" Type="http://schemas.openxmlformats.org/officeDocument/2006/relationships/hyperlink" Target="https://leginfo.legislature.ca.gov/faces/billTextClient.xhtml?bill_id=201520160SB379" TargetMode="External"/><Relationship Id="rId87" Type="http://schemas.openxmlformats.org/officeDocument/2006/relationships/hyperlink" Target="https://www.sanfernando.gov/files/assets/public/v/1/government/documents/community-development/carp-docs/01_san-fernando-carp_final_march_wapps.pdf" TargetMode="External"/><Relationship Id="rId110" Type="http://schemas.openxmlformats.org/officeDocument/2006/relationships/hyperlink" Target="https://nahc.ca.gov/wp-content/uploads/2019/04/SB-18-Tribal-Consultation-Guidelines.pdf" TargetMode="External"/><Relationship Id="rId131" Type="http://schemas.openxmlformats.org/officeDocument/2006/relationships/hyperlink" Target="https://leginfo.legislature.ca.gov/faces/codes_displaySection.xhtml?sectionNum=65302.&amp;lawCode=GOV" TargetMode="External"/><Relationship Id="rId327" Type="http://schemas.openxmlformats.org/officeDocument/2006/relationships/hyperlink" Target="https://www.listoscalifornia.org/blockparty/" TargetMode="External"/><Relationship Id="rId348" Type="http://schemas.openxmlformats.org/officeDocument/2006/relationships/image" Target="media/image43.png"/><Relationship Id="rId369" Type="http://schemas.openxmlformats.org/officeDocument/2006/relationships/footer" Target="footer5.xml"/><Relationship Id="rId152" Type="http://schemas.openxmlformats.org/officeDocument/2006/relationships/hyperlink" Target="https://www.countyofcolusaca.gov/1062/2024-Local-Hazard-Mitigation-Plan" TargetMode="External"/><Relationship Id="rId173" Type="http://schemas.openxmlformats.org/officeDocument/2006/relationships/hyperlink" Target="https://www.usgs.gov/apps/hera" TargetMode="External"/><Relationship Id="rId194" Type="http://schemas.openxmlformats.org/officeDocument/2006/relationships/hyperlink" Target="https://bcdc.maps.arcgis.com/apps/webappviewer/index.html?id=526ca82e85eb403489de768498f605f3" TargetMode="External"/><Relationship Id="rId208" Type="http://schemas.openxmlformats.org/officeDocument/2006/relationships/hyperlink" Target="https://scag.ca.gov/sites/default/files/old/file-attachments/socaladaptationplanningguide_oct2020_0.pdf" TargetMode="External"/><Relationship Id="rId229" Type="http://schemas.openxmlformats.org/officeDocument/2006/relationships/hyperlink" Target="https://lakecounty2050.org/wp-content/uploads/LakeCounty_ClimateAdaptationPlan_FINAL_Jan2026.pdf" TargetMode="External"/><Relationship Id="rId380" Type="http://schemas.openxmlformats.org/officeDocument/2006/relationships/hyperlink" Target="https://leginfo.legislature.ca.gov/faces/codes_displaySection.xhtml?lawCode=GOV&amp;sectionNum=65302" TargetMode="External"/><Relationship Id="rId240" Type="http://schemas.openxmlformats.org/officeDocument/2006/relationships/hyperlink" Target="https://www.townofmammothlakes.ca.gov/895/Resilient-Mammoth-Lakes" TargetMode="External"/><Relationship Id="rId261" Type="http://schemas.openxmlformats.org/officeDocument/2006/relationships/image" Target="media/image27.png"/><Relationship Id="rId14" Type="http://schemas.openxmlformats.org/officeDocument/2006/relationships/header" Target="header1.xml"/><Relationship Id="rId35" Type="http://schemas.openxmlformats.org/officeDocument/2006/relationships/hyperlink" Target="https://climateresilience.ca.gov/" TargetMode="External"/><Relationship Id="rId56" Type="http://schemas.openxmlformats.org/officeDocument/2006/relationships/header" Target="header2.xml"/><Relationship Id="rId77" Type="http://schemas.openxmlformats.org/officeDocument/2006/relationships/hyperlink" Target="https://resilientca.org/plan-alignment/flood-after-fire-resilience/" TargetMode="External"/><Relationship Id="rId100" Type="http://schemas.openxmlformats.org/officeDocument/2006/relationships/hyperlink" Target="http://arccacalifornia.org/adapt-ca/" TargetMode="External"/><Relationship Id="rId282" Type="http://schemas.openxmlformats.org/officeDocument/2006/relationships/header" Target="header4.xml"/><Relationship Id="rId317" Type="http://schemas.openxmlformats.org/officeDocument/2006/relationships/image" Target="media/image35.png"/><Relationship Id="rId338" Type="http://schemas.openxmlformats.org/officeDocument/2006/relationships/hyperlink" Target="https://civicwell.org/civic-resources/participation-tools-for-better-community-planning/" TargetMode="External"/><Relationship Id="rId359" Type="http://schemas.openxmlformats.org/officeDocument/2006/relationships/hyperlink" Target="https://experience.arcgis.com/experience/5065c998b4b0462f9ec3c6c226c610a9" TargetMode="External"/><Relationship Id="rId8" Type="http://schemas.openxmlformats.org/officeDocument/2006/relationships/webSettings" Target="webSettings.xml"/><Relationship Id="rId98" Type="http://schemas.openxmlformats.org/officeDocument/2006/relationships/hyperlink" Target="https://tahoetransportation.org/wp-content/uploads/2025/11/Final-TTD-HMP-April-17-2024.pdf" TargetMode="External"/><Relationship Id="rId121" Type="http://schemas.openxmlformats.org/officeDocument/2006/relationships/hyperlink" Target="https://www.caloes.ca.gov/wp-content/uploads/Hazard-Mitigation/Documents/FEMA-Tribal-Mitigation-Planning-Handbook-05.2025.pdf" TargetMode="External"/><Relationship Id="rId142" Type="http://schemas.openxmlformats.org/officeDocument/2006/relationships/hyperlink" Target="https://www.starr-team.com/starr/RegionalWorkspaces/RegionX/mitigationplanning/Shared%20Documents/11_Integrating_NHMP_into_Local_Plans/FEMA_Plan_Integration-Linking_Local_Planning_Efforts_2014.pdf" TargetMode="External"/><Relationship Id="rId163" Type="http://schemas.openxmlformats.org/officeDocument/2006/relationships/hyperlink" Target="https://wildfirerisk.org/" TargetMode="External"/><Relationship Id="rId184" Type="http://schemas.openxmlformats.org/officeDocument/2006/relationships/hyperlink" Target="https://www.parksforcalifornia.org/communities/" TargetMode="External"/><Relationship Id="rId219" Type="http://schemas.microsoft.com/office/2007/relationships/diagramDrawing" Target="diagrams/drawing2.xml"/><Relationship Id="rId370" Type="http://schemas.openxmlformats.org/officeDocument/2006/relationships/footer" Target="footer6.xml"/><Relationship Id="rId391" Type="http://schemas.openxmlformats.org/officeDocument/2006/relationships/hyperlink" Target="https://www.caloes.ca.gov/wp-content/uploads/Hazard-Mitigation/Documents/2025-FEMA-Local-Mitigation-Planning-Policy-Guide.pdf" TargetMode="External"/><Relationship Id="rId405" Type="http://schemas.openxmlformats.org/officeDocument/2006/relationships/hyperlink" Target="https://www.lci.ca.gov/wp-content/uploads/20200720-Vulnerable_Communities.pdf" TargetMode="External"/><Relationship Id="rId230" Type="http://schemas.openxmlformats.org/officeDocument/2006/relationships/hyperlink" Target="https://calich.ca.gov/heart.html" TargetMode="External"/><Relationship Id="rId251" Type="http://schemas.openxmlformats.org/officeDocument/2006/relationships/hyperlink" Target="https://urbanwaterslearningnetwork.org/wp-content/uploads/2019/06/Our-Communities-Our-Power-TOOLKIT.pdf" TargetMode="External"/><Relationship Id="rId25" Type="http://schemas.openxmlformats.org/officeDocument/2006/relationships/hyperlink" Target="https://vcp.lci.ca.gov/pages/resilience-resource-springboard" TargetMode="External"/><Relationship Id="rId46" Type="http://schemas.openxmlformats.org/officeDocument/2006/relationships/hyperlink" Target="https://www.ecfr.gov/current/title-44/chapter-I/subchapter-D/part-201/section-201.7" TargetMode="External"/><Relationship Id="rId67" Type="http://schemas.openxmlformats.org/officeDocument/2006/relationships/hyperlink" Target="https://www.caloes.ca.gov/office-of-the-director/operations/recovery-directorate/hazard-mitigation/state-mitigation-planning/" TargetMode="External"/><Relationship Id="rId272" Type="http://schemas.openxmlformats.org/officeDocument/2006/relationships/hyperlink" Target="https://www.climatecollaborativescc.org/multi-benefit-assessment" TargetMode="External"/><Relationship Id="rId293" Type="http://schemas.microsoft.com/office/2007/relationships/diagramDrawing" Target="diagrams/drawing4.xml"/><Relationship Id="rId307" Type="http://schemas.openxmlformats.org/officeDocument/2006/relationships/hyperlink" Target="https://www.marinwildfire.org/about-mwpa/measure-c" TargetMode="External"/><Relationship Id="rId328" Type="http://schemas.openxmlformats.org/officeDocument/2006/relationships/hyperlink" Target="https://www.caloes.ca.gov/wp-content/uploads/AFN/Documents/AFN-Library/Cal-OES-Integrating-Accessible-Social-Media-Content-within-Emergency-Communications-Guide.pdf" TargetMode="External"/><Relationship Id="rId349" Type="http://schemas.openxmlformats.org/officeDocument/2006/relationships/image" Target="media/image44.png"/><Relationship Id="rId88" Type="http://schemas.openxmlformats.org/officeDocument/2006/relationships/hyperlink" Target="https://onesanfrancisco.org/sites/default/files/inline-files/2025%20HCR_Final_Aug18.pdf" TargetMode="External"/><Relationship Id="rId111" Type="http://schemas.openxmlformats.org/officeDocument/2006/relationships/hyperlink" Target="https://resources.ca.gov/-/media/CNRA-Website/Files/Initiatives/Tribal-Affairs/TribalConsultationPolicy09252025.pdf" TargetMode="External"/><Relationship Id="rId132" Type="http://schemas.openxmlformats.org/officeDocument/2006/relationships/hyperlink" Target="https://leginfo.legislature.ca.gov/faces/displayCodeAndBill.xhtml?sectionNum=65302.&amp;billVersionSectionId=3943682&amp;lawCode=GOV" TargetMode="External"/><Relationship Id="rId153" Type="http://schemas.openxmlformats.org/officeDocument/2006/relationships/image" Target="media/image14.png"/><Relationship Id="rId174" Type="http://schemas.openxmlformats.org/officeDocument/2006/relationships/hyperlink" Target="https://experience.arcgis.com/experience/ae1b4e3e41004f07b4901a7a3fa50637/?org=DWR" TargetMode="External"/><Relationship Id="rId195" Type="http://schemas.openxmlformats.org/officeDocument/2006/relationships/hyperlink" Target="https://oehha.ca.gov/calenviroscreen" TargetMode="External"/><Relationship Id="rId209" Type="http://schemas.openxmlformats.org/officeDocument/2006/relationships/hyperlink" Target="https://wrcog.us/wp-content/uploads/2025/08/Western-Riverside-Adaptation-and-Resiliency-Strategy_Vulnerability-Assessment.pdf" TargetMode="External"/><Relationship Id="rId360" Type="http://schemas.openxmlformats.org/officeDocument/2006/relationships/hyperlink" Target="https://gis.bam.water.ca.gov/bam/" TargetMode="External"/><Relationship Id="rId381" Type="http://schemas.openxmlformats.org/officeDocument/2006/relationships/hyperlink" Target="https://lao.ca.gov/Publications/Report/5076" TargetMode="External"/><Relationship Id="rId220" Type="http://schemas.openxmlformats.org/officeDocument/2006/relationships/image" Target="media/image25.png"/><Relationship Id="rId241" Type="http://schemas.openxmlformats.org/officeDocument/2006/relationships/hyperlink" Target="https://www.epa.gov/sites/default/files/2019-07/documents/regional_resilience_toolkit.pdf" TargetMode="External"/><Relationship Id="rId15" Type="http://schemas.openxmlformats.org/officeDocument/2006/relationships/footer" Target="footer1.xml"/><Relationship Id="rId36" Type="http://schemas.openxmlformats.org/officeDocument/2006/relationships/image" Target="media/image1.jpeg"/><Relationship Id="rId57" Type="http://schemas.openxmlformats.org/officeDocument/2006/relationships/hyperlink" Target="https://www.caloes.ca.gov/wp-content/uploads/Hazard-Mitigation/Documents/2025-FEMA-Local-Mitigation-Planning-Policy-Guide.pdf" TargetMode="External"/><Relationship Id="rId262" Type="http://schemas.openxmlformats.org/officeDocument/2006/relationships/hyperlink" Target="https://www.usdn.org/uploads/cms/documents/usdn_guide_to_equitable_community-driven_climate_preparedness-_high_res.pdf" TargetMode="External"/><Relationship Id="rId283" Type="http://schemas.openxmlformats.org/officeDocument/2006/relationships/image" Target="media/image30.png"/><Relationship Id="rId318" Type="http://schemas.openxmlformats.org/officeDocument/2006/relationships/hyperlink" Target="https://cadwr.app.box.com/s/yfrzk3xxwic3xxiljhl2qqh6m4l7ymth" TargetMode="External"/><Relationship Id="rId339" Type="http://schemas.openxmlformats.org/officeDocument/2006/relationships/image" Target="media/image36.jpg"/><Relationship Id="rId78" Type="http://schemas.openxmlformats.org/officeDocument/2006/relationships/hyperlink" Target="https://resilientca.org/plan-alignment/wildfire-resilience/" TargetMode="External"/><Relationship Id="rId99" Type="http://schemas.openxmlformats.org/officeDocument/2006/relationships/hyperlink" Target="https://www.slocoe.org/resources/multi-jurisdictional-hazard-mitigation-plan/" TargetMode="External"/><Relationship Id="rId101" Type="http://schemas.openxmlformats.org/officeDocument/2006/relationships/hyperlink" Target="http://arccacalifornia.org/adapt-ca/" TargetMode="External"/><Relationship Id="rId122" Type="http://schemas.openxmlformats.org/officeDocument/2006/relationships/hyperlink" Target="https://climatereadiness.info/" TargetMode="External"/><Relationship Id="rId143" Type="http://schemas.openxmlformats.org/officeDocument/2006/relationships/hyperlink" Target="https://www.boe.ca.gov/proptaxes/disaster-list.htm" TargetMode="External"/><Relationship Id="rId164" Type="http://schemas.openxmlformats.org/officeDocument/2006/relationships/hyperlink" Target="https://osfm.fire.ca.gov/what-we-do/community-wildfire-preparedness-and-mitigation/fire-hazard-severity-zones" TargetMode="External"/><Relationship Id="rId185" Type="http://schemas.openxmlformats.org/officeDocument/2006/relationships/hyperlink" Target="https://www.caloes.ca.gov/office-of-the-director/policy-administration/access-functional-needs/oafn-web-map/" TargetMode="External"/><Relationship Id="rId350" Type="http://schemas.openxmlformats.org/officeDocument/2006/relationships/hyperlink" Target="https://storymaps.arcgis.com/stories/640b4e52ad994419b97aea25a10d1430" TargetMode="External"/><Relationship Id="rId371" Type="http://schemas.openxmlformats.org/officeDocument/2006/relationships/hyperlink" Target="https://leginfo.legislature.ca.gov/faces/codes_displaySection.xhtml?sectionNum=8593.3&amp;lawCode=GOV" TargetMode="External"/><Relationship Id="rId406" Type="http://schemas.openxmlformats.org/officeDocument/2006/relationships/hyperlink" Target="https://www.caloes.ca.gov/wp-content/uploads/Hazard-Mitigation/Documents/2023-California-SHMP_Volume-1-Definitions_11.10.2023.pdf" TargetMode="External"/><Relationship Id="rId9" Type="http://schemas.openxmlformats.org/officeDocument/2006/relationships/footnotes" Target="footnotes.xml"/><Relationship Id="rId210" Type="http://schemas.openxmlformats.org/officeDocument/2006/relationships/hyperlink" Target="https://www.sandiegocounty.gov/content/dam/sdc/pds/gpupdate/VulnerabilityAssess-AdaptRpt.pdf" TargetMode="External"/><Relationship Id="rId392" Type="http://schemas.openxmlformats.org/officeDocument/2006/relationships/hyperlink" Target="https://www.climateresilience.ca.gov/" TargetMode="External"/><Relationship Id="rId26" Type="http://schemas.openxmlformats.org/officeDocument/2006/relationships/hyperlink" Target="https://leginfo.legislature.ca.gov/faces/billTextClient.xhtml?bill_id=201520160AB1482" TargetMode="External"/><Relationship Id="rId231" Type="http://schemas.openxmlformats.org/officeDocument/2006/relationships/hyperlink" Target="https://calich.ca.gov/" TargetMode="External"/><Relationship Id="rId252" Type="http://schemas.openxmlformats.org/officeDocument/2006/relationships/hyperlink" Target="https://racialequity.issuelab.org/resource/racial-equity-getting-to-results.html" TargetMode="External"/><Relationship Id="rId273" Type="http://schemas.openxmlformats.org/officeDocument/2006/relationships/hyperlink" Target="http://www.adaptingtorisingtides.org/" TargetMode="External"/><Relationship Id="rId294" Type="http://schemas.openxmlformats.org/officeDocument/2006/relationships/hyperlink" Target="https://www.usdn.org/uploads/cms/documents/usdn_guide_to_equitable_community-driven_climate_preparedness-_high_res.pdf" TargetMode="External"/><Relationship Id="rId308" Type="http://schemas.openxmlformats.org/officeDocument/2006/relationships/hyperlink" Target="https://resources.ca.gov/Our-Agencies" TargetMode="External"/><Relationship Id="rId329" Type="http://schemas.openxmlformats.org/officeDocument/2006/relationships/hyperlink" Target="https://pacinst.org/wp-content/uploads/2013/04/climate_survivor_workbook-1.pdf" TargetMode="External"/><Relationship Id="rId47" Type="http://schemas.openxmlformats.org/officeDocument/2006/relationships/hyperlink" Target="https://www.caloes.ca.gov/wp-content/uploads/Hazard-Mitigation/Documents/FEMA-Tribal-Mitigation-Plan-Review-Guide-12.05.2017.pdf" TargetMode="External"/><Relationship Id="rId68" Type="http://schemas.openxmlformats.org/officeDocument/2006/relationships/hyperlink" Target="https://climateresilience.ca.gov/" TargetMode="External"/><Relationship Id="rId89" Type="http://schemas.openxmlformats.org/officeDocument/2006/relationships/hyperlink" Target="https://www.sfenvironment.org/media/15829" TargetMode="External"/><Relationship Id="rId112" Type="http://schemas.openxmlformats.org/officeDocument/2006/relationships/hyperlink" Target="https://resources.ca.gov/-/media/CNRA-Website/Files/Initiatives/Tribal-Affairs/CNRA-TCP-Appendix-2-Tribal-Consultation-Best-Practices.pdf" TargetMode="External"/><Relationship Id="rId133" Type="http://schemas.openxmlformats.org/officeDocument/2006/relationships/hyperlink" Target="https://leginfo.legislature.ca.gov/faces/displayCodeAndBill.xhtml?sectionNum=65302.&amp;billVersionSectionId=4142992&amp;lawCode=GOV" TargetMode="External"/><Relationship Id="rId154" Type="http://schemas.openxmlformats.org/officeDocument/2006/relationships/hyperlink" Target="https://experience.arcgis.com/experience/652c6def7040429bafe23c38966f8f73" TargetMode="External"/><Relationship Id="rId175" Type="http://schemas.openxmlformats.org/officeDocument/2006/relationships/hyperlink" Target="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 TargetMode="External"/><Relationship Id="rId340" Type="http://schemas.openxmlformats.org/officeDocument/2006/relationships/hyperlink" Target="https://storymaps.arcgis.com/stories/5d97fbfa8bf64ecab1cdf42fb9e4ee27" TargetMode="External"/><Relationship Id="rId361" Type="http://schemas.openxmlformats.org/officeDocument/2006/relationships/hyperlink" Target="https://ourcoastourfuture.org/hazard-map/" TargetMode="External"/><Relationship Id="rId196" Type="http://schemas.openxmlformats.org/officeDocument/2006/relationships/hyperlink" Target="https://experience.arcgis.com/experience/c50cc0bfcdb64f22b842c9f3b1be8c11" TargetMode="External"/><Relationship Id="rId200" Type="http://schemas.openxmlformats.org/officeDocument/2006/relationships/hyperlink" Target="https://www.nevadacountyca.gov/3641/Recreation-and-Resiliency-Master-Plan" TargetMode="External"/><Relationship Id="rId382" Type="http://schemas.openxmlformats.org/officeDocument/2006/relationships/hyperlink" Target="https://leginfo.legislature.ca.gov/faces/codes_displaySection.xhtml?lawCode=GOV&amp;sectionNum=65302" TargetMode="External"/><Relationship Id="rId16" Type="http://schemas.openxmlformats.org/officeDocument/2006/relationships/footer" Target="footer2.xml"/><Relationship Id="rId221" Type="http://schemas.openxmlformats.org/officeDocument/2006/relationships/hyperlink" Target="https://leginfo.legislature.ca.gov/faces/codes_displaySection.xhtml?sectionNum=65302.&amp;lawCode=GOV" TargetMode="External"/><Relationship Id="rId242" Type="http://schemas.openxmlformats.org/officeDocument/2006/relationships/hyperlink" Target="https://tribalresilienceactions.org/" TargetMode="External"/><Relationship Id="rId263" Type="http://schemas.openxmlformats.org/officeDocument/2006/relationships/hyperlink" Target="https://www.bart.gov/sites/default/files/2026-01/2026-01-23_BART%20Final%20SAP_0.pdf" TargetMode="External"/><Relationship Id="rId284" Type="http://schemas.openxmlformats.org/officeDocument/2006/relationships/diagramData" Target="diagrams/data3.xml"/><Relationship Id="rId319" Type="http://schemas.openxmlformats.org/officeDocument/2006/relationships/hyperlink" Target="https://bchd.blob.core.windows.net/docs/bchd/BCHD_LHMP_06-25-25_FINAL.pdf" TargetMode="External"/><Relationship Id="rId37" Type="http://schemas.openxmlformats.org/officeDocument/2006/relationships/hyperlink" Target="https://leginfo.legislature.ca.gov/faces/billTextClient.xhtml?bill_id=201520160SB379" TargetMode="External"/><Relationship Id="rId58" Type="http://schemas.openxmlformats.org/officeDocument/2006/relationships/image" Target="media/image2.jpeg"/><Relationship Id="rId79" Type="http://schemas.openxmlformats.org/officeDocument/2006/relationships/hyperlink" Target="https://water.ca.gov/Work-With-Us/Grants-And-Loans/Watershed-Resilience-Program" TargetMode="External"/><Relationship Id="rId102" Type="http://schemas.openxmlformats.org/officeDocument/2006/relationships/hyperlink" Target="https://www.caloes.ca.gov/wp-content/uploads/Hazard-Mitigation/Documents/FEMA-Local-Mitigation-Planning-Handbook-06.12.2025.pdf" TargetMode="External"/><Relationship Id="rId123" Type="http://schemas.openxmlformats.org/officeDocument/2006/relationships/hyperlink" Target="https://www.bcdc.ca.gov/wp-content/uploads/sites/354/2026/05/Webinar-Equity_Final-Version.pdf" TargetMode="External"/><Relationship Id="rId144" Type="http://schemas.openxmlformats.org/officeDocument/2006/relationships/hyperlink" Target="https://www.caloes.ca.gov/office-of-the-director/policy-administration/legal-affairs/emergency-proclamations/" TargetMode="External"/><Relationship Id="rId330" Type="http://schemas.openxmlformats.org/officeDocument/2006/relationships/hyperlink" Target="https://pacinst.org/wp-content/uploads/2013/04/climate_survivor_workbook-1.pdf" TargetMode="External"/><Relationship Id="rId90" Type="http://schemas.openxmlformats.org/officeDocument/2006/relationships/hyperlink" Target="https://data.ca.gov/organization/california-department-of-technology" TargetMode="External"/><Relationship Id="rId165" Type="http://schemas.openxmlformats.org/officeDocument/2006/relationships/hyperlink" Target="https://www.fire.ca.gov/what-we-do/fire-resource-assessment-program/fire-perimeters" TargetMode="External"/><Relationship Id="rId186" Type="http://schemas.openxmlformats.org/officeDocument/2006/relationships/hyperlink" Target="https://map.healthyplacesindex.org/?redirect=false" TargetMode="External"/><Relationship Id="rId351" Type="http://schemas.openxmlformats.org/officeDocument/2006/relationships/hyperlink" Target="https://storymaps.arcgis.com/stories/5f59041783fb49d59b8ed6e0a5371cde" TargetMode="External"/><Relationship Id="rId372" Type="http://schemas.openxmlformats.org/officeDocument/2006/relationships/hyperlink" Target="https://www.climateresilience.ca.gov/" TargetMode="External"/><Relationship Id="rId393" Type="http://schemas.openxmlformats.org/officeDocument/2006/relationships/hyperlink" Target="https://www.caloes.ca.gov/wp-content/uploads/Hazard-Mitigation/Documents/2025-FEMA-Local-Mitigation-Planning-Policy-Guide.pdf" TargetMode="External"/><Relationship Id="rId407" Type="http://schemas.openxmlformats.org/officeDocument/2006/relationships/hyperlink" Target="https://www.caloes.ca.gov/wp-content/uploads/Hazard-Mitigation/Documents/2025-FEMA-Local-Mitigation-Planning-Policy-Guide.pdf" TargetMode="External"/><Relationship Id="rId211" Type="http://schemas.openxmlformats.org/officeDocument/2006/relationships/hyperlink" Target="https://www.sandiegocounty.gov/content/dam/sdc/pds/gpupdate/VulnerabilityAssess-AdaptRpt.pdf" TargetMode="External"/><Relationship Id="rId232" Type="http://schemas.openxmlformats.org/officeDocument/2006/relationships/hyperlink" Target="https://www.caloes.ca.gov/wp-content/uploads/Hazard-Mitigation/Documents/FEMA-Local-Mitigation-Planning-Handbook-06.12.2025.pdf" TargetMode="External"/><Relationship Id="rId253" Type="http://schemas.openxmlformats.org/officeDocument/2006/relationships/hyperlink" Target="https://greenlining.org/%20publications/reports/2019/equitable-building-electrification-a-framework-for-powering-resilient-communities/" TargetMode="External"/><Relationship Id="rId274" Type="http://schemas.openxmlformats.org/officeDocument/2006/relationships/hyperlink" Target="http://www.adaptingtorisingtides.org/howto/art-supplies/" TargetMode="External"/><Relationship Id="rId295" Type="http://schemas.openxmlformats.org/officeDocument/2006/relationships/hyperlink" Target="https://www.epa.gov/sites/default/files/2019-07/documents/regional_resilience_toolkit.pdf" TargetMode="External"/><Relationship Id="rId309" Type="http://schemas.openxmlformats.org/officeDocument/2006/relationships/hyperlink" Target="https://www.blueforest.org/our-impact/our-projects/yuba-i-frb/" TargetMode="External"/><Relationship Id="rId27" Type="http://schemas.openxmlformats.org/officeDocument/2006/relationships/hyperlink" Target="https://resilientca.org/" TargetMode="External"/><Relationship Id="rId48" Type="http://schemas.openxmlformats.org/officeDocument/2006/relationships/hyperlink" Target="https://leginfo.legislature.ca.gov/faces/codes_displaySection.xhtml?sectionNum=65302.&amp;lawCode=GOV" TargetMode="External"/><Relationship Id="rId69" Type="http://schemas.openxmlformats.org/officeDocument/2006/relationships/hyperlink" Target="https://climateresilience.ca.gov/" TargetMode="External"/><Relationship Id="rId113" Type="http://schemas.openxmlformats.org/officeDocument/2006/relationships/hyperlink" Target="https://leginfo.legislature.ca.gov/faces/codes_displayexpandedbranch.xhtml?tocCode=GOV&amp;division=10.&amp;title=1.&amp;part=2.&amp;chapter=&amp;article=&amp;goUp=Y" TargetMode="External"/><Relationship Id="rId134" Type="http://schemas.openxmlformats.org/officeDocument/2006/relationships/diagramData" Target="diagrams/data1.xml"/><Relationship Id="rId320" Type="http://schemas.openxmlformats.org/officeDocument/2006/relationships/hyperlink" Target="https://racialequity.lci.ca.gov/wp-content/uploads/2025/12/Racial-Equity-Framework-FINAL_December-2025_ADA.pdf" TargetMode="External"/><Relationship Id="rId80" Type="http://schemas.openxmlformats.org/officeDocument/2006/relationships/hyperlink" Target="https://climateassessment.ca.gov/" TargetMode="External"/><Relationship Id="rId155" Type="http://schemas.openxmlformats.org/officeDocument/2006/relationships/image" Target="media/image15.png"/><Relationship Id="rId176" Type="http://schemas.openxmlformats.org/officeDocument/2006/relationships/hyperlink" Target="https://vcp.lci.ca.gov/pages/help-desk" TargetMode="External"/><Relationship Id="rId197" Type="http://schemas.openxmlformats.org/officeDocument/2006/relationships/hyperlink" Target="https://www.slocounty.ca.gov/departments/administrative-office/office-of-emergency-services/forms-documents/2025-draft-multi-jurisdictional-hazard-mitigation-plan" TargetMode="External"/><Relationship Id="rId341" Type="http://schemas.openxmlformats.org/officeDocument/2006/relationships/hyperlink" Target="http://vcp.lci.ca.gov/" TargetMode="External"/><Relationship Id="rId362" Type="http://schemas.openxmlformats.org/officeDocument/2006/relationships/hyperlink" Target="https://opc.ca.gov/wp-content/uploads/2024/05/California-Sea-Level-Rise-Guidance-2024-508.pdf" TargetMode="External"/><Relationship Id="rId383" Type="http://schemas.openxmlformats.org/officeDocument/2006/relationships/hyperlink" Target="https://www.climateresilience.ca.gov/" TargetMode="External"/><Relationship Id="rId201" Type="http://schemas.openxmlformats.org/officeDocument/2006/relationships/hyperlink" Target="https://ucr.maps.arcgis.com/apps/instant/portfolio/index.html?appid=4978838d403a42218be52670f46b94ab" TargetMode="External"/><Relationship Id="rId222" Type="http://schemas.openxmlformats.org/officeDocument/2006/relationships/hyperlink" Target="https://www.caloes.ca.gov/wp-content/uploads/Hazard-Mitigation/Documents/FEMA-Local-Mitigation-Planning-Handbook-06.12.2025.pdf" TargetMode="External"/><Relationship Id="rId243" Type="http://schemas.openxmlformats.org/officeDocument/2006/relationships/hyperlink" Target="https://www.caloes.ca.gov/wp-content/uploads/Hazard-Mitigation/Documents/FEMA-Tribal-Mitigation-Planning-Handbook-05.2025.pdf" TargetMode="External"/><Relationship Id="rId264" Type="http://schemas.openxmlformats.org/officeDocument/2006/relationships/hyperlink" Target="http://greenlining.org/wp-content/uploads/2019/08/Making-Equity-Real-in-Climate-Adaption-and-Community-Resilience-Policies-and-Programs-A-Guidebook-1.pdf" TargetMode="External"/><Relationship Id="rId285" Type="http://schemas.openxmlformats.org/officeDocument/2006/relationships/diagramLayout" Target="diagrams/layout3.xml"/><Relationship Id="rId17" Type="http://schemas.openxmlformats.org/officeDocument/2006/relationships/hyperlink" Target="mailto:apg@caloes.ca.gov" TargetMode="External"/><Relationship Id="rId38" Type="http://schemas.openxmlformats.org/officeDocument/2006/relationships/hyperlink" Target="https://leginfo.legislature.ca.gov/faces/codes_displaySection.xhtml?sectionNum=65302.&amp;lawCode=GOV" TargetMode="External"/><Relationship Id="rId59" Type="http://schemas.openxmlformats.org/officeDocument/2006/relationships/hyperlink" Target="https://www.caloes.ca.gov/wp-content/uploads/Hazard-Mitigation/Documents/FEMA-Local-Mitigation-Planning-Handbook-06.12.2025.pdf" TargetMode="External"/><Relationship Id="rId103" Type="http://schemas.openxmlformats.org/officeDocument/2006/relationships/hyperlink" Target="https://www.caloes.ca.gov/wp-content/uploads/Hazard-Mitigation/Documents/FEMA-Choosing-Contracting-Help-2012.pdf" TargetMode="External"/><Relationship Id="rId124" Type="http://schemas.openxmlformats.org/officeDocument/2006/relationships/hyperlink" Target="https://storage.googleapis.com/proudcity/marindpwca/2024/05/Marin_County_MJHMP_2023_Final_resized1.pdf" TargetMode="External"/><Relationship Id="rId310" Type="http://schemas.openxmlformats.org/officeDocument/2006/relationships/hyperlink" Target="https://www.yubaforest.org/" TargetMode="External"/><Relationship Id="rId70" Type="http://schemas.openxmlformats.org/officeDocument/2006/relationships/hyperlink" Target="https://www.adaptationclearinghouse.org/resources/equitable-adaptation-legal-and-policy-toolkit-georgetown-climate-center.html" TargetMode="External"/><Relationship Id="rId91" Type="http://schemas.openxmlformats.org/officeDocument/2006/relationships/hyperlink" Target="https://drive.google.com/file/d/1xCPmf9xUUO46Yl5hRElAtFyeY4jSc6q7/view" TargetMode="External"/><Relationship Id="rId145" Type="http://schemas.openxmlformats.org/officeDocument/2006/relationships/hyperlink" Target="https://www.fire.ca.gov/incidents" TargetMode="External"/><Relationship Id="rId166" Type="http://schemas.openxmlformats.org/officeDocument/2006/relationships/hyperlink" Target="https://adaptationatlas.org/" TargetMode="External"/><Relationship Id="rId187" Type="http://schemas.openxmlformats.org/officeDocument/2006/relationships/hyperlink" Target="https://caltrans.maps.arcgis.com/apps/webappviewer/index.html?id=ab02f124b3f54007a59dadf2165d21fc" TargetMode="External"/><Relationship Id="rId331" Type="http://schemas.openxmlformats.org/officeDocument/2006/relationships/hyperlink" Target="http://www.communityscience.com/knowledge4equity/AssetMappingToolkit.pdf" TargetMode="External"/><Relationship Id="rId352" Type="http://schemas.openxmlformats.org/officeDocument/2006/relationships/hyperlink" Target="https://storymaps.arcgis.com/stories/e31394fe2a164a78ad3f2c6b4388cdf1" TargetMode="External"/><Relationship Id="rId373" Type="http://schemas.openxmlformats.org/officeDocument/2006/relationships/hyperlink" Target="https://www.caloes.ca.gov/wp-content/uploads/Hazard-Mitigation/Documents/2023-California-SHMP_Volume-1-Definitions_11.10.2023.pdf" TargetMode="External"/><Relationship Id="rId394" Type="http://schemas.openxmlformats.org/officeDocument/2006/relationships/hyperlink" Target="https://www.ipcc.ch/report/ar6/wg2/" TargetMode="External"/><Relationship Id="rId408" Type="http://schemas.openxmlformats.org/officeDocument/2006/relationships/hyperlink" Target="https://www.ipcc.ch/report/ar6/wg2/" TargetMode="External"/><Relationship Id="rId1" Type="http://schemas.openxmlformats.org/officeDocument/2006/relationships/customXml" Target="../customXml/item1.xml"/><Relationship Id="rId212" Type="http://schemas.openxmlformats.org/officeDocument/2006/relationships/hyperlink" Target="https://vcp.lci.ca.gov/" TargetMode="External"/><Relationship Id="rId233" Type="http://schemas.openxmlformats.org/officeDocument/2006/relationships/hyperlink" Target="https://www.rmwd.org/about-us/climate-adaptation-plan" TargetMode="External"/><Relationship Id="rId254" Type="http://schemas.openxmlformats.org/officeDocument/2006/relationships/hyperlink" Target="https://www.bcdc.ca.gov/wp-content/uploads/sites/354/2024/12/regional-shoreline-adaptation-plan.pdf" TargetMode="External"/><Relationship Id="rId28" Type="http://schemas.openxmlformats.org/officeDocument/2006/relationships/hyperlink" Target="https://lci.ca.gov/climate/icarp/climate-assessment/" TargetMode="External"/><Relationship Id="rId49" Type="http://schemas.openxmlformats.org/officeDocument/2006/relationships/hyperlink" Target="https://lci.ca.gov/docs/OPR_COMPLETE_7.31.17.pdf" TargetMode="External"/><Relationship Id="rId114" Type="http://schemas.openxmlformats.org/officeDocument/2006/relationships/hyperlink" Target="https://resources.ca.gov/Initiatives/Tribalaffairs/TribalConsultation" TargetMode="External"/><Relationship Id="rId275" Type="http://schemas.openxmlformats.org/officeDocument/2006/relationships/hyperlink" Target="http://www.adaptingtorisingtides.org/howto/art-supplies/" TargetMode="External"/><Relationship Id="rId296" Type="http://schemas.openxmlformats.org/officeDocument/2006/relationships/hyperlink" Target="https://nibs.org/wp-content/uploads/2025/04/ms_v4_overview.pdf" TargetMode="External"/><Relationship Id="rId300" Type="http://schemas.openxmlformats.org/officeDocument/2006/relationships/hyperlink" Target="https://www.caloes.ca.gov/wp-content/uploads/Hazard-Mitigation/Documents/2025-FEMA-Local-Mitigation-Planning-Policy-Guide.pdf" TargetMode="External"/><Relationship Id="rId60" Type="http://schemas.openxmlformats.org/officeDocument/2006/relationships/image" Target="media/image3.png"/><Relationship Id="rId81" Type="http://schemas.openxmlformats.org/officeDocument/2006/relationships/image" Target="media/image7.png"/><Relationship Id="rId135" Type="http://schemas.openxmlformats.org/officeDocument/2006/relationships/diagramLayout" Target="diagrams/layout1.xml"/><Relationship Id="rId156" Type="http://schemas.openxmlformats.org/officeDocument/2006/relationships/image" Target="media/image16.png"/><Relationship Id="rId177" Type="http://schemas.openxmlformats.org/officeDocument/2006/relationships/hyperlink" Target="https://www.usgs.gov/data/debris-flow-inundation-and-damage-data-9-january-2018-montecito-debris-flow-event?" TargetMode="External"/><Relationship Id="rId198" Type="http://schemas.openxmlformats.org/officeDocument/2006/relationships/hyperlink" Target="https://karuktribeclimatechangeprojects.files.wordpress.com/2019/10/reduced-size_final-karuk-climate-adaptation-plan.pdf" TargetMode="External"/><Relationship Id="rId321" Type="http://schemas.openxmlformats.org/officeDocument/2006/relationships/hyperlink" Target="https://movementstrategy.org/wp-content/uploads/2021/08/The-Spectrum-of-Community-Engagement-to-Ownership.pdf" TargetMode="External"/><Relationship Id="rId342" Type="http://schemas.openxmlformats.org/officeDocument/2006/relationships/image" Target="media/image37.jpeg"/><Relationship Id="rId363" Type="http://schemas.openxmlformats.org/officeDocument/2006/relationships/hyperlink" Target="https://ourcoastourfuture.org/science-and-modeling/" TargetMode="External"/><Relationship Id="rId384" Type="http://schemas.openxmlformats.org/officeDocument/2006/relationships/hyperlink" Target="https://california.public.law/codes/government_code_section_65040.12" TargetMode="External"/><Relationship Id="rId202" Type="http://schemas.openxmlformats.org/officeDocument/2006/relationships/hyperlink" Target="https://cvmshcp.org/" TargetMode="External"/><Relationship Id="rId223" Type="http://schemas.openxmlformats.org/officeDocument/2006/relationships/hyperlink" Target="https://www.epa.gov/smartgrowth/regional-resilience-toolkit" TargetMode="External"/><Relationship Id="rId244" Type="http://schemas.openxmlformats.org/officeDocument/2006/relationships/hyperlink" Target="https://resilientca.org/" TargetMode="External"/><Relationship Id="rId18" Type="http://schemas.openxmlformats.org/officeDocument/2006/relationships/footer" Target="footer3.xml"/><Relationship Id="rId39" Type="http://schemas.openxmlformats.org/officeDocument/2006/relationships/hyperlink" Target="https://leginfo.legislature.ca.gov/faces/codes_displaySection.xhtml?sectionNum=65302.&amp;lawCode=GOV" TargetMode="External"/><Relationship Id="rId265" Type="http://schemas.openxmlformats.org/officeDocument/2006/relationships/hyperlink" Target="https://safecleanwaterla.org/" TargetMode="External"/><Relationship Id="rId286" Type="http://schemas.openxmlformats.org/officeDocument/2006/relationships/diagramQuickStyle" Target="diagrams/quickStyle3.xml"/><Relationship Id="rId50" Type="http://schemas.openxmlformats.org/officeDocument/2006/relationships/hyperlink" Target="https://leginfo.legislature.ca.gov/faces/billTextClient.xhtml?bill_id=201520160SB379" TargetMode="External"/><Relationship Id="rId104" Type="http://schemas.openxmlformats.org/officeDocument/2006/relationships/hyperlink" Target="https://www.caloes.ca.gov/wp-content/uploads/Hazard-Mitigation/Documents/2025-FEMA-Local-Mitigation-Planning-Policy-Guide.pdf" TargetMode="External"/><Relationship Id="rId125" Type="http://schemas.openxmlformats.org/officeDocument/2006/relationships/hyperlink" Target="https://www.laregionalcollaborative.com/network-news/2025/8/14/la-city-climate-vulnerability-assessment" TargetMode="External"/><Relationship Id="rId146" Type="http://schemas.openxmlformats.org/officeDocument/2006/relationships/hyperlink" Target="https://cadoc.maps.arcgis.com/apps/webappviewer/index.html?id=bc48ad40e3504134a1fc8f3909659041&amp;_gl=1*paom43*_ga*NDA3ODQwNTE0LjE3Njk1NDM2MTM.*_ga_N4MB98DBXY*czE3NzI0OTA3ODYkbzEkZzEkdDE3NzI0OTA4MTkkajI3JGwwJGgw" TargetMode="External"/><Relationship Id="rId167" Type="http://schemas.openxmlformats.org/officeDocument/2006/relationships/hyperlink" Target="https://gis.bam.water.ca.gov/bam/" TargetMode="External"/><Relationship Id="rId188" Type="http://schemas.openxmlformats.org/officeDocument/2006/relationships/hyperlink" Target="https://www.cdph.ca.gov/Programs/OHE/Pages/CC-Health-Vulnerability-Indicators.aspx" TargetMode="External"/><Relationship Id="rId311" Type="http://schemas.openxmlformats.org/officeDocument/2006/relationships/hyperlink" Target="https://www.lakewoodca.gov/files/assets/public/v/1/government/citydocs/planningampmgmt-cd/lakewood-local-hazard-mitigation-plan-final.pdf" TargetMode="External"/><Relationship Id="rId332" Type="http://schemas.openxmlformats.org/officeDocument/2006/relationships/hyperlink" Target="https://pacinst.org/wp-content/uploads/2013/04/climate_survivor_workbook-1.pdf" TargetMode="External"/><Relationship Id="rId353" Type="http://schemas.openxmlformats.org/officeDocument/2006/relationships/hyperlink" Target="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 TargetMode="External"/><Relationship Id="rId374" Type="http://schemas.openxmlformats.org/officeDocument/2006/relationships/hyperlink" Target="https://www.ipcc.ch/report/ar6/wg2/" TargetMode="External"/><Relationship Id="rId395" Type="http://schemas.openxmlformats.org/officeDocument/2006/relationships/hyperlink" Target="https://www.climateresilience.ca.gov/" TargetMode="External"/><Relationship Id="rId409" Type="http://schemas.openxmlformats.org/officeDocument/2006/relationships/hyperlink" Target="https://lci.ca.gov/climate/icarp/vulnerable-communities.html" TargetMode="External"/><Relationship Id="rId71" Type="http://schemas.openxmlformats.org/officeDocument/2006/relationships/hyperlink" Target="https://resilientca.org/topics/plan-alignment/" TargetMode="External"/><Relationship Id="rId92" Type="http://schemas.openxmlformats.org/officeDocument/2006/relationships/hyperlink" Target="https://www.catribalclimateresiliencyresourceportal.com/resource-list/" TargetMode="External"/><Relationship Id="rId213" Type="http://schemas.openxmlformats.org/officeDocument/2006/relationships/image" Target="media/image23.png"/><Relationship Id="rId234" Type="http://schemas.openxmlformats.org/officeDocument/2006/relationships/hyperlink" Target="https://www.cityofwestsacramento.org/home/showpublisheddocument/20579/638860179110630000" TargetMode="External"/><Relationship Id="rId2" Type="http://schemas.openxmlformats.org/officeDocument/2006/relationships/customXml" Target="../customXml/item2.xml"/><Relationship Id="rId29" Type="http://schemas.openxmlformats.org/officeDocument/2006/relationships/hyperlink" Target="https://www.caloes.ca.gov/office-of-the-director/operations/recovery-directorate/hazard-mitigation/state-mitigation-planning/" TargetMode="External"/><Relationship Id="rId255" Type="http://schemas.openxmlformats.org/officeDocument/2006/relationships/hyperlink" Target="https://www.slc.ca.gov/sea-level-rise/shoreline-adaptation-report/" TargetMode="External"/><Relationship Id="rId276" Type="http://schemas.openxmlformats.org/officeDocument/2006/relationships/hyperlink" Target="http://www.adaptingtorisingtides.org/wp-content/uploads/2016/02/ART-H2G-Evaluation-Criteria_web-aligned_V2.pdf" TargetMode="External"/><Relationship Id="rId297" Type="http://schemas.openxmlformats.org/officeDocument/2006/relationships/hyperlink" Target="https://www.cityofgoleta.org/home/showpublisheddocument/11317/635908658293030000" TargetMode="External"/><Relationship Id="rId40" Type="http://schemas.openxmlformats.org/officeDocument/2006/relationships/hyperlink" Target="https://leginfo.legislature.ca.gov/faces/billNavClient.xhtml?bill_id=201720180SB1035" TargetMode="External"/><Relationship Id="rId115" Type="http://schemas.openxmlformats.org/officeDocument/2006/relationships/hyperlink" Target="https://racialequity.lci.ca.gov/framework/" TargetMode="External"/><Relationship Id="rId136" Type="http://schemas.openxmlformats.org/officeDocument/2006/relationships/diagramQuickStyle" Target="diagrams/quickStyle1.xml"/><Relationship Id="rId157" Type="http://schemas.openxmlformats.org/officeDocument/2006/relationships/image" Target="media/image17.png"/><Relationship Id="rId178" Type="http://schemas.openxmlformats.org/officeDocument/2006/relationships/hyperlink" Target="https://cms3.revize.com/revize/repository/carsonca/City%20of%20Carson%20Hazard%20Mitigation%20Plan%202024%20-%20With%20Appendices.pdf?6599" TargetMode="External"/><Relationship Id="rId301" Type="http://schemas.openxmlformats.org/officeDocument/2006/relationships/hyperlink" Target="https://www.laverneca.gov/DocumentCenter/View/4762/City-of-La-Verne-2026-LHMP_Public-Comment-Draft-with-Cover-012126" TargetMode="External"/><Relationship Id="rId322" Type="http://schemas.openxmlformats.org/officeDocument/2006/relationships/hyperlink" Target="https://dshiao.medium.com/the-meaning-of-community-as-told-by-sticky-notes-89c42975298b" TargetMode="External"/><Relationship Id="rId343" Type="http://schemas.openxmlformats.org/officeDocument/2006/relationships/image" Target="media/image38.jpeg"/><Relationship Id="rId364" Type="http://schemas.openxmlformats.org/officeDocument/2006/relationships/hyperlink" Target="https://www.usgs.gov/apps/hera" TargetMode="External"/><Relationship Id="rId61" Type="http://schemas.openxmlformats.org/officeDocument/2006/relationships/image" Target="media/image4.png"/><Relationship Id="rId82" Type="http://schemas.openxmlformats.org/officeDocument/2006/relationships/hyperlink" Target="https://resilientca.org/plan-alignment/" TargetMode="External"/><Relationship Id="rId199" Type="http://schemas.openxmlformats.org/officeDocument/2006/relationships/image" Target="media/image21.png"/><Relationship Id="rId203" Type="http://schemas.openxmlformats.org/officeDocument/2006/relationships/hyperlink" Target="https://forestadaptation.org/adapt/adaptation-strategies" TargetMode="External"/><Relationship Id="rId385" Type="http://schemas.openxmlformats.org/officeDocument/2006/relationships/hyperlink" Target="https://www.ipcc.ch/report/ar6/wg2/" TargetMode="External"/><Relationship Id="rId19" Type="http://schemas.openxmlformats.org/officeDocument/2006/relationships/hyperlink" Target="https://climateresilience.ca.gov/" TargetMode="External"/><Relationship Id="rId224" Type="http://schemas.openxmlformats.org/officeDocument/2006/relationships/hyperlink" Target="https://www.adaptingtorisingtides.org/" TargetMode="External"/><Relationship Id="rId245" Type="http://schemas.openxmlformats.org/officeDocument/2006/relationships/hyperlink" Target="https://lci.ca.gov/docs/OPR_Appendix_A_final.pdf" TargetMode="External"/><Relationship Id="rId266" Type="http://schemas.openxmlformats.org/officeDocument/2006/relationships/hyperlink" Target="https://www.grants.ca.gov/grants/proposition-68-grant-program/" TargetMode="External"/><Relationship Id="rId287" Type="http://schemas.openxmlformats.org/officeDocument/2006/relationships/diagramColors" Target="diagrams/colors3.xml"/><Relationship Id="rId410" Type="http://schemas.openxmlformats.org/officeDocument/2006/relationships/hyperlink" Target="https://www.climateresilience.ca.gov/" TargetMode="External"/><Relationship Id="rId30" Type="http://schemas.openxmlformats.org/officeDocument/2006/relationships/hyperlink" Target="https://vcp.lci.ca.gov/" TargetMode="External"/><Relationship Id="rId105" Type="http://schemas.openxmlformats.org/officeDocument/2006/relationships/hyperlink" Target="https://www.cityofsanrafael.org/sea-level-rise-collaborative/" TargetMode="External"/><Relationship Id="rId126" Type="http://schemas.openxmlformats.org/officeDocument/2006/relationships/hyperlink" Target="https://cdn.ymaws.com/www.iap2.org/resource/resmgr/pillars/iap2_spectrum_2024.pdf" TargetMode="External"/><Relationship Id="rId147" Type="http://schemas.openxmlformats.org/officeDocument/2006/relationships/hyperlink" Target="https://www.fema.gov/about/openfema/data-sets" TargetMode="External"/><Relationship Id="rId168" Type="http://schemas.openxmlformats.org/officeDocument/2006/relationships/hyperlink" Target="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 TargetMode="External"/><Relationship Id="rId312" Type="http://schemas.openxmlformats.org/officeDocument/2006/relationships/hyperlink" Target="https://drive.google.com/file/d/1RyV4gPOpk9BOaeG0497USOHV02b-Bt-p/view" TargetMode="External"/><Relationship Id="rId333" Type="http://schemas.openxmlformats.org/officeDocument/2006/relationships/hyperlink" Target="https://pacinst.org/wp-content/uploads/2013/04/climate_survivor_workbook-1.pdf" TargetMode="External"/><Relationship Id="rId354" Type="http://schemas.openxmlformats.org/officeDocument/2006/relationships/hyperlink" Target="https://wildfirerisk.org/" TargetMode="External"/><Relationship Id="rId51" Type="http://schemas.openxmlformats.org/officeDocument/2006/relationships/hyperlink" Target="https://leginfo.legislature.ca.gov/faces/billTextClient.xhtml?bill_id=201720180SB1035" TargetMode="External"/><Relationship Id="rId72" Type="http://schemas.openxmlformats.org/officeDocument/2006/relationships/hyperlink" Target="https://www.bcdc.ca.gov/wp-content/uploads/sites/354/2024/06/Bill-Text-SB-272-Sea-level-rise-planning-and-adaptation_.pdf" TargetMode="External"/><Relationship Id="rId93" Type="http://schemas.openxmlformats.org/officeDocument/2006/relationships/hyperlink" Target="https://toolkit.climate.gov/tool/nca-interactive-atlas" TargetMode="External"/><Relationship Id="rId189" Type="http://schemas.openxmlformats.org/officeDocument/2006/relationships/hyperlink" Target="https://skylab.cdph.ca.gov/CCHVIz/" TargetMode="External"/><Relationship Id="rId375" Type="http://schemas.openxmlformats.org/officeDocument/2006/relationships/hyperlink" Target="https://www.ipcc.ch/report/ar6/wg2/" TargetMode="External"/><Relationship Id="rId396" Type="http://schemas.openxmlformats.org/officeDocument/2006/relationships/hyperlink" Target="https://lao.ca.gov/Publications/Report/5076" TargetMode="External"/><Relationship Id="rId3" Type="http://schemas.openxmlformats.org/officeDocument/2006/relationships/customXml" Target="../customXml/item3.xml"/><Relationship Id="rId214" Type="http://schemas.openxmlformats.org/officeDocument/2006/relationships/image" Target="media/image24.svg"/><Relationship Id="rId235" Type="http://schemas.openxmlformats.org/officeDocument/2006/relationships/image" Target="media/image26.png"/><Relationship Id="rId256" Type="http://schemas.openxmlformats.org/officeDocument/2006/relationships/hyperlink" Target="https://resources.ca.gov/Initiatives/Building-Climate-Resilience" TargetMode="External"/><Relationship Id="rId277" Type="http://schemas.openxmlformats.org/officeDocument/2006/relationships/hyperlink" Target="http://www.adaptingtorisingtides.org/wp-content/uploads/2016/02/ART-H2G-Evaluation-Criteria_web-aligned_V2.pdf" TargetMode="External"/><Relationship Id="rId298" Type="http://schemas.openxmlformats.org/officeDocument/2006/relationships/image" Target="media/image31.png"/><Relationship Id="rId400" Type="http://schemas.openxmlformats.org/officeDocument/2006/relationships/hyperlink" Target="https://www.ipcc.ch/report/ar6/wg2/" TargetMode="External"/><Relationship Id="rId116" Type="http://schemas.openxmlformats.org/officeDocument/2006/relationships/hyperlink" Target="https://movementstrategy.org/wp-content/uploads/2021/08/The-Spectrum-of-Community-Engagement-to-Ownership.pdf" TargetMode="External"/><Relationship Id="rId137" Type="http://schemas.openxmlformats.org/officeDocument/2006/relationships/diagramColors" Target="diagrams/colors1.xml"/><Relationship Id="rId158" Type="http://schemas.openxmlformats.org/officeDocument/2006/relationships/image" Target="media/image18.png"/><Relationship Id="rId302" Type="http://schemas.openxmlformats.org/officeDocument/2006/relationships/image" Target="media/image32.png"/><Relationship Id="rId323" Type="http://schemas.openxmlformats.org/officeDocument/2006/relationships/hyperlink" Target="https://www.ndsu.edu/agriculture/sites/default/files/2024-08/cv2110.pdf" TargetMode="External"/><Relationship Id="rId344" Type="http://schemas.openxmlformats.org/officeDocument/2006/relationships/image" Target="media/image39.png"/><Relationship Id="rId20" Type="http://schemas.openxmlformats.org/officeDocument/2006/relationships/hyperlink" Target="https://lci.ca.gov/docs/OPR_COMPLETE_7.31.17.pdf" TargetMode="External"/><Relationship Id="rId41" Type="http://schemas.openxmlformats.org/officeDocument/2006/relationships/hyperlink" Target="https://www.ecfr.gov/current/title-44/chapter-I/subchapter-D/part-201/section-201.6" TargetMode="External"/><Relationship Id="rId62" Type="http://schemas.openxmlformats.org/officeDocument/2006/relationships/image" Target="media/image5.png"/><Relationship Id="rId83" Type="http://schemas.openxmlformats.org/officeDocument/2006/relationships/image" Target="media/image8.png"/><Relationship Id="rId179" Type="http://schemas.openxmlformats.org/officeDocument/2006/relationships/image" Target="media/image20.png"/><Relationship Id="rId365" Type="http://schemas.openxmlformats.org/officeDocument/2006/relationships/hyperlink" Target="https://coast.noaa.gov/slr/" TargetMode="External"/><Relationship Id="rId386" Type="http://schemas.openxmlformats.org/officeDocument/2006/relationships/hyperlink" Target="https://unfccc.int/resource/cd_roms/na1/ghg_inventories/english/8_glossary/Glossary.htm" TargetMode="External"/><Relationship Id="rId190" Type="http://schemas.openxmlformats.org/officeDocument/2006/relationships/hyperlink" Target="https://www.cdph.ca.gov/Programs/OHE/Pages/CalBRACE.aspx" TargetMode="External"/><Relationship Id="rId204" Type="http://schemas.openxmlformats.org/officeDocument/2006/relationships/hyperlink" Target="https://forestadaptation.org/adaptation-workbook" TargetMode="External"/><Relationship Id="rId225" Type="http://schemas.openxmlformats.org/officeDocument/2006/relationships/hyperlink" Target="https://ramona-baronacaap.rinconconsultants.com/wp-content/uploads/2026/01/Ramona-Barona-CARP_with-Appendices-1.pdf" TargetMode="External"/><Relationship Id="rId246" Type="http://schemas.openxmlformats.org/officeDocument/2006/relationships/hyperlink" Target="https://water.ca.gov/Programs/All-Programs/Climate-Change-Program/Resources-for-Water-Managers" TargetMode="External"/><Relationship Id="rId267" Type="http://schemas.openxmlformats.org/officeDocument/2006/relationships/hyperlink" Target="https://bondaccountability.resources.ca.gov/Propositions/Proposition_4_Climate_Bond" TargetMode="External"/><Relationship Id="rId288" Type="http://schemas.microsoft.com/office/2007/relationships/diagramDrawing" Target="diagrams/drawing3.xml"/><Relationship Id="rId411" Type="http://schemas.openxmlformats.org/officeDocument/2006/relationships/footer" Target="footer7.xml"/><Relationship Id="rId106" Type="http://schemas.openxmlformats.org/officeDocument/2006/relationships/hyperlink" Target="https://leginfo.legislature.ca.gov/faces/billNavClient.xhtml?bill_id=201320140AB52&amp;search_keywords=" TargetMode="External"/><Relationship Id="rId127" Type="http://schemas.openxmlformats.org/officeDocument/2006/relationships/hyperlink" Target="https://www.adaptingtorisingtides.org/wp-content/uploads/2022/04/AdaptationRoadmap_A-Practitioner-Guide-Sea-Level-Rise-Adaptation_BCDC_ART_March2022_Final_ADA.pdf" TargetMode="External"/><Relationship Id="rId313"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hyperlink" Target="https://cal-adapt.org/" TargetMode="External"/><Relationship Id="rId52" Type="http://schemas.openxmlformats.org/officeDocument/2006/relationships/hyperlink" Target="https://leginfo.legislature.ca.gov/faces/billNavClient.xhtml?bill_id=200520060AB2140" TargetMode="External"/><Relationship Id="rId73" Type="http://schemas.openxmlformats.org/officeDocument/2006/relationships/hyperlink" Target="https://www.bcdc.ca.gov/wp-content/uploads/sites/354/2024/12/regional-shoreline-adaptation-plan.pdf" TargetMode="External"/><Relationship Id="rId94" Type="http://schemas.openxmlformats.org/officeDocument/2006/relationships/hyperlink" Target="https://www.slc.ca.gov/granted_lands/" TargetMode="External"/><Relationship Id="rId148" Type="http://schemas.openxmlformats.org/officeDocument/2006/relationships/hyperlink" Target="https://www.ncei.noaa.gov/stormevents/choosedates.jsp?statefips=6%2CCALIFORNIA" TargetMode="External"/><Relationship Id="rId169" Type="http://schemas.openxmlformats.org/officeDocument/2006/relationships/hyperlink" Target="https://ourcoastourfuture.org/hazard-map/" TargetMode="External"/><Relationship Id="rId334" Type="http://schemas.openxmlformats.org/officeDocument/2006/relationships/hyperlink" Target="https://pacinst.org/wp-content/uploads/2013/04/climate_survivor_workbook-1.pdf" TargetMode="External"/><Relationship Id="rId355" Type="http://schemas.openxmlformats.org/officeDocument/2006/relationships/hyperlink" Target="https://wildfirerisk.org/" TargetMode="External"/><Relationship Id="rId376" Type="http://schemas.openxmlformats.org/officeDocument/2006/relationships/hyperlink" Target="https://centerclimatejustice.universityofcalifornia.edu/what-is-climate-justice/" TargetMode="External"/><Relationship Id="rId397" Type="http://schemas.openxmlformats.org/officeDocument/2006/relationships/hyperlink" Target="https://www.lci.ca.gov/wp-content/uploads/20200720-Vulnerable_Communities.pdf" TargetMode="External"/><Relationship Id="rId4" Type="http://schemas.openxmlformats.org/officeDocument/2006/relationships/customXml" Target="../customXml/item4.xml"/><Relationship Id="rId180" Type="http://schemas.openxmlformats.org/officeDocument/2006/relationships/hyperlink" Target="https://drive.google.com/file/d/1SbvjC8ItPIlkAyaSVW7jhQua5Qruv2jY/view" TargetMode="External"/><Relationship Id="rId215" Type="http://schemas.openxmlformats.org/officeDocument/2006/relationships/diagramData" Target="diagrams/data2.xml"/><Relationship Id="rId236" Type="http://schemas.microsoft.com/office/2007/relationships/hdphoto" Target="media/hdphoto1.wdp"/><Relationship Id="rId257" Type="http://schemas.openxmlformats.org/officeDocument/2006/relationships/hyperlink" Target="https://dot.ca.gov/-/media/dot-media/programs/transportation-planning/documents/office-of-smart-mobility-and-climate-change/fy23-24-adaptation-strategies-transportation-infrastructure-05102024v2-a11y.pdf" TargetMode="External"/><Relationship Id="rId278" Type="http://schemas.openxmlformats.org/officeDocument/2006/relationships/hyperlink" Target="https://www.longbeach.gov/lbcd/planning/environmental/caap/" TargetMode="External"/><Relationship Id="rId401" Type="http://schemas.openxmlformats.org/officeDocument/2006/relationships/hyperlink" Target="https://www.climateresilience.ca.gov/" TargetMode="External"/><Relationship Id="rId303" Type="http://schemas.openxmlformats.org/officeDocument/2006/relationships/hyperlink" Target="https://abag.ca.gov/sites/default/files/paying-for-climate-adaptation-in-california.pdf" TargetMode="External"/><Relationship Id="rId42" Type="http://schemas.openxmlformats.org/officeDocument/2006/relationships/hyperlink" Target="https://www.caloes.ca.gov/wp-content/uploads/Hazard-Mitigation/Documents/2025-FEMA-Local-Mitigation-Planning-Policy-Guide.pdf" TargetMode="External"/><Relationship Id="rId84" Type="http://schemas.openxmlformats.org/officeDocument/2006/relationships/hyperlink" Target="https://leginfo.legislature.ca.gov/faces/codes_displaySection.xhtml?sectionNum=65302.&amp;lawCode=GOV" TargetMode="External"/><Relationship Id="rId138" Type="http://schemas.microsoft.com/office/2007/relationships/diagramDrawing" Target="diagrams/drawing1.xml"/><Relationship Id="rId345" Type="http://schemas.openxmlformats.org/officeDocument/2006/relationships/image" Target="media/image40.png"/><Relationship Id="rId387" Type="http://schemas.openxmlformats.org/officeDocument/2006/relationships/hyperlink" Target="https://www.caloes.ca.gov/wp-content/uploads/Hazard-Mitigation/Documents/2025-FEMA-Local-Mitigation-Planning-Policy-Guide.pdf" TargetMode="External"/><Relationship Id="rId191" Type="http://schemas.openxmlformats.org/officeDocument/2006/relationships/hyperlink" Target="https://www.cdph.ca.gov/Programs/OHE/Pages/Climate-Health-Equity/CalBRACE/Toolkit.aspx" TargetMode="External"/><Relationship Id="rId205" Type="http://schemas.openxmlformats.org/officeDocument/2006/relationships/hyperlink" Target="https://www.maderacounty.com/government/sheriff/office-of-emergency-services/lhmp-2026-1718" TargetMode="External"/><Relationship Id="rId247" Type="http://schemas.openxmlformats.org/officeDocument/2006/relationships/hyperlink" Target="https://toolkit.climate.gov/" TargetMode="External"/><Relationship Id="rId412" Type="http://schemas.openxmlformats.org/officeDocument/2006/relationships/fontTable" Target="fontTable.xml"/><Relationship Id="rId107" Type="http://schemas.openxmlformats.org/officeDocument/2006/relationships/hyperlink" Target="https://archive.gov.ca.gov/archive/gov39/2011/09/19/news17223/index.html" TargetMode="External"/><Relationship Id="rId289" Type="http://schemas.openxmlformats.org/officeDocument/2006/relationships/diagramData" Target="diagrams/data4.xml"/><Relationship Id="rId11" Type="http://schemas.openxmlformats.org/officeDocument/2006/relationships/hyperlink" Target="https://leginfo.legislature.ca.gov/faces/billNavClient.xhtml?bill_id=201520160SB246" TargetMode="External"/><Relationship Id="rId53" Type="http://schemas.openxmlformats.org/officeDocument/2006/relationships/hyperlink" Target="https://www.caloes.ca.gov/wp-content/uploads/Hazard-Mitigation/Documents/AB-2140-fact-sheet_11.20.24-update.pdf" TargetMode="External"/><Relationship Id="rId149" Type="http://schemas.openxmlformats.org/officeDocument/2006/relationships/hyperlink" Target="https://burnseverity.cr.usgs.gov/glossary" TargetMode="External"/><Relationship Id="rId314" Type="http://schemas.openxmlformats.org/officeDocument/2006/relationships/image" Target="media/image34.png"/><Relationship Id="rId356" Type="http://schemas.openxmlformats.org/officeDocument/2006/relationships/hyperlink" Target="https://apps.wildfirerisk.org/explore/?_gl=1*117orum*_ga*MTgyODc4NTM4MC4xNzc1MDY5Njgw*_ga_K1ZBKGMZBN*czE3NzY0NTg5MDkkbzIkZzAkdDE3NzY0NTg5MDkkajYwJGwwJGgw" TargetMode="External"/><Relationship Id="rId398" Type="http://schemas.openxmlformats.org/officeDocument/2006/relationships/hyperlink" Target="https://www.caloes.ca.gov/wp-content/uploads/Hazard-Mitigation/Documents/2025-FEMA-Local-Mitigation-Planning-Policy-Guid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fr.gov/current/title-44/chapter-I/subchapter-D/part-201/section-201.7" TargetMode="External"/><Relationship Id="rId2" Type="http://schemas.openxmlformats.org/officeDocument/2006/relationships/hyperlink" Target="https://opr.ca.gov/docs/OPR_C8_final.pdf" TargetMode="External"/><Relationship Id="rId1" Type="http://schemas.openxmlformats.org/officeDocument/2006/relationships/hyperlink" Target="https://casetext.com/regulation/california-code-of-regulations/title-14-natural-resources/division-6-resources-agency/chapter-3-guidelines-for-implementation-of-the-california-environmental-quality-act/article-12-special-situations/section-151835-tiering-and-streamlining-the-analysis-of-greenhouse-gas-emissions" TargetMode="External"/><Relationship Id="rId4" Type="http://schemas.openxmlformats.org/officeDocument/2006/relationships/hyperlink" Target="https://www.ecfr.gov/current/title-44/chapter-I/subchapter-D/part-201/section-201.6"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EEB499-9F9B-470F-8690-0828DF1185E0}" type="doc">
      <dgm:prSet loTypeId="urn:microsoft.com/office/officeart/2005/8/layout/chevron1" loCatId="process" qsTypeId="urn:microsoft.com/office/officeart/2005/8/quickstyle/simple1" qsCatId="simple" csTypeId="urn:microsoft.com/office/officeart/2005/8/colors/accent1_2" csCatId="accent1" phldr="1"/>
      <dgm:spPr/>
    </dgm:pt>
    <dgm:pt modelId="{F8593256-4575-40FA-947F-E27200ECC419}">
      <dgm:prSet phldrT="[Text]" custT="1"/>
      <dgm:spPr>
        <a:solidFill>
          <a:schemeClr val="tx1"/>
        </a:solidFill>
      </dgm:spPr>
      <dgm:t>
        <a:bodyPr/>
        <a:lstStyle/>
        <a:p>
          <a:r>
            <a:rPr lang="en-US" sz="1200" b="1" dirty="0"/>
            <a:t>STEP 2.1</a:t>
          </a:r>
          <a:br>
            <a:rPr lang="en-US" sz="1200" b="1" dirty="0"/>
          </a:br>
          <a:r>
            <a:rPr lang="en-US" sz="1200" b="1" dirty="0"/>
            <a:t>HAZARD AND EXPOSURE</a:t>
          </a:r>
        </a:p>
      </dgm:t>
    </dgm:pt>
    <dgm:pt modelId="{FCF3BA7E-4D56-482B-BA4E-E5713BEFFD9D}" type="parTrans" cxnId="{D4C536B8-7323-494F-AD19-D0385521A48A}">
      <dgm:prSet/>
      <dgm:spPr/>
      <dgm:t>
        <a:bodyPr/>
        <a:lstStyle/>
        <a:p>
          <a:endParaRPr lang="en-US" sz="1200" b="1"/>
        </a:p>
      </dgm:t>
    </dgm:pt>
    <dgm:pt modelId="{41BF1D32-15AE-49D8-9137-CC77C9B83398}" type="sibTrans" cxnId="{D4C536B8-7323-494F-AD19-D0385521A48A}">
      <dgm:prSet/>
      <dgm:spPr/>
      <dgm:t>
        <a:bodyPr/>
        <a:lstStyle/>
        <a:p>
          <a:endParaRPr lang="en-US" sz="1200" b="1"/>
        </a:p>
      </dgm:t>
    </dgm:pt>
    <dgm:pt modelId="{7EBFE58C-E476-4C98-B544-956E13E0FB11}">
      <dgm:prSet phldrT="[Text]" custT="1"/>
      <dgm:spPr>
        <a:solidFill>
          <a:schemeClr val="tx1"/>
        </a:solidFill>
      </dgm:spPr>
      <dgm:t>
        <a:bodyPr/>
        <a:lstStyle/>
        <a:p>
          <a:r>
            <a:rPr lang="en-US" sz="1200" b="1" dirty="0"/>
            <a:t>STEP 2.2</a:t>
          </a:r>
          <a:br>
            <a:rPr lang="en-US" sz="1200" b="1" dirty="0"/>
          </a:br>
          <a:r>
            <a:rPr lang="en-US" sz="1200" b="1" dirty="0"/>
            <a:t>SENSITIVITY</a:t>
          </a:r>
          <a:br>
            <a:rPr lang="en-US" sz="1200" b="1" dirty="0"/>
          </a:br>
          <a:r>
            <a:rPr lang="en-US" sz="1200" b="1" dirty="0"/>
            <a:t>&amp; POTENTIAL IMPACTS</a:t>
          </a:r>
        </a:p>
      </dgm:t>
    </dgm:pt>
    <dgm:pt modelId="{C9143B3D-ADA9-4F2A-975A-6C95AD145687}" type="parTrans" cxnId="{5F702FB1-A4B9-48BD-A3FC-356AC21DF6F8}">
      <dgm:prSet/>
      <dgm:spPr/>
      <dgm:t>
        <a:bodyPr/>
        <a:lstStyle/>
        <a:p>
          <a:endParaRPr lang="en-US" sz="1200" b="1"/>
        </a:p>
      </dgm:t>
    </dgm:pt>
    <dgm:pt modelId="{E4DCD8DD-971B-4A61-895B-CD9BB443D92B}" type="sibTrans" cxnId="{5F702FB1-A4B9-48BD-A3FC-356AC21DF6F8}">
      <dgm:prSet/>
      <dgm:spPr/>
      <dgm:t>
        <a:bodyPr/>
        <a:lstStyle/>
        <a:p>
          <a:endParaRPr lang="en-US" sz="1200" b="1"/>
        </a:p>
      </dgm:t>
    </dgm:pt>
    <dgm:pt modelId="{A022B804-D034-4F08-BE2A-A80528F17DCC}">
      <dgm:prSet phldrT="[Text]" custT="1"/>
      <dgm:spPr>
        <a:solidFill>
          <a:schemeClr val="tx1"/>
        </a:solidFill>
      </dgm:spPr>
      <dgm:t>
        <a:bodyPr/>
        <a:lstStyle/>
        <a:p>
          <a:r>
            <a:rPr lang="en-US" sz="1200" b="1" dirty="0"/>
            <a:t>STEP 2.3</a:t>
          </a:r>
          <a:br>
            <a:rPr lang="en-US" sz="1200" b="1" dirty="0"/>
          </a:br>
          <a:r>
            <a:rPr lang="en-US" sz="1200" b="1" dirty="0"/>
            <a:t>ADAPTIVE CAPACITY</a:t>
          </a:r>
        </a:p>
      </dgm:t>
    </dgm:pt>
    <dgm:pt modelId="{613B503E-FA52-419D-8D5A-5F64A68CEC4C}" type="parTrans" cxnId="{33171A2A-08C0-4EA5-9717-4F12916989A2}">
      <dgm:prSet/>
      <dgm:spPr/>
      <dgm:t>
        <a:bodyPr/>
        <a:lstStyle/>
        <a:p>
          <a:endParaRPr lang="en-US" sz="1200" b="1"/>
        </a:p>
      </dgm:t>
    </dgm:pt>
    <dgm:pt modelId="{1C062D2B-1564-4771-8E7A-B8516AAE4908}" type="sibTrans" cxnId="{33171A2A-08C0-4EA5-9717-4F12916989A2}">
      <dgm:prSet/>
      <dgm:spPr/>
      <dgm:t>
        <a:bodyPr/>
        <a:lstStyle/>
        <a:p>
          <a:endParaRPr lang="en-US" sz="1200" b="1"/>
        </a:p>
      </dgm:t>
    </dgm:pt>
    <dgm:pt modelId="{36D6B5C6-8AB8-4C85-BA06-6D5456459A36}">
      <dgm:prSet phldrT="[Text]" custT="1"/>
      <dgm:spPr>
        <a:solidFill>
          <a:schemeClr val="tx1"/>
        </a:solidFill>
      </dgm:spPr>
      <dgm:t>
        <a:bodyPr/>
        <a:lstStyle/>
        <a:p>
          <a:r>
            <a:rPr lang="en-US" sz="1200" b="1" dirty="0"/>
            <a:t>STEP 2.4</a:t>
          </a:r>
          <a:br>
            <a:rPr lang="en-US" sz="1200" b="1" dirty="0"/>
          </a:br>
          <a:r>
            <a:rPr lang="en-US" sz="1200" b="1" dirty="0"/>
            <a:t>PRIORITIZE CLIMATE VULNERABILITY</a:t>
          </a:r>
        </a:p>
      </dgm:t>
    </dgm:pt>
    <dgm:pt modelId="{A2DE270F-4A47-42C5-969B-B97FB6A07945}" type="parTrans" cxnId="{D7D815A8-D173-4363-B6A7-CC6DED0E653A}">
      <dgm:prSet/>
      <dgm:spPr/>
      <dgm:t>
        <a:bodyPr/>
        <a:lstStyle/>
        <a:p>
          <a:endParaRPr lang="en-US"/>
        </a:p>
      </dgm:t>
    </dgm:pt>
    <dgm:pt modelId="{7492C8C5-7233-4BCD-A20C-D92668953D2D}" type="sibTrans" cxnId="{D7D815A8-D173-4363-B6A7-CC6DED0E653A}">
      <dgm:prSet/>
      <dgm:spPr/>
      <dgm:t>
        <a:bodyPr/>
        <a:lstStyle/>
        <a:p>
          <a:endParaRPr lang="en-US"/>
        </a:p>
      </dgm:t>
    </dgm:pt>
    <dgm:pt modelId="{5648DCCF-6D34-4347-9FD4-12680EA95EFF}" type="pres">
      <dgm:prSet presAssocID="{C3EEB499-9F9B-470F-8690-0828DF1185E0}" presName="Name0" presStyleCnt="0">
        <dgm:presLayoutVars>
          <dgm:dir/>
          <dgm:animLvl val="lvl"/>
          <dgm:resizeHandles val="exact"/>
        </dgm:presLayoutVars>
      </dgm:prSet>
      <dgm:spPr/>
    </dgm:pt>
    <dgm:pt modelId="{C33672DF-47CD-4199-988C-3A15B29317D1}" type="pres">
      <dgm:prSet presAssocID="{F8593256-4575-40FA-947F-E27200ECC419}" presName="parTxOnly" presStyleLbl="node1" presStyleIdx="0" presStyleCnt="4">
        <dgm:presLayoutVars>
          <dgm:chMax val="0"/>
          <dgm:chPref val="0"/>
          <dgm:bulletEnabled val="1"/>
        </dgm:presLayoutVars>
      </dgm:prSet>
      <dgm:spPr/>
    </dgm:pt>
    <dgm:pt modelId="{5529D2D5-FC03-43E5-B19C-435F8AB98B1F}" type="pres">
      <dgm:prSet presAssocID="{41BF1D32-15AE-49D8-9137-CC77C9B83398}" presName="parTxOnlySpace" presStyleCnt="0"/>
      <dgm:spPr/>
    </dgm:pt>
    <dgm:pt modelId="{323E865B-DFBB-48AA-B3D0-5202092AA441}" type="pres">
      <dgm:prSet presAssocID="{7EBFE58C-E476-4C98-B544-956E13E0FB11}" presName="parTxOnly" presStyleLbl="node1" presStyleIdx="1" presStyleCnt="4" custLinFactNeighborX="-92855" custLinFactNeighborY="0">
        <dgm:presLayoutVars>
          <dgm:chMax val="0"/>
          <dgm:chPref val="0"/>
          <dgm:bulletEnabled val="1"/>
        </dgm:presLayoutVars>
      </dgm:prSet>
      <dgm:spPr/>
    </dgm:pt>
    <dgm:pt modelId="{03DC93EB-86C7-48EC-B020-21BA41B10A58}" type="pres">
      <dgm:prSet presAssocID="{E4DCD8DD-971B-4A61-895B-CD9BB443D92B}" presName="parTxOnlySpace" presStyleCnt="0"/>
      <dgm:spPr/>
    </dgm:pt>
    <dgm:pt modelId="{362879F4-F4B3-4A2F-A201-0C94C9964FED}" type="pres">
      <dgm:prSet presAssocID="{A022B804-D034-4F08-BE2A-A80528F17DCC}" presName="parTxOnly" presStyleLbl="node1" presStyleIdx="2" presStyleCnt="4" custLinFactX="-8245" custLinFactNeighborX="-100000">
        <dgm:presLayoutVars>
          <dgm:chMax val="0"/>
          <dgm:chPref val="0"/>
          <dgm:bulletEnabled val="1"/>
        </dgm:presLayoutVars>
      </dgm:prSet>
      <dgm:spPr/>
    </dgm:pt>
    <dgm:pt modelId="{0557F657-3D65-45FD-98E3-FCB62D10FA01}" type="pres">
      <dgm:prSet presAssocID="{1C062D2B-1564-4771-8E7A-B8516AAE4908}" presName="parTxOnlySpace" presStyleCnt="0"/>
      <dgm:spPr/>
    </dgm:pt>
    <dgm:pt modelId="{5A4404FA-262B-40B1-A4EC-90A7E1A872B8}" type="pres">
      <dgm:prSet presAssocID="{36D6B5C6-8AB8-4C85-BA06-6D5456459A36}" presName="parTxOnly" presStyleLbl="node1" presStyleIdx="3" presStyleCnt="4" custLinFactX="-17368" custLinFactNeighborX="-100000">
        <dgm:presLayoutVars>
          <dgm:chMax val="0"/>
          <dgm:chPref val="0"/>
          <dgm:bulletEnabled val="1"/>
        </dgm:presLayoutVars>
      </dgm:prSet>
      <dgm:spPr/>
    </dgm:pt>
  </dgm:ptLst>
  <dgm:cxnLst>
    <dgm:cxn modelId="{97130D03-3A7D-420F-B303-314329C749A9}" type="presOf" srcId="{F8593256-4575-40FA-947F-E27200ECC419}" destId="{C33672DF-47CD-4199-988C-3A15B29317D1}" srcOrd="0" destOrd="0" presId="urn:microsoft.com/office/officeart/2005/8/layout/chevron1"/>
    <dgm:cxn modelId="{18F2DF1B-3B0D-4A60-806F-48E1D0C1686A}" type="presOf" srcId="{7EBFE58C-E476-4C98-B544-956E13E0FB11}" destId="{323E865B-DFBB-48AA-B3D0-5202092AA441}" srcOrd="0" destOrd="0" presId="urn:microsoft.com/office/officeart/2005/8/layout/chevron1"/>
    <dgm:cxn modelId="{8534361F-079E-4D95-A539-BDBEBA8B2D6B}" type="presOf" srcId="{A022B804-D034-4F08-BE2A-A80528F17DCC}" destId="{362879F4-F4B3-4A2F-A201-0C94C9964FED}" srcOrd="0" destOrd="0" presId="urn:microsoft.com/office/officeart/2005/8/layout/chevron1"/>
    <dgm:cxn modelId="{33171A2A-08C0-4EA5-9717-4F12916989A2}" srcId="{C3EEB499-9F9B-470F-8690-0828DF1185E0}" destId="{A022B804-D034-4F08-BE2A-A80528F17DCC}" srcOrd="2" destOrd="0" parTransId="{613B503E-FA52-419D-8D5A-5F64A68CEC4C}" sibTransId="{1C062D2B-1564-4771-8E7A-B8516AAE4908}"/>
    <dgm:cxn modelId="{40289291-4252-4603-8ABF-69D0716E4AA6}" type="presOf" srcId="{C3EEB499-9F9B-470F-8690-0828DF1185E0}" destId="{5648DCCF-6D34-4347-9FD4-12680EA95EFF}" srcOrd="0" destOrd="0" presId="urn:microsoft.com/office/officeart/2005/8/layout/chevron1"/>
    <dgm:cxn modelId="{D7D815A8-D173-4363-B6A7-CC6DED0E653A}" srcId="{C3EEB499-9F9B-470F-8690-0828DF1185E0}" destId="{36D6B5C6-8AB8-4C85-BA06-6D5456459A36}" srcOrd="3" destOrd="0" parTransId="{A2DE270F-4A47-42C5-969B-B97FB6A07945}" sibTransId="{7492C8C5-7233-4BCD-A20C-D92668953D2D}"/>
    <dgm:cxn modelId="{5F702FB1-A4B9-48BD-A3FC-356AC21DF6F8}" srcId="{C3EEB499-9F9B-470F-8690-0828DF1185E0}" destId="{7EBFE58C-E476-4C98-B544-956E13E0FB11}" srcOrd="1" destOrd="0" parTransId="{C9143B3D-ADA9-4F2A-975A-6C95AD145687}" sibTransId="{E4DCD8DD-971B-4A61-895B-CD9BB443D92B}"/>
    <dgm:cxn modelId="{D4C536B8-7323-494F-AD19-D0385521A48A}" srcId="{C3EEB499-9F9B-470F-8690-0828DF1185E0}" destId="{F8593256-4575-40FA-947F-E27200ECC419}" srcOrd="0" destOrd="0" parTransId="{FCF3BA7E-4D56-482B-BA4E-E5713BEFFD9D}" sibTransId="{41BF1D32-15AE-49D8-9137-CC77C9B83398}"/>
    <dgm:cxn modelId="{6AFE8EEA-9B02-49D4-B870-A1B315BB32D3}" type="presOf" srcId="{36D6B5C6-8AB8-4C85-BA06-6D5456459A36}" destId="{5A4404FA-262B-40B1-A4EC-90A7E1A872B8}" srcOrd="0" destOrd="0" presId="urn:microsoft.com/office/officeart/2005/8/layout/chevron1"/>
    <dgm:cxn modelId="{6BABB4FF-64E4-47F3-AD7F-8E0720041721}" type="presParOf" srcId="{5648DCCF-6D34-4347-9FD4-12680EA95EFF}" destId="{C33672DF-47CD-4199-988C-3A15B29317D1}" srcOrd="0" destOrd="0" presId="urn:microsoft.com/office/officeart/2005/8/layout/chevron1"/>
    <dgm:cxn modelId="{C1699DF9-1BE5-422B-95AC-56D951B1FB82}" type="presParOf" srcId="{5648DCCF-6D34-4347-9FD4-12680EA95EFF}" destId="{5529D2D5-FC03-43E5-B19C-435F8AB98B1F}" srcOrd="1" destOrd="0" presId="urn:microsoft.com/office/officeart/2005/8/layout/chevron1"/>
    <dgm:cxn modelId="{301816D0-64A7-4D25-8390-0C6933D7A1B2}" type="presParOf" srcId="{5648DCCF-6D34-4347-9FD4-12680EA95EFF}" destId="{323E865B-DFBB-48AA-B3D0-5202092AA441}" srcOrd="2" destOrd="0" presId="urn:microsoft.com/office/officeart/2005/8/layout/chevron1"/>
    <dgm:cxn modelId="{45EFFCDB-497C-4F8E-986E-B5767428C9AB}" type="presParOf" srcId="{5648DCCF-6D34-4347-9FD4-12680EA95EFF}" destId="{03DC93EB-86C7-48EC-B020-21BA41B10A58}" srcOrd="3" destOrd="0" presId="urn:microsoft.com/office/officeart/2005/8/layout/chevron1"/>
    <dgm:cxn modelId="{E6B05F6F-CF58-4C13-9ECC-7A194D160C1D}" type="presParOf" srcId="{5648DCCF-6D34-4347-9FD4-12680EA95EFF}" destId="{362879F4-F4B3-4A2F-A201-0C94C9964FED}" srcOrd="4" destOrd="0" presId="urn:microsoft.com/office/officeart/2005/8/layout/chevron1"/>
    <dgm:cxn modelId="{8F955956-AE1D-44EF-AE2D-D7E4F10E185D}" type="presParOf" srcId="{5648DCCF-6D34-4347-9FD4-12680EA95EFF}" destId="{0557F657-3D65-45FD-98E3-FCB62D10FA01}" srcOrd="5" destOrd="0" presId="urn:microsoft.com/office/officeart/2005/8/layout/chevron1"/>
    <dgm:cxn modelId="{38E24117-311F-44A8-B0BF-9B936E6A6DAE}" type="presParOf" srcId="{5648DCCF-6D34-4347-9FD4-12680EA95EFF}" destId="{5A4404FA-262B-40B1-A4EC-90A7E1A872B8}" srcOrd="6" destOrd="0" presId="urn:microsoft.com/office/officeart/2005/8/layout/chevron1"/>
  </dgm:cxnLst>
  <dgm:bg>
    <a:noFill/>
  </dgm:bg>
  <dgm:whole>
    <a:ln>
      <a:noFill/>
    </a:ln>
  </dgm:whole>
  <dgm:extLst>
    <a:ext uri="http://schemas.microsoft.com/office/drawing/2008/diagram">
      <dsp:dataModelExt xmlns:dsp="http://schemas.microsoft.com/office/drawing/2008/diagram" relId="rId1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8DDF1D-8379-4004-8C32-B45A94338477}" type="doc">
      <dgm:prSet loTypeId="urn:microsoft.com/office/officeart/2005/8/layout/chevron1" loCatId="process" qsTypeId="urn:microsoft.com/office/officeart/2005/8/quickstyle/simple1" qsCatId="simple" csTypeId="urn:microsoft.com/office/officeart/2005/8/colors/accent1_2" csCatId="accent1" phldr="1"/>
      <dgm:spPr/>
    </dgm:pt>
    <dgm:pt modelId="{780F7892-08ED-4D8F-A23D-869DA8E354C9}">
      <dgm:prSet phldrT="[Text]" custT="1"/>
      <dgm:spPr>
        <a:solidFill>
          <a:schemeClr val="tx1"/>
        </a:solidFill>
        <a:ln>
          <a:noFill/>
        </a:ln>
      </dgm:spPr>
      <dgm:t>
        <a:bodyPr/>
        <a:lstStyle/>
        <a:p>
          <a:r>
            <a:rPr lang="en-US" sz="1200" b="1" dirty="0"/>
            <a:t>  OUTREACH &amp; ENGAGEMENT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872423E-8AF0-4808-9326-295972FA4169}" type="sibTrans" cxnId="{19D124F2-D1C7-4E98-836D-EDF0513DDFFC}">
      <dgm:prSet/>
      <dgm:spPr/>
      <dgm:t>
        <a:bodyPr/>
        <a:lstStyle/>
        <a:p>
          <a:endParaRPr lang="en-US" sz="1200"/>
        </a:p>
      </dgm:t>
    </dgm:pt>
    <dgm:pt modelId="{DE09BC7E-D862-4499-B712-424320AB7663}" type="parTrans" cxnId="{19D124F2-D1C7-4E98-836D-EDF0513DDFFC}">
      <dgm:prSet/>
      <dgm:spPr/>
      <dgm:t>
        <a:bodyPr/>
        <a:lstStyle/>
        <a:p>
          <a:endParaRPr lang="en-US" sz="1200"/>
        </a:p>
      </dgm:t>
    </dgm:pt>
    <dgm:pt modelId="{03030952-8454-46D2-AEA2-CA59C4309235}" type="pres">
      <dgm:prSet presAssocID="{B48DDF1D-8379-4004-8C32-B45A94338477}" presName="Name0" presStyleCnt="0">
        <dgm:presLayoutVars>
          <dgm:dir/>
          <dgm:animLvl val="lvl"/>
          <dgm:resizeHandles val="exact"/>
        </dgm:presLayoutVars>
      </dgm:prSet>
      <dgm:spPr/>
    </dgm:pt>
    <dgm:pt modelId="{016366A1-98CF-4A0C-8C6F-E7149B6C3955}" type="pres">
      <dgm:prSet presAssocID="{780F7892-08ED-4D8F-A23D-869DA8E354C9}" presName="parTxOnly" presStyleLbl="node1" presStyleIdx="0" presStyleCnt="1" custScaleX="98566">
        <dgm:presLayoutVars>
          <dgm:chMax val="0"/>
          <dgm:chPref val="0"/>
          <dgm:bulletEnabled val="1"/>
        </dgm:presLayoutVars>
      </dgm:prSet>
      <dgm:spPr/>
    </dgm:pt>
  </dgm:ptLst>
  <dgm:cxnLst>
    <dgm:cxn modelId="{892B6621-EB19-4184-9E14-79FB40A64F43}" type="presOf" srcId="{780F7892-08ED-4D8F-A23D-869DA8E354C9}" destId="{016366A1-98CF-4A0C-8C6F-E7149B6C3955}" srcOrd="0" destOrd="0" presId="urn:microsoft.com/office/officeart/2005/8/layout/chevron1"/>
    <dgm:cxn modelId="{4CA3488A-03D8-4AFB-BF5F-6F3F4C1E7C01}" type="presOf" srcId="{B48DDF1D-8379-4004-8C32-B45A94338477}" destId="{03030952-8454-46D2-AEA2-CA59C4309235}" srcOrd="0" destOrd="0" presId="urn:microsoft.com/office/officeart/2005/8/layout/chevron1"/>
    <dgm:cxn modelId="{19D124F2-D1C7-4E98-836D-EDF0513DDFFC}" srcId="{B48DDF1D-8379-4004-8C32-B45A94338477}" destId="{780F7892-08ED-4D8F-A23D-869DA8E354C9}" srcOrd="0" destOrd="0" parTransId="{DE09BC7E-D862-4499-B712-424320AB7663}" sibTransId="{3872423E-8AF0-4808-9326-295972FA4169}"/>
    <dgm:cxn modelId="{121F2A5C-4BF9-4309-ADF6-809579FBD3FE}" type="presParOf" srcId="{03030952-8454-46D2-AEA2-CA59C4309235}" destId="{016366A1-98CF-4A0C-8C6F-E7149B6C3955}" srcOrd="0" destOrd="0" presId="urn:microsoft.com/office/officeart/2005/8/layout/chevron1"/>
  </dgm:cxnLst>
  <dgm:bg/>
  <dgm:whole/>
  <dgm:extLst>
    <a:ext uri="http://schemas.microsoft.com/office/drawing/2008/diagram">
      <dsp:dataModelExt xmlns:dsp="http://schemas.microsoft.com/office/drawing/2008/diagram" relId="rId2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8DDF1D-8379-4004-8C32-B45A94338477}" type="doc">
      <dgm:prSet loTypeId="urn:microsoft.com/office/officeart/2005/8/layout/chevron1" loCatId="process" qsTypeId="urn:microsoft.com/office/officeart/2005/8/quickstyle/simple1" qsCatId="simple" csTypeId="urn:microsoft.com/office/officeart/2005/8/colors/accent1_2" csCatId="accent1" phldr="1"/>
      <dgm:spPr/>
    </dgm:pt>
    <dgm:pt modelId="{780F7892-08ED-4D8F-A23D-869DA8E354C9}">
      <dgm:prSet phldrT="[Text]" custT="1"/>
      <dgm:spPr>
        <a:solidFill>
          <a:schemeClr val="tx1"/>
        </a:solidFill>
        <a:ln>
          <a:noFill/>
        </a:ln>
      </dgm:spPr>
      <dgm:t>
        <a:bodyPr/>
        <a:lstStyle/>
        <a:p>
          <a:r>
            <a:rPr lang="en-US" sz="1200" b="1" dirty="0"/>
            <a:t>  OUTREACH &amp; ENGAGEMENT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872423E-8AF0-4808-9326-295972FA4169}" type="sibTrans" cxnId="{19D124F2-D1C7-4E98-836D-EDF0513DDFFC}">
      <dgm:prSet/>
      <dgm:spPr/>
      <dgm:t>
        <a:bodyPr/>
        <a:lstStyle/>
        <a:p>
          <a:endParaRPr lang="en-US" sz="1200"/>
        </a:p>
      </dgm:t>
    </dgm:pt>
    <dgm:pt modelId="{DE09BC7E-D862-4499-B712-424320AB7663}" type="parTrans" cxnId="{19D124F2-D1C7-4E98-836D-EDF0513DDFFC}">
      <dgm:prSet/>
      <dgm:spPr/>
      <dgm:t>
        <a:bodyPr/>
        <a:lstStyle/>
        <a:p>
          <a:endParaRPr lang="en-US" sz="1200"/>
        </a:p>
      </dgm:t>
    </dgm:pt>
    <dgm:pt modelId="{03030952-8454-46D2-AEA2-CA59C4309235}" type="pres">
      <dgm:prSet presAssocID="{B48DDF1D-8379-4004-8C32-B45A94338477}" presName="Name0" presStyleCnt="0">
        <dgm:presLayoutVars>
          <dgm:dir/>
          <dgm:animLvl val="lvl"/>
          <dgm:resizeHandles val="exact"/>
        </dgm:presLayoutVars>
      </dgm:prSet>
      <dgm:spPr/>
    </dgm:pt>
    <dgm:pt modelId="{016366A1-98CF-4A0C-8C6F-E7149B6C3955}" type="pres">
      <dgm:prSet presAssocID="{780F7892-08ED-4D8F-A23D-869DA8E354C9}" presName="parTxOnly" presStyleLbl="node1" presStyleIdx="0" presStyleCnt="1" custScaleX="90514">
        <dgm:presLayoutVars>
          <dgm:chMax val="0"/>
          <dgm:chPref val="0"/>
          <dgm:bulletEnabled val="1"/>
        </dgm:presLayoutVars>
      </dgm:prSet>
      <dgm:spPr/>
    </dgm:pt>
  </dgm:ptLst>
  <dgm:cxnLst>
    <dgm:cxn modelId="{892B6621-EB19-4184-9E14-79FB40A64F43}" type="presOf" srcId="{780F7892-08ED-4D8F-A23D-869DA8E354C9}" destId="{016366A1-98CF-4A0C-8C6F-E7149B6C3955}" srcOrd="0" destOrd="0" presId="urn:microsoft.com/office/officeart/2005/8/layout/chevron1"/>
    <dgm:cxn modelId="{4CA3488A-03D8-4AFB-BF5F-6F3F4C1E7C01}" type="presOf" srcId="{B48DDF1D-8379-4004-8C32-B45A94338477}" destId="{03030952-8454-46D2-AEA2-CA59C4309235}" srcOrd="0" destOrd="0" presId="urn:microsoft.com/office/officeart/2005/8/layout/chevron1"/>
    <dgm:cxn modelId="{19D124F2-D1C7-4E98-836D-EDF0513DDFFC}" srcId="{B48DDF1D-8379-4004-8C32-B45A94338477}" destId="{780F7892-08ED-4D8F-A23D-869DA8E354C9}" srcOrd="0" destOrd="0" parTransId="{DE09BC7E-D862-4499-B712-424320AB7663}" sibTransId="{3872423E-8AF0-4808-9326-295972FA4169}"/>
    <dgm:cxn modelId="{121F2A5C-4BF9-4309-ADF6-809579FBD3FE}" type="presParOf" srcId="{03030952-8454-46D2-AEA2-CA59C4309235}" destId="{016366A1-98CF-4A0C-8C6F-E7149B6C3955}" srcOrd="0" destOrd="0" presId="urn:microsoft.com/office/officeart/2005/8/layout/chevron1"/>
  </dgm:cxnLst>
  <dgm:bg/>
  <dgm:whole/>
  <dgm:extLst>
    <a:ext uri="http://schemas.microsoft.com/office/drawing/2008/diagram">
      <dsp:dataModelExt xmlns:dsp="http://schemas.microsoft.com/office/drawing/2008/diagram" relId="rId28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3EEB499-9F9B-470F-8690-0828DF1185E0}" type="doc">
      <dgm:prSet loTypeId="urn:microsoft.com/office/officeart/2005/8/layout/chevron1" loCatId="process" qsTypeId="urn:microsoft.com/office/officeart/2005/8/quickstyle/simple1" qsCatId="simple" csTypeId="urn:microsoft.com/office/officeart/2005/8/colors/accent1_2" csCatId="accent1" phldr="1"/>
      <dgm:spPr/>
    </dgm:pt>
    <dgm:pt modelId="{F8593256-4575-40FA-947F-E27200ECC419}">
      <dgm:prSet phldrT="[Text]" custT="1"/>
      <dgm:spPr>
        <a:solidFill>
          <a:schemeClr val="tx1"/>
        </a:solidFill>
      </dgm:spPr>
      <dgm:t>
        <a:bodyPr/>
        <a:lstStyle/>
        <a:p>
          <a:pPr algn="ctr"/>
          <a:r>
            <a:rPr lang="en-US" sz="1200" b="1" dirty="0">
              <a:latin typeface="Century Gothic" panose="020B0502020202020204" pitchFamily="34" charset="0"/>
            </a:rPr>
            <a:t>STEP 4.1</a:t>
          </a:r>
          <a:br>
            <a:rPr lang="en-US" sz="1200" b="1" dirty="0">
              <a:latin typeface="Century Gothic" panose="020B0502020202020204" pitchFamily="34" charset="0"/>
            </a:rPr>
          </a:br>
          <a:r>
            <a:rPr lang="en-US" sz="1200" b="1" dirty="0">
              <a:latin typeface="Century Gothic" panose="020B0502020202020204" pitchFamily="34" charset="0"/>
            </a:rPr>
            <a:t>IMPLEMENT</a:t>
          </a:r>
        </a:p>
      </dgm:t>
    </dgm:pt>
    <dgm:pt modelId="{FCF3BA7E-4D56-482B-BA4E-E5713BEFFD9D}" type="parTrans" cxnId="{D4C536B8-7323-494F-AD19-D0385521A48A}">
      <dgm:prSet/>
      <dgm:spPr/>
      <dgm:t>
        <a:bodyPr/>
        <a:lstStyle/>
        <a:p>
          <a:pPr algn="ctr"/>
          <a:endParaRPr lang="en-US" sz="1200" b="1">
            <a:latin typeface="Century Gothic" panose="020B0502020202020204" pitchFamily="34" charset="0"/>
          </a:endParaRPr>
        </a:p>
      </dgm:t>
    </dgm:pt>
    <dgm:pt modelId="{41BF1D32-15AE-49D8-9137-CC77C9B83398}" type="sibTrans" cxnId="{D4C536B8-7323-494F-AD19-D0385521A48A}">
      <dgm:prSet/>
      <dgm:spPr/>
      <dgm:t>
        <a:bodyPr/>
        <a:lstStyle/>
        <a:p>
          <a:pPr algn="ctr"/>
          <a:endParaRPr lang="en-US" sz="1200" b="1">
            <a:latin typeface="Century Gothic" panose="020B0502020202020204" pitchFamily="34" charset="0"/>
          </a:endParaRPr>
        </a:p>
      </dgm:t>
    </dgm:pt>
    <dgm:pt modelId="{7EBFE58C-E476-4C98-B544-956E13E0FB11}">
      <dgm:prSet phldrT="[Text]" custT="1"/>
      <dgm:spPr>
        <a:solidFill>
          <a:schemeClr val="tx1"/>
        </a:solidFill>
      </dgm:spPr>
      <dgm:t>
        <a:bodyPr/>
        <a:lstStyle/>
        <a:p>
          <a:pPr algn="ctr"/>
          <a:r>
            <a:rPr lang="en-US" sz="1200" b="1" dirty="0">
              <a:latin typeface="Century Gothic" panose="020B0502020202020204" pitchFamily="34" charset="0"/>
            </a:rPr>
            <a:t>STEP 4.2</a:t>
          </a:r>
          <a:br>
            <a:rPr lang="en-US" sz="1200" b="1" dirty="0">
              <a:latin typeface="Century Gothic" panose="020B0502020202020204" pitchFamily="34" charset="0"/>
            </a:rPr>
          </a:br>
          <a:r>
            <a:rPr lang="en-US" sz="1200" b="1" dirty="0">
              <a:latin typeface="Century Gothic" panose="020B0502020202020204" pitchFamily="34" charset="0"/>
            </a:rPr>
            <a:t>MONITOR &amp; EVALUATE</a:t>
          </a:r>
        </a:p>
      </dgm:t>
    </dgm:pt>
    <dgm:pt modelId="{C9143B3D-ADA9-4F2A-975A-6C95AD145687}" type="parTrans" cxnId="{5F702FB1-A4B9-48BD-A3FC-356AC21DF6F8}">
      <dgm:prSet/>
      <dgm:spPr/>
      <dgm:t>
        <a:bodyPr/>
        <a:lstStyle/>
        <a:p>
          <a:pPr algn="ctr"/>
          <a:endParaRPr lang="en-US" sz="1200" b="1">
            <a:latin typeface="Century Gothic" panose="020B0502020202020204" pitchFamily="34" charset="0"/>
          </a:endParaRPr>
        </a:p>
      </dgm:t>
    </dgm:pt>
    <dgm:pt modelId="{E4DCD8DD-971B-4A61-895B-CD9BB443D92B}" type="sibTrans" cxnId="{5F702FB1-A4B9-48BD-A3FC-356AC21DF6F8}">
      <dgm:prSet/>
      <dgm:spPr/>
      <dgm:t>
        <a:bodyPr/>
        <a:lstStyle/>
        <a:p>
          <a:pPr algn="ctr"/>
          <a:endParaRPr lang="en-US" sz="1200" b="1">
            <a:latin typeface="Century Gothic" panose="020B0502020202020204" pitchFamily="34" charset="0"/>
          </a:endParaRPr>
        </a:p>
      </dgm:t>
    </dgm:pt>
    <dgm:pt modelId="{A022B804-D034-4F08-BE2A-A80528F17DCC}">
      <dgm:prSet phldrT="[Text]" custT="1"/>
      <dgm:spPr>
        <a:solidFill>
          <a:schemeClr val="tx1"/>
        </a:solidFill>
      </dgm:spPr>
      <dgm:t>
        <a:bodyPr/>
        <a:lstStyle/>
        <a:p>
          <a:pPr algn="ctr"/>
          <a:r>
            <a:rPr lang="en-US" sz="1200" b="1" dirty="0">
              <a:latin typeface="Century Gothic" panose="020B0502020202020204" pitchFamily="34" charset="0"/>
            </a:rPr>
            <a:t>STEP 4.3</a:t>
          </a:r>
          <a:br>
            <a:rPr lang="en-US" sz="1200" b="1" dirty="0">
              <a:latin typeface="Century Gothic" panose="020B0502020202020204" pitchFamily="34" charset="0"/>
            </a:rPr>
          </a:br>
          <a:r>
            <a:rPr lang="en-US" sz="1200" b="1" dirty="0">
              <a:latin typeface="Century Gothic" panose="020B0502020202020204" pitchFamily="34" charset="0"/>
            </a:rPr>
            <a:t>ADJUST</a:t>
          </a:r>
        </a:p>
      </dgm:t>
    </dgm:pt>
    <dgm:pt modelId="{613B503E-FA52-419D-8D5A-5F64A68CEC4C}" type="parTrans" cxnId="{33171A2A-08C0-4EA5-9717-4F12916989A2}">
      <dgm:prSet/>
      <dgm:spPr/>
      <dgm:t>
        <a:bodyPr/>
        <a:lstStyle/>
        <a:p>
          <a:pPr algn="ctr"/>
          <a:endParaRPr lang="en-US" sz="1200" b="1">
            <a:latin typeface="Century Gothic" panose="020B0502020202020204" pitchFamily="34" charset="0"/>
          </a:endParaRPr>
        </a:p>
      </dgm:t>
    </dgm:pt>
    <dgm:pt modelId="{1C062D2B-1564-4771-8E7A-B8516AAE4908}" type="sibTrans" cxnId="{33171A2A-08C0-4EA5-9717-4F12916989A2}">
      <dgm:prSet/>
      <dgm:spPr/>
      <dgm:t>
        <a:bodyPr/>
        <a:lstStyle/>
        <a:p>
          <a:pPr algn="ctr"/>
          <a:endParaRPr lang="en-US" sz="1200" b="1">
            <a:latin typeface="Century Gothic" panose="020B0502020202020204" pitchFamily="34" charset="0"/>
          </a:endParaRPr>
        </a:p>
      </dgm:t>
    </dgm:pt>
    <dgm:pt modelId="{5648DCCF-6D34-4347-9FD4-12680EA95EFF}" type="pres">
      <dgm:prSet presAssocID="{C3EEB499-9F9B-470F-8690-0828DF1185E0}" presName="Name0" presStyleCnt="0">
        <dgm:presLayoutVars>
          <dgm:dir/>
          <dgm:animLvl val="lvl"/>
          <dgm:resizeHandles val="exact"/>
        </dgm:presLayoutVars>
      </dgm:prSet>
      <dgm:spPr/>
    </dgm:pt>
    <dgm:pt modelId="{C33672DF-47CD-4199-988C-3A15B29317D1}" type="pres">
      <dgm:prSet presAssocID="{F8593256-4575-40FA-947F-E27200ECC419}" presName="parTxOnly" presStyleLbl="node1" presStyleIdx="0" presStyleCnt="3">
        <dgm:presLayoutVars>
          <dgm:chMax val="0"/>
          <dgm:chPref val="0"/>
          <dgm:bulletEnabled val="1"/>
        </dgm:presLayoutVars>
      </dgm:prSet>
      <dgm:spPr/>
    </dgm:pt>
    <dgm:pt modelId="{5529D2D5-FC03-43E5-B19C-435F8AB98B1F}" type="pres">
      <dgm:prSet presAssocID="{41BF1D32-15AE-49D8-9137-CC77C9B83398}" presName="parTxOnlySpace" presStyleCnt="0"/>
      <dgm:spPr/>
    </dgm:pt>
    <dgm:pt modelId="{323E865B-DFBB-48AA-B3D0-5202092AA441}" type="pres">
      <dgm:prSet presAssocID="{7EBFE58C-E476-4C98-B544-956E13E0FB11}" presName="parTxOnly" presStyleLbl="node1" presStyleIdx="1" presStyleCnt="3">
        <dgm:presLayoutVars>
          <dgm:chMax val="0"/>
          <dgm:chPref val="0"/>
          <dgm:bulletEnabled val="1"/>
        </dgm:presLayoutVars>
      </dgm:prSet>
      <dgm:spPr/>
    </dgm:pt>
    <dgm:pt modelId="{03DC93EB-86C7-48EC-B020-21BA41B10A58}" type="pres">
      <dgm:prSet presAssocID="{E4DCD8DD-971B-4A61-895B-CD9BB443D92B}" presName="parTxOnlySpace" presStyleCnt="0"/>
      <dgm:spPr/>
    </dgm:pt>
    <dgm:pt modelId="{362879F4-F4B3-4A2F-A201-0C94C9964FED}" type="pres">
      <dgm:prSet presAssocID="{A022B804-D034-4F08-BE2A-A80528F17DCC}" presName="parTxOnly" presStyleLbl="node1" presStyleIdx="2" presStyleCnt="3">
        <dgm:presLayoutVars>
          <dgm:chMax val="0"/>
          <dgm:chPref val="0"/>
          <dgm:bulletEnabled val="1"/>
        </dgm:presLayoutVars>
      </dgm:prSet>
      <dgm:spPr/>
    </dgm:pt>
  </dgm:ptLst>
  <dgm:cxnLst>
    <dgm:cxn modelId="{97130D03-3A7D-420F-B303-314329C749A9}" type="presOf" srcId="{F8593256-4575-40FA-947F-E27200ECC419}" destId="{C33672DF-47CD-4199-988C-3A15B29317D1}" srcOrd="0" destOrd="0" presId="urn:microsoft.com/office/officeart/2005/8/layout/chevron1"/>
    <dgm:cxn modelId="{18F2DF1B-3B0D-4A60-806F-48E1D0C1686A}" type="presOf" srcId="{7EBFE58C-E476-4C98-B544-956E13E0FB11}" destId="{323E865B-DFBB-48AA-B3D0-5202092AA441}" srcOrd="0" destOrd="0" presId="urn:microsoft.com/office/officeart/2005/8/layout/chevron1"/>
    <dgm:cxn modelId="{8534361F-079E-4D95-A539-BDBEBA8B2D6B}" type="presOf" srcId="{A022B804-D034-4F08-BE2A-A80528F17DCC}" destId="{362879F4-F4B3-4A2F-A201-0C94C9964FED}" srcOrd="0" destOrd="0" presId="urn:microsoft.com/office/officeart/2005/8/layout/chevron1"/>
    <dgm:cxn modelId="{33171A2A-08C0-4EA5-9717-4F12916989A2}" srcId="{C3EEB499-9F9B-470F-8690-0828DF1185E0}" destId="{A022B804-D034-4F08-BE2A-A80528F17DCC}" srcOrd="2" destOrd="0" parTransId="{613B503E-FA52-419D-8D5A-5F64A68CEC4C}" sibTransId="{1C062D2B-1564-4771-8E7A-B8516AAE4908}"/>
    <dgm:cxn modelId="{40289291-4252-4603-8ABF-69D0716E4AA6}" type="presOf" srcId="{C3EEB499-9F9B-470F-8690-0828DF1185E0}" destId="{5648DCCF-6D34-4347-9FD4-12680EA95EFF}" srcOrd="0" destOrd="0" presId="urn:microsoft.com/office/officeart/2005/8/layout/chevron1"/>
    <dgm:cxn modelId="{5F702FB1-A4B9-48BD-A3FC-356AC21DF6F8}" srcId="{C3EEB499-9F9B-470F-8690-0828DF1185E0}" destId="{7EBFE58C-E476-4C98-B544-956E13E0FB11}" srcOrd="1" destOrd="0" parTransId="{C9143B3D-ADA9-4F2A-975A-6C95AD145687}" sibTransId="{E4DCD8DD-971B-4A61-895B-CD9BB443D92B}"/>
    <dgm:cxn modelId="{D4C536B8-7323-494F-AD19-D0385521A48A}" srcId="{C3EEB499-9F9B-470F-8690-0828DF1185E0}" destId="{F8593256-4575-40FA-947F-E27200ECC419}" srcOrd="0" destOrd="0" parTransId="{FCF3BA7E-4D56-482B-BA4E-E5713BEFFD9D}" sibTransId="{41BF1D32-15AE-49D8-9137-CC77C9B83398}"/>
    <dgm:cxn modelId="{6BABB4FF-64E4-47F3-AD7F-8E0720041721}" type="presParOf" srcId="{5648DCCF-6D34-4347-9FD4-12680EA95EFF}" destId="{C33672DF-47CD-4199-988C-3A15B29317D1}" srcOrd="0" destOrd="0" presId="urn:microsoft.com/office/officeart/2005/8/layout/chevron1"/>
    <dgm:cxn modelId="{C1699DF9-1BE5-422B-95AC-56D951B1FB82}" type="presParOf" srcId="{5648DCCF-6D34-4347-9FD4-12680EA95EFF}" destId="{5529D2D5-FC03-43E5-B19C-435F8AB98B1F}" srcOrd="1" destOrd="0" presId="urn:microsoft.com/office/officeart/2005/8/layout/chevron1"/>
    <dgm:cxn modelId="{301816D0-64A7-4D25-8390-0C6933D7A1B2}" type="presParOf" srcId="{5648DCCF-6D34-4347-9FD4-12680EA95EFF}" destId="{323E865B-DFBB-48AA-B3D0-5202092AA441}" srcOrd="2" destOrd="0" presId="urn:microsoft.com/office/officeart/2005/8/layout/chevron1"/>
    <dgm:cxn modelId="{45EFFCDB-497C-4F8E-986E-B5767428C9AB}" type="presParOf" srcId="{5648DCCF-6D34-4347-9FD4-12680EA95EFF}" destId="{03DC93EB-86C7-48EC-B020-21BA41B10A58}" srcOrd="3" destOrd="0" presId="urn:microsoft.com/office/officeart/2005/8/layout/chevron1"/>
    <dgm:cxn modelId="{E6B05F6F-CF58-4C13-9ECC-7A194D160C1D}" type="presParOf" srcId="{5648DCCF-6D34-4347-9FD4-12680EA95EFF}" destId="{362879F4-F4B3-4A2F-A201-0C94C9964FED}" srcOrd="4" destOrd="0" presId="urn:microsoft.com/office/officeart/2005/8/layout/chevron1"/>
  </dgm:cxnLst>
  <dgm:bg>
    <a:noFill/>
  </dgm:bg>
  <dgm:whole>
    <a:ln>
      <a:noFill/>
    </a:ln>
  </dgm:whole>
  <dgm:extLst>
    <a:ext uri="http://schemas.microsoft.com/office/drawing/2008/diagram">
      <dsp:dataModelExt xmlns:dsp="http://schemas.microsoft.com/office/drawing/2008/diagram" relId="rId2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3672DF-47CD-4199-988C-3A15B29317D1}">
      <dsp:nvSpPr>
        <dsp:cNvPr id="0" name=""/>
        <dsp:cNvSpPr/>
      </dsp:nvSpPr>
      <dsp:spPr>
        <a:xfrm>
          <a:off x="3363" y="69458"/>
          <a:ext cx="1957757" cy="783103"/>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STEP 2.1</a:t>
          </a:r>
          <a:br>
            <a:rPr lang="en-US" sz="1200" b="1" kern="1200" dirty="0"/>
          </a:br>
          <a:r>
            <a:rPr lang="en-US" sz="1200" b="1" kern="1200" dirty="0"/>
            <a:t>HAZARD AND EXPOSURE</a:t>
          </a:r>
        </a:p>
      </dsp:txBody>
      <dsp:txXfrm>
        <a:off x="394915" y="69458"/>
        <a:ext cx="1174654" cy="783103"/>
      </dsp:txXfrm>
    </dsp:sp>
    <dsp:sp modelId="{323E865B-DFBB-48AA-B3D0-5202092AA441}">
      <dsp:nvSpPr>
        <dsp:cNvPr id="0" name=""/>
        <dsp:cNvSpPr/>
      </dsp:nvSpPr>
      <dsp:spPr>
        <a:xfrm>
          <a:off x="1583557" y="69458"/>
          <a:ext cx="1957757" cy="783103"/>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STEP 2.2</a:t>
          </a:r>
          <a:br>
            <a:rPr lang="en-US" sz="1200" b="1" kern="1200" dirty="0"/>
          </a:br>
          <a:r>
            <a:rPr lang="en-US" sz="1200" b="1" kern="1200" dirty="0"/>
            <a:t>SENSITIVITY</a:t>
          </a:r>
          <a:br>
            <a:rPr lang="en-US" sz="1200" b="1" kern="1200" dirty="0"/>
          </a:br>
          <a:r>
            <a:rPr lang="en-US" sz="1200" b="1" kern="1200" dirty="0"/>
            <a:t>&amp; POTENTIAL IMPACTS</a:t>
          </a:r>
        </a:p>
      </dsp:txBody>
      <dsp:txXfrm>
        <a:off x="1975109" y="69458"/>
        <a:ext cx="1174654" cy="783103"/>
      </dsp:txXfrm>
    </dsp:sp>
    <dsp:sp modelId="{362879F4-F4B3-4A2F-A201-0C94C9964FED}">
      <dsp:nvSpPr>
        <dsp:cNvPr id="0" name=""/>
        <dsp:cNvSpPr/>
      </dsp:nvSpPr>
      <dsp:spPr>
        <a:xfrm>
          <a:off x="3170134" y="69458"/>
          <a:ext cx="1957757" cy="783103"/>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STEP 2.3</a:t>
          </a:r>
          <a:br>
            <a:rPr lang="en-US" sz="1200" b="1" kern="1200" dirty="0"/>
          </a:br>
          <a:r>
            <a:rPr lang="en-US" sz="1200" b="1" kern="1200" dirty="0"/>
            <a:t>ADAPTIVE CAPACITY</a:t>
          </a:r>
        </a:p>
      </dsp:txBody>
      <dsp:txXfrm>
        <a:off x="3561686" y="69458"/>
        <a:ext cx="1174654" cy="783103"/>
      </dsp:txXfrm>
    </dsp:sp>
    <dsp:sp modelId="{5A4404FA-262B-40B1-A4EC-90A7E1A872B8}">
      <dsp:nvSpPr>
        <dsp:cNvPr id="0" name=""/>
        <dsp:cNvSpPr/>
      </dsp:nvSpPr>
      <dsp:spPr>
        <a:xfrm>
          <a:off x="4753509" y="69458"/>
          <a:ext cx="1957757" cy="783103"/>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STEP 2.4</a:t>
          </a:r>
          <a:br>
            <a:rPr lang="en-US" sz="1200" b="1" kern="1200" dirty="0"/>
          </a:br>
          <a:r>
            <a:rPr lang="en-US" sz="1200" b="1" kern="1200" dirty="0"/>
            <a:t>PRIORITIZE CLIMATE VULNERABILITY</a:t>
          </a:r>
        </a:p>
      </dsp:txBody>
      <dsp:txXfrm>
        <a:off x="5145061" y="69458"/>
        <a:ext cx="1174654" cy="7831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6366A1-98CF-4A0C-8C6F-E7149B6C3955}">
      <dsp:nvSpPr>
        <dsp:cNvPr id="0" name=""/>
        <dsp:cNvSpPr/>
      </dsp:nvSpPr>
      <dsp:spPr>
        <a:xfrm>
          <a:off x="45262" y="0"/>
          <a:ext cx="5825135" cy="360045"/>
        </a:xfrm>
        <a:prstGeom prst="chevron">
          <a:avLst/>
        </a:prstGeom>
        <a:solidFill>
          <a:schemeClr val="tx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  OUTREACH &amp; ENGAGEMENT</a:t>
          </a:r>
        </a:p>
      </dsp:txBody>
      <dsp:txXfrm>
        <a:off x="225285" y="0"/>
        <a:ext cx="5465090" cy="3600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6366A1-98CF-4A0C-8C6F-E7149B6C3955}">
      <dsp:nvSpPr>
        <dsp:cNvPr id="0" name=""/>
        <dsp:cNvSpPr/>
      </dsp:nvSpPr>
      <dsp:spPr>
        <a:xfrm>
          <a:off x="225710" y="0"/>
          <a:ext cx="4263454" cy="360045"/>
        </a:xfrm>
        <a:prstGeom prst="chevron">
          <a:avLst/>
        </a:prstGeom>
        <a:solidFill>
          <a:schemeClr val="tx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t>  OUTREACH &amp; ENGAGEMENT</a:t>
          </a:r>
        </a:p>
      </dsp:txBody>
      <dsp:txXfrm>
        <a:off x="405733" y="0"/>
        <a:ext cx="3903409" cy="3600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3672DF-47CD-4199-988C-3A15B29317D1}">
      <dsp:nvSpPr>
        <dsp:cNvPr id="0" name=""/>
        <dsp:cNvSpPr/>
      </dsp:nvSpPr>
      <dsp:spPr>
        <a:xfrm>
          <a:off x="1260" y="89646"/>
          <a:ext cx="1535346" cy="614138"/>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Century Gothic" panose="020B0502020202020204" pitchFamily="34" charset="0"/>
            </a:rPr>
            <a:t>STEP 4.1</a:t>
          </a:r>
          <a:br>
            <a:rPr lang="en-US" sz="1200" b="1" kern="1200" dirty="0">
              <a:latin typeface="Century Gothic" panose="020B0502020202020204" pitchFamily="34" charset="0"/>
            </a:rPr>
          </a:br>
          <a:r>
            <a:rPr lang="en-US" sz="1200" b="1" kern="1200" dirty="0">
              <a:latin typeface="Century Gothic" panose="020B0502020202020204" pitchFamily="34" charset="0"/>
            </a:rPr>
            <a:t>IMPLEMENT</a:t>
          </a:r>
        </a:p>
      </dsp:txBody>
      <dsp:txXfrm>
        <a:off x="308329" y="89646"/>
        <a:ext cx="921208" cy="614138"/>
      </dsp:txXfrm>
    </dsp:sp>
    <dsp:sp modelId="{323E865B-DFBB-48AA-B3D0-5202092AA441}">
      <dsp:nvSpPr>
        <dsp:cNvPr id="0" name=""/>
        <dsp:cNvSpPr/>
      </dsp:nvSpPr>
      <dsp:spPr>
        <a:xfrm>
          <a:off x="1383071" y="89646"/>
          <a:ext cx="1535346" cy="614138"/>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Century Gothic" panose="020B0502020202020204" pitchFamily="34" charset="0"/>
            </a:rPr>
            <a:t>STEP 4.2</a:t>
          </a:r>
          <a:br>
            <a:rPr lang="en-US" sz="1200" b="1" kern="1200" dirty="0">
              <a:latin typeface="Century Gothic" panose="020B0502020202020204" pitchFamily="34" charset="0"/>
            </a:rPr>
          </a:br>
          <a:r>
            <a:rPr lang="en-US" sz="1200" b="1" kern="1200" dirty="0">
              <a:latin typeface="Century Gothic" panose="020B0502020202020204" pitchFamily="34" charset="0"/>
            </a:rPr>
            <a:t>MONITOR &amp; EVALUATE</a:t>
          </a:r>
        </a:p>
      </dsp:txBody>
      <dsp:txXfrm>
        <a:off x="1690140" y="89646"/>
        <a:ext cx="921208" cy="614138"/>
      </dsp:txXfrm>
    </dsp:sp>
    <dsp:sp modelId="{362879F4-F4B3-4A2F-A201-0C94C9964FED}">
      <dsp:nvSpPr>
        <dsp:cNvPr id="0" name=""/>
        <dsp:cNvSpPr/>
      </dsp:nvSpPr>
      <dsp:spPr>
        <a:xfrm>
          <a:off x="2764883" y="89646"/>
          <a:ext cx="1535346" cy="614138"/>
        </a:xfrm>
        <a:prstGeom prst="chevron">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Century Gothic" panose="020B0502020202020204" pitchFamily="34" charset="0"/>
            </a:rPr>
            <a:t>STEP 4.3</a:t>
          </a:r>
          <a:br>
            <a:rPr lang="en-US" sz="1200" b="1" kern="1200" dirty="0">
              <a:latin typeface="Century Gothic" panose="020B0502020202020204" pitchFamily="34" charset="0"/>
            </a:rPr>
          </a:br>
          <a:r>
            <a:rPr lang="en-US" sz="1200" b="1" kern="1200" dirty="0">
              <a:latin typeface="Century Gothic" panose="020B0502020202020204" pitchFamily="34" charset="0"/>
            </a:rPr>
            <a:t>ADJUST</a:t>
          </a:r>
        </a:p>
      </dsp:txBody>
      <dsp:txXfrm>
        <a:off x="3071952" y="89646"/>
        <a:ext cx="921208" cy="61413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3333FF"/>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62df85f-9e15-4d76-9c87-fbe0b2caed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6023137FF10A428CA1AE2529FE3350" ma:contentTypeVersion="5" ma:contentTypeDescription="Create a new document." ma:contentTypeScope="" ma:versionID="000b39ed3146dd6ac06586b785efd772">
  <xsd:schema xmlns:xsd="http://www.w3.org/2001/XMLSchema" xmlns:xs="http://www.w3.org/2001/XMLSchema" xmlns:p="http://schemas.microsoft.com/office/2006/metadata/properties" xmlns:ns3="d62df85f-9e15-4d76-9c87-fbe0b2caed97" targetNamespace="http://schemas.microsoft.com/office/2006/metadata/properties" ma:root="true" ma:fieldsID="2aa9e053bc74a0340bb2e70f700b9cc6" ns3:_="">
    <xsd:import namespace="d62df85f-9e15-4d76-9c87-fbe0b2caed9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df85f-9e15-4d76-9c87-fbe0b2caed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32C65-864D-4299-889C-6EA00A309AD0}">
  <ds:schemaRefs>
    <ds:schemaRef ds:uri="http://schemas.openxmlformats.org/officeDocument/2006/bibliography"/>
  </ds:schemaRefs>
</ds:datastoreItem>
</file>

<file path=customXml/itemProps2.xml><?xml version="1.0" encoding="utf-8"?>
<ds:datastoreItem xmlns:ds="http://schemas.openxmlformats.org/officeDocument/2006/customXml" ds:itemID="{92979CBB-328C-4019-9F0A-965F46BA59E3}">
  <ds:schemaRefs>
    <ds:schemaRef ds:uri="http://schemas.microsoft.com/office/2006/metadata/properties"/>
    <ds:schemaRef ds:uri="http://schemas.microsoft.com/office/infopath/2007/PartnerControls"/>
    <ds:schemaRef ds:uri="d62df85f-9e15-4d76-9c87-fbe0b2caed97"/>
  </ds:schemaRefs>
</ds:datastoreItem>
</file>

<file path=customXml/itemProps3.xml><?xml version="1.0" encoding="utf-8"?>
<ds:datastoreItem xmlns:ds="http://schemas.openxmlformats.org/officeDocument/2006/customXml" ds:itemID="{53829CD1-837E-42B3-8793-BE2CE390371A}">
  <ds:schemaRefs>
    <ds:schemaRef ds:uri="http://schemas.microsoft.com/sharepoint/v3/contenttype/forms"/>
  </ds:schemaRefs>
</ds:datastoreItem>
</file>

<file path=customXml/itemProps4.xml><?xml version="1.0" encoding="utf-8"?>
<ds:datastoreItem xmlns:ds="http://schemas.openxmlformats.org/officeDocument/2006/customXml" ds:itemID="{A5A536B3-BC82-4B35-A0CB-C3F2C64C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df85f-9e15-4d76-9c87-fbe0b2cae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220</Pages>
  <Words>64884</Words>
  <Characters>369843</Characters>
  <Application>Microsoft Office Word</Application>
  <DocSecurity>0</DocSecurity>
  <Lines>3082</Lines>
  <Paragraphs>867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433860</CharactersWithSpaces>
  <SharedDoc>false</SharedDoc>
  <HLinks>
    <vt:vector size="2862" baseType="variant">
      <vt:variant>
        <vt:i4>524290</vt:i4>
      </vt:variant>
      <vt:variant>
        <vt:i4>2115</vt:i4>
      </vt:variant>
      <vt:variant>
        <vt:i4>0</vt:i4>
      </vt:variant>
      <vt:variant>
        <vt:i4>5</vt:i4>
      </vt:variant>
      <vt:variant>
        <vt:lpwstr>https://www.climateresilience.ca.gov/</vt:lpwstr>
      </vt:variant>
      <vt:variant>
        <vt:lpwstr/>
      </vt:variant>
      <vt:variant>
        <vt:i4>5111887</vt:i4>
      </vt:variant>
      <vt:variant>
        <vt:i4>2112</vt:i4>
      </vt:variant>
      <vt:variant>
        <vt:i4>0</vt:i4>
      </vt:variant>
      <vt:variant>
        <vt:i4>5</vt:i4>
      </vt:variant>
      <vt:variant>
        <vt:lpwstr>https://lci.ca.gov/climate/icarp/vulnerable-communities.html</vt:lpwstr>
      </vt:variant>
      <vt:variant>
        <vt:lpwstr/>
      </vt:variant>
      <vt:variant>
        <vt:i4>8061033</vt:i4>
      </vt:variant>
      <vt:variant>
        <vt:i4>2109</vt:i4>
      </vt:variant>
      <vt:variant>
        <vt:i4>0</vt:i4>
      </vt:variant>
      <vt:variant>
        <vt:i4>5</vt:i4>
      </vt:variant>
      <vt:variant>
        <vt:lpwstr>https://www.ipcc.ch/report/ar6/wg2/</vt:lpwstr>
      </vt:variant>
      <vt:variant>
        <vt:lpwstr/>
      </vt:variant>
      <vt:variant>
        <vt:i4>262164</vt:i4>
      </vt:variant>
      <vt:variant>
        <vt:i4>2106</vt:i4>
      </vt:variant>
      <vt:variant>
        <vt:i4>0</vt:i4>
      </vt:variant>
      <vt:variant>
        <vt:i4>5</vt:i4>
      </vt:variant>
      <vt:variant>
        <vt:lpwstr>https://www.caloes.ca.gov/wp-content/uploads/Hazard-Mitigation/Documents/2025-FEMA-Local-Mitigation-Planning-Policy-Guide.pdf</vt:lpwstr>
      </vt:variant>
      <vt:variant>
        <vt:lpwstr/>
      </vt:variant>
      <vt:variant>
        <vt:i4>2621561</vt:i4>
      </vt:variant>
      <vt:variant>
        <vt:i4>2103</vt:i4>
      </vt:variant>
      <vt:variant>
        <vt:i4>0</vt:i4>
      </vt:variant>
      <vt:variant>
        <vt:i4>5</vt:i4>
      </vt:variant>
      <vt:variant>
        <vt:lpwstr>https://www.caloes.ca.gov/wp-content/uploads/Hazard-Mitigation/Documents/2023-California-SHMP_Volume-1-Definitions_11.10.2023.pdf</vt:lpwstr>
      </vt:variant>
      <vt:variant>
        <vt:lpwstr/>
      </vt:variant>
      <vt:variant>
        <vt:i4>3932182</vt:i4>
      </vt:variant>
      <vt:variant>
        <vt:i4>2100</vt:i4>
      </vt:variant>
      <vt:variant>
        <vt:i4>0</vt:i4>
      </vt:variant>
      <vt:variant>
        <vt:i4>5</vt:i4>
      </vt:variant>
      <vt:variant>
        <vt:lpwstr>https://www.lci.ca.gov/wp-content/uploads/20200720-Vulnerable_Communities.pdf</vt:lpwstr>
      </vt:variant>
      <vt:variant>
        <vt:lpwstr/>
      </vt:variant>
      <vt:variant>
        <vt:i4>8061033</vt:i4>
      </vt:variant>
      <vt:variant>
        <vt:i4>2097</vt:i4>
      </vt:variant>
      <vt:variant>
        <vt:i4>0</vt:i4>
      </vt:variant>
      <vt:variant>
        <vt:i4>5</vt:i4>
      </vt:variant>
      <vt:variant>
        <vt:lpwstr>https://www.ipcc.ch/report/ar6/wg2/</vt:lpwstr>
      </vt:variant>
      <vt:variant>
        <vt:lpwstr/>
      </vt:variant>
      <vt:variant>
        <vt:i4>262164</vt:i4>
      </vt:variant>
      <vt:variant>
        <vt:i4>2094</vt:i4>
      </vt:variant>
      <vt:variant>
        <vt:i4>0</vt:i4>
      </vt:variant>
      <vt:variant>
        <vt:i4>5</vt:i4>
      </vt:variant>
      <vt:variant>
        <vt:lpwstr>https://www.caloes.ca.gov/wp-content/uploads/Hazard-Mitigation/Documents/2025-FEMA-Local-Mitigation-Planning-Policy-Guide.pdf</vt:lpwstr>
      </vt:variant>
      <vt:variant>
        <vt:lpwstr/>
      </vt:variant>
      <vt:variant>
        <vt:i4>524290</vt:i4>
      </vt:variant>
      <vt:variant>
        <vt:i4>2091</vt:i4>
      </vt:variant>
      <vt:variant>
        <vt:i4>0</vt:i4>
      </vt:variant>
      <vt:variant>
        <vt:i4>5</vt:i4>
      </vt:variant>
      <vt:variant>
        <vt:lpwstr>https://www.climateresilience.ca.gov/</vt:lpwstr>
      </vt:variant>
      <vt:variant>
        <vt:lpwstr/>
      </vt:variant>
      <vt:variant>
        <vt:i4>524290</vt:i4>
      </vt:variant>
      <vt:variant>
        <vt:i4>2088</vt:i4>
      </vt:variant>
      <vt:variant>
        <vt:i4>0</vt:i4>
      </vt:variant>
      <vt:variant>
        <vt:i4>5</vt:i4>
      </vt:variant>
      <vt:variant>
        <vt:lpwstr>https://www.climateresilience.ca.gov/</vt:lpwstr>
      </vt:variant>
      <vt:variant>
        <vt:lpwstr/>
      </vt:variant>
      <vt:variant>
        <vt:i4>8061033</vt:i4>
      </vt:variant>
      <vt:variant>
        <vt:i4>2085</vt:i4>
      </vt:variant>
      <vt:variant>
        <vt:i4>0</vt:i4>
      </vt:variant>
      <vt:variant>
        <vt:i4>5</vt:i4>
      </vt:variant>
      <vt:variant>
        <vt:lpwstr>https://www.ipcc.ch/report/ar6/wg2/</vt:lpwstr>
      </vt:variant>
      <vt:variant>
        <vt:lpwstr/>
      </vt:variant>
      <vt:variant>
        <vt:i4>262164</vt:i4>
      </vt:variant>
      <vt:variant>
        <vt:i4>2082</vt:i4>
      </vt:variant>
      <vt:variant>
        <vt:i4>0</vt:i4>
      </vt:variant>
      <vt:variant>
        <vt:i4>5</vt:i4>
      </vt:variant>
      <vt:variant>
        <vt:lpwstr>https://www.caloes.ca.gov/wp-content/uploads/Hazard-Mitigation/Documents/2025-FEMA-Local-Mitigation-Planning-Policy-Guide.pdf</vt:lpwstr>
      </vt:variant>
      <vt:variant>
        <vt:lpwstr/>
      </vt:variant>
      <vt:variant>
        <vt:i4>262164</vt:i4>
      </vt:variant>
      <vt:variant>
        <vt:i4>2079</vt:i4>
      </vt:variant>
      <vt:variant>
        <vt:i4>0</vt:i4>
      </vt:variant>
      <vt:variant>
        <vt:i4>5</vt:i4>
      </vt:variant>
      <vt:variant>
        <vt:lpwstr>https://www.caloes.ca.gov/wp-content/uploads/Hazard-Mitigation/Documents/2025-FEMA-Local-Mitigation-Planning-Policy-Guide.pdf</vt:lpwstr>
      </vt:variant>
      <vt:variant>
        <vt:lpwstr/>
      </vt:variant>
      <vt:variant>
        <vt:i4>3932182</vt:i4>
      </vt:variant>
      <vt:variant>
        <vt:i4>2076</vt:i4>
      </vt:variant>
      <vt:variant>
        <vt:i4>0</vt:i4>
      </vt:variant>
      <vt:variant>
        <vt:i4>5</vt:i4>
      </vt:variant>
      <vt:variant>
        <vt:lpwstr>https://www.lci.ca.gov/wp-content/uploads/20200720-Vulnerable_Communities.pdf</vt:lpwstr>
      </vt:variant>
      <vt:variant>
        <vt:lpwstr/>
      </vt:variant>
      <vt:variant>
        <vt:i4>6291507</vt:i4>
      </vt:variant>
      <vt:variant>
        <vt:i4>2073</vt:i4>
      </vt:variant>
      <vt:variant>
        <vt:i4>0</vt:i4>
      </vt:variant>
      <vt:variant>
        <vt:i4>5</vt:i4>
      </vt:variant>
      <vt:variant>
        <vt:lpwstr>https://lao.ca.gov/Publications/Report/5076</vt:lpwstr>
      </vt:variant>
      <vt:variant>
        <vt:lpwstr/>
      </vt:variant>
      <vt:variant>
        <vt:i4>524290</vt:i4>
      </vt:variant>
      <vt:variant>
        <vt:i4>2070</vt:i4>
      </vt:variant>
      <vt:variant>
        <vt:i4>0</vt:i4>
      </vt:variant>
      <vt:variant>
        <vt:i4>5</vt:i4>
      </vt:variant>
      <vt:variant>
        <vt:lpwstr>https://www.climateresilience.ca.gov/</vt:lpwstr>
      </vt:variant>
      <vt:variant>
        <vt:lpwstr/>
      </vt:variant>
      <vt:variant>
        <vt:i4>8061033</vt:i4>
      </vt:variant>
      <vt:variant>
        <vt:i4>2067</vt:i4>
      </vt:variant>
      <vt:variant>
        <vt:i4>0</vt:i4>
      </vt:variant>
      <vt:variant>
        <vt:i4>5</vt:i4>
      </vt:variant>
      <vt:variant>
        <vt:lpwstr>https://www.ipcc.ch/report/ar6/wg2/</vt:lpwstr>
      </vt:variant>
      <vt:variant>
        <vt:lpwstr/>
      </vt:variant>
      <vt:variant>
        <vt:i4>262164</vt:i4>
      </vt:variant>
      <vt:variant>
        <vt:i4>2064</vt:i4>
      </vt:variant>
      <vt:variant>
        <vt:i4>0</vt:i4>
      </vt:variant>
      <vt:variant>
        <vt:i4>5</vt:i4>
      </vt:variant>
      <vt:variant>
        <vt:lpwstr>https://www.caloes.ca.gov/wp-content/uploads/Hazard-Mitigation/Documents/2025-FEMA-Local-Mitigation-Planning-Policy-Guide.pdf</vt:lpwstr>
      </vt:variant>
      <vt:variant>
        <vt:lpwstr/>
      </vt:variant>
      <vt:variant>
        <vt:i4>524290</vt:i4>
      </vt:variant>
      <vt:variant>
        <vt:i4>2061</vt:i4>
      </vt:variant>
      <vt:variant>
        <vt:i4>0</vt:i4>
      </vt:variant>
      <vt:variant>
        <vt:i4>5</vt:i4>
      </vt:variant>
      <vt:variant>
        <vt:lpwstr>https://www.climateresilience.ca.gov/</vt:lpwstr>
      </vt:variant>
      <vt:variant>
        <vt:lpwstr/>
      </vt:variant>
      <vt:variant>
        <vt:i4>262164</vt:i4>
      </vt:variant>
      <vt:variant>
        <vt:i4>2058</vt:i4>
      </vt:variant>
      <vt:variant>
        <vt:i4>0</vt:i4>
      </vt:variant>
      <vt:variant>
        <vt:i4>5</vt:i4>
      </vt:variant>
      <vt:variant>
        <vt:lpwstr>https://www.caloes.ca.gov/wp-content/uploads/Hazard-Mitigation/Documents/2025-FEMA-Local-Mitigation-Planning-Policy-Guide.pdf</vt:lpwstr>
      </vt:variant>
      <vt:variant>
        <vt:lpwstr/>
      </vt:variant>
      <vt:variant>
        <vt:i4>262164</vt:i4>
      </vt:variant>
      <vt:variant>
        <vt:i4>2055</vt:i4>
      </vt:variant>
      <vt:variant>
        <vt:i4>0</vt:i4>
      </vt:variant>
      <vt:variant>
        <vt:i4>5</vt:i4>
      </vt:variant>
      <vt:variant>
        <vt:lpwstr>https://www.caloes.ca.gov/wp-content/uploads/Hazard-Mitigation/Documents/2025-FEMA-Local-Mitigation-Planning-Policy-Guide.pdf</vt:lpwstr>
      </vt:variant>
      <vt:variant>
        <vt:lpwstr/>
      </vt:variant>
      <vt:variant>
        <vt:i4>4390941</vt:i4>
      </vt:variant>
      <vt:variant>
        <vt:i4>2052</vt:i4>
      </vt:variant>
      <vt:variant>
        <vt:i4>0</vt:i4>
      </vt:variant>
      <vt:variant>
        <vt:i4>5</vt:i4>
      </vt:variant>
      <vt:variant>
        <vt:lpwstr>https://www.caloes.ca.gov/wp-content/uploads/Hazard-Mitigation/Documents/CA-Adaptation-Planning-Guide-FINAL-June-2020-Accessible.pdf</vt:lpwstr>
      </vt:variant>
      <vt:variant>
        <vt:lpwstr/>
      </vt:variant>
      <vt:variant>
        <vt:i4>262164</vt:i4>
      </vt:variant>
      <vt:variant>
        <vt:i4>2049</vt:i4>
      </vt:variant>
      <vt:variant>
        <vt:i4>0</vt:i4>
      </vt:variant>
      <vt:variant>
        <vt:i4>5</vt:i4>
      </vt:variant>
      <vt:variant>
        <vt:lpwstr>https://www.caloes.ca.gov/wp-content/uploads/Hazard-Mitigation/Documents/2025-FEMA-Local-Mitigation-Planning-Policy-Guide.pdf</vt:lpwstr>
      </vt:variant>
      <vt:variant>
        <vt:lpwstr/>
      </vt:variant>
      <vt:variant>
        <vt:i4>262164</vt:i4>
      </vt:variant>
      <vt:variant>
        <vt:i4>2046</vt:i4>
      </vt:variant>
      <vt:variant>
        <vt:i4>0</vt:i4>
      </vt:variant>
      <vt:variant>
        <vt:i4>5</vt:i4>
      </vt:variant>
      <vt:variant>
        <vt:lpwstr>https://www.caloes.ca.gov/wp-content/uploads/Hazard-Mitigation/Documents/2025-FEMA-Local-Mitigation-Planning-Policy-Guide.pdf</vt:lpwstr>
      </vt:variant>
      <vt:variant>
        <vt:lpwstr/>
      </vt:variant>
      <vt:variant>
        <vt:i4>6619211</vt:i4>
      </vt:variant>
      <vt:variant>
        <vt:i4>2043</vt:i4>
      </vt:variant>
      <vt:variant>
        <vt:i4>0</vt:i4>
      </vt:variant>
      <vt:variant>
        <vt:i4>5</vt:i4>
      </vt:variant>
      <vt:variant>
        <vt:lpwstr>https://unfccc.int/resource/cd_roms/na1/ghg_inventories/english/8_glossary/Glossary.htm</vt:lpwstr>
      </vt:variant>
      <vt:variant>
        <vt:lpwstr/>
      </vt:variant>
      <vt:variant>
        <vt:i4>8061033</vt:i4>
      </vt:variant>
      <vt:variant>
        <vt:i4>2040</vt:i4>
      </vt:variant>
      <vt:variant>
        <vt:i4>0</vt:i4>
      </vt:variant>
      <vt:variant>
        <vt:i4>5</vt:i4>
      </vt:variant>
      <vt:variant>
        <vt:lpwstr>https://www.ipcc.ch/report/ar6/wg2/</vt:lpwstr>
      </vt:variant>
      <vt:variant>
        <vt:lpwstr/>
      </vt:variant>
      <vt:variant>
        <vt:i4>5636140</vt:i4>
      </vt:variant>
      <vt:variant>
        <vt:i4>2037</vt:i4>
      </vt:variant>
      <vt:variant>
        <vt:i4>0</vt:i4>
      </vt:variant>
      <vt:variant>
        <vt:i4>5</vt:i4>
      </vt:variant>
      <vt:variant>
        <vt:lpwstr>https://california.public.law/codes/government_code_section_65040.12</vt:lpwstr>
      </vt:variant>
      <vt:variant>
        <vt:lpwstr/>
      </vt:variant>
      <vt:variant>
        <vt:i4>524290</vt:i4>
      </vt:variant>
      <vt:variant>
        <vt:i4>2034</vt:i4>
      </vt:variant>
      <vt:variant>
        <vt:i4>0</vt:i4>
      </vt:variant>
      <vt:variant>
        <vt:i4>5</vt:i4>
      </vt:variant>
      <vt:variant>
        <vt:lpwstr>https://www.climateresilience.ca.gov/</vt:lpwstr>
      </vt:variant>
      <vt:variant>
        <vt:lpwstr/>
      </vt:variant>
      <vt:variant>
        <vt:i4>6226021</vt:i4>
      </vt:variant>
      <vt:variant>
        <vt:i4>2031</vt:i4>
      </vt:variant>
      <vt:variant>
        <vt:i4>0</vt:i4>
      </vt:variant>
      <vt:variant>
        <vt:i4>5</vt:i4>
      </vt:variant>
      <vt:variant>
        <vt:lpwstr>https://leginfo.legislature.ca.gov/faces/codes_displaySection.xhtml?lawCode=GOV&amp;sectionNum=65302</vt:lpwstr>
      </vt:variant>
      <vt:variant>
        <vt:lpwstr/>
      </vt:variant>
      <vt:variant>
        <vt:i4>6291507</vt:i4>
      </vt:variant>
      <vt:variant>
        <vt:i4>2028</vt:i4>
      </vt:variant>
      <vt:variant>
        <vt:i4>0</vt:i4>
      </vt:variant>
      <vt:variant>
        <vt:i4>5</vt:i4>
      </vt:variant>
      <vt:variant>
        <vt:lpwstr>https://lao.ca.gov/Publications/Report/5076</vt:lpwstr>
      </vt:variant>
      <vt:variant>
        <vt:lpwstr/>
      </vt:variant>
      <vt:variant>
        <vt:i4>6226021</vt:i4>
      </vt:variant>
      <vt:variant>
        <vt:i4>2025</vt:i4>
      </vt:variant>
      <vt:variant>
        <vt:i4>0</vt:i4>
      </vt:variant>
      <vt:variant>
        <vt:i4>5</vt:i4>
      </vt:variant>
      <vt:variant>
        <vt:lpwstr>https://leginfo.legislature.ca.gov/faces/codes_displaySection.xhtml?lawCode=GOV&amp;sectionNum=65302</vt:lpwstr>
      </vt:variant>
      <vt:variant>
        <vt:lpwstr/>
      </vt:variant>
      <vt:variant>
        <vt:i4>6291507</vt:i4>
      </vt:variant>
      <vt:variant>
        <vt:i4>2022</vt:i4>
      </vt:variant>
      <vt:variant>
        <vt:i4>0</vt:i4>
      </vt:variant>
      <vt:variant>
        <vt:i4>5</vt:i4>
      </vt:variant>
      <vt:variant>
        <vt:lpwstr>https://lao.ca.gov/Publications/Report/5076</vt:lpwstr>
      </vt:variant>
      <vt:variant>
        <vt:lpwstr/>
      </vt:variant>
      <vt:variant>
        <vt:i4>1703952</vt:i4>
      </vt:variant>
      <vt:variant>
        <vt:i4>2019</vt:i4>
      </vt:variant>
      <vt:variant>
        <vt:i4>0</vt:i4>
      </vt:variant>
      <vt:variant>
        <vt:i4>5</vt:i4>
      </vt:variant>
      <vt:variant>
        <vt:lpwstr>https://sgc.ca.gov/technical-assistance/toolkit/definitions/</vt:lpwstr>
      </vt:variant>
      <vt:variant>
        <vt:lpwstr/>
      </vt:variant>
      <vt:variant>
        <vt:i4>262164</vt:i4>
      </vt:variant>
      <vt:variant>
        <vt:i4>2016</vt:i4>
      </vt:variant>
      <vt:variant>
        <vt:i4>0</vt:i4>
      </vt:variant>
      <vt:variant>
        <vt:i4>5</vt:i4>
      </vt:variant>
      <vt:variant>
        <vt:lpwstr>https://www.caloes.ca.gov/wp-content/uploads/Hazard-Mitigation/Documents/2025-FEMA-Local-Mitigation-Planning-Policy-Guide.pdf</vt:lpwstr>
      </vt:variant>
      <vt:variant>
        <vt:lpwstr/>
      </vt:variant>
      <vt:variant>
        <vt:i4>5832797</vt:i4>
      </vt:variant>
      <vt:variant>
        <vt:i4>2013</vt:i4>
      </vt:variant>
      <vt:variant>
        <vt:i4>0</vt:i4>
      </vt:variant>
      <vt:variant>
        <vt:i4>5</vt:i4>
      </vt:variant>
      <vt:variant>
        <vt:lpwstr>https://centerclimatejustice.universityofcalifornia.edu/what-is-climate-justice/</vt:lpwstr>
      </vt:variant>
      <vt:variant>
        <vt:lpwstr/>
      </vt:variant>
      <vt:variant>
        <vt:i4>8061033</vt:i4>
      </vt:variant>
      <vt:variant>
        <vt:i4>2010</vt:i4>
      </vt:variant>
      <vt:variant>
        <vt:i4>0</vt:i4>
      </vt:variant>
      <vt:variant>
        <vt:i4>5</vt:i4>
      </vt:variant>
      <vt:variant>
        <vt:lpwstr>https://www.ipcc.ch/report/ar6/wg2/</vt:lpwstr>
      </vt:variant>
      <vt:variant>
        <vt:lpwstr/>
      </vt:variant>
      <vt:variant>
        <vt:i4>8061033</vt:i4>
      </vt:variant>
      <vt:variant>
        <vt:i4>2007</vt:i4>
      </vt:variant>
      <vt:variant>
        <vt:i4>0</vt:i4>
      </vt:variant>
      <vt:variant>
        <vt:i4>5</vt:i4>
      </vt:variant>
      <vt:variant>
        <vt:lpwstr>https://www.ipcc.ch/report/ar6/wg2/</vt:lpwstr>
      </vt:variant>
      <vt:variant>
        <vt:lpwstr/>
      </vt:variant>
      <vt:variant>
        <vt:i4>2621561</vt:i4>
      </vt:variant>
      <vt:variant>
        <vt:i4>2004</vt:i4>
      </vt:variant>
      <vt:variant>
        <vt:i4>0</vt:i4>
      </vt:variant>
      <vt:variant>
        <vt:i4>5</vt:i4>
      </vt:variant>
      <vt:variant>
        <vt:lpwstr>https://www.caloes.ca.gov/wp-content/uploads/Hazard-Mitigation/Documents/2023-California-SHMP_Volume-1-Definitions_11.10.2023.pdf</vt:lpwstr>
      </vt:variant>
      <vt:variant>
        <vt:lpwstr/>
      </vt:variant>
      <vt:variant>
        <vt:i4>524290</vt:i4>
      </vt:variant>
      <vt:variant>
        <vt:i4>2001</vt:i4>
      </vt:variant>
      <vt:variant>
        <vt:i4>0</vt:i4>
      </vt:variant>
      <vt:variant>
        <vt:i4>5</vt:i4>
      </vt:variant>
      <vt:variant>
        <vt:lpwstr>https://www.climateresilience.ca.gov/</vt:lpwstr>
      </vt:variant>
      <vt:variant>
        <vt:lpwstr/>
      </vt:variant>
      <vt:variant>
        <vt:i4>4653091</vt:i4>
      </vt:variant>
      <vt:variant>
        <vt:i4>1998</vt:i4>
      </vt:variant>
      <vt:variant>
        <vt:i4>0</vt:i4>
      </vt:variant>
      <vt:variant>
        <vt:i4>5</vt:i4>
      </vt:variant>
      <vt:variant>
        <vt:lpwstr>https://leginfo.legislature.ca.gov/faces/codes_displaySection.xhtml?sectionNum=8593.3&amp;lawCode=GOV</vt:lpwstr>
      </vt:variant>
      <vt:variant>
        <vt:lpwstr/>
      </vt:variant>
      <vt:variant>
        <vt:i4>1441816</vt:i4>
      </vt:variant>
      <vt:variant>
        <vt:i4>1995</vt:i4>
      </vt:variant>
      <vt:variant>
        <vt:i4>0</vt:i4>
      </vt:variant>
      <vt:variant>
        <vt:i4>5</vt:i4>
      </vt:variant>
      <vt:variant>
        <vt:lpwstr>https://experience.arcgis.com/experience/652c6def7040429bafe23c38966f8f73/page/Climate-Vulnerability-Map</vt:lpwstr>
      </vt:variant>
      <vt:variant>
        <vt:lpwstr/>
      </vt:variant>
      <vt:variant>
        <vt:i4>8257583</vt:i4>
      </vt:variant>
      <vt:variant>
        <vt:i4>1992</vt:i4>
      </vt:variant>
      <vt:variant>
        <vt:i4>0</vt:i4>
      </vt:variant>
      <vt:variant>
        <vt:i4>5</vt:i4>
      </vt:variant>
      <vt:variant>
        <vt:lpwstr>https://experience.arcgis.com/experience/ae1b4e3e41004f07b4901a7a3fa50637/?org=DWR</vt:lpwstr>
      </vt:variant>
      <vt:variant>
        <vt:lpwstr/>
      </vt:variant>
      <vt:variant>
        <vt:i4>3211329</vt:i4>
      </vt:variant>
      <vt:variant>
        <vt:i4>1989</vt:i4>
      </vt:variant>
      <vt:variant>
        <vt:i4>0</vt:i4>
      </vt:variant>
      <vt:variant>
        <vt:i4>5</vt:i4>
      </vt:variant>
      <vt:variant>
        <vt:lpwstr>https://coast.noaa.gov/slr/</vt:lpwstr>
      </vt:variant>
      <vt:variant>
        <vt:lpwstr>/layer/slr/0.5/-13154474.045543376/4003922.977270838/11.388/satellite/none/0.8/2050/interHigh/noAccretion/NOS_Minor</vt:lpwstr>
      </vt:variant>
      <vt:variant>
        <vt:i4>6488101</vt:i4>
      </vt:variant>
      <vt:variant>
        <vt:i4>1986</vt:i4>
      </vt:variant>
      <vt:variant>
        <vt:i4>0</vt:i4>
      </vt:variant>
      <vt:variant>
        <vt:i4>5</vt:i4>
      </vt:variant>
      <vt:variant>
        <vt:lpwstr>https://www.usgs.gov/apps/hera</vt:lpwstr>
      </vt:variant>
      <vt:variant>
        <vt:lpwstr/>
      </vt:variant>
      <vt:variant>
        <vt:i4>7405616</vt:i4>
      </vt:variant>
      <vt:variant>
        <vt:i4>1983</vt:i4>
      </vt:variant>
      <vt:variant>
        <vt:i4>0</vt:i4>
      </vt:variant>
      <vt:variant>
        <vt:i4>5</vt:i4>
      </vt:variant>
      <vt:variant>
        <vt:lpwstr>https://ourcoastourfuture.org/science-and-modeling/</vt:lpwstr>
      </vt:variant>
      <vt:variant>
        <vt:lpwstr>downloads</vt:lpwstr>
      </vt:variant>
      <vt:variant>
        <vt:i4>1900626</vt:i4>
      </vt:variant>
      <vt:variant>
        <vt:i4>1980</vt:i4>
      </vt:variant>
      <vt:variant>
        <vt:i4>0</vt:i4>
      </vt:variant>
      <vt:variant>
        <vt:i4>5</vt:i4>
      </vt:variant>
      <vt:variant>
        <vt:lpwstr>https://opc.ca.gov/wp-content/uploads/2024/05/California-Sea-Level-Rise-Guidance-2024-508.pdf</vt:lpwstr>
      </vt:variant>
      <vt:variant>
        <vt:lpwstr/>
      </vt:variant>
      <vt:variant>
        <vt:i4>851997</vt:i4>
      </vt:variant>
      <vt:variant>
        <vt:i4>1977</vt:i4>
      </vt:variant>
      <vt:variant>
        <vt:i4>0</vt:i4>
      </vt:variant>
      <vt:variant>
        <vt:i4>5</vt:i4>
      </vt:variant>
      <vt:variant>
        <vt:lpwstr>https://ourcoastourfuture.org/hazard-map/</vt:lpwstr>
      </vt:variant>
      <vt:variant>
        <vt:lpwstr/>
      </vt:variant>
      <vt:variant>
        <vt:i4>4980806</vt:i4>
      </vt:variant>
      <vt:variant>
        <vt:i4>1971</vt:i4>
      </vt:variant>
      <vt:variant>
        <vt:i4>0</vt:i4>
      </vt:variant>
      <vt:variant>
        <vt:i4>5</vt:i4>
      </vt:variant>
      <vt:variant>
        <vt:lpwstr>https://gis.bam.water.ca.gov/bam/</vt:lpwstr>
      </vt:variant>
      <vt:variant>
        <vt:lpwstr/>
      </vt:variant>
      <vt:variant>
        <vt:i4>1048603</vt:i4>
      </vt:variant>
      <vt:variant>
        <vt:i4>1968</vt:i4>
      </vt:variant>
      <vt:variant>
        <vt:i4>0</vt:i4>
      </vt:variant>
      <vt:variant>
        <vt:i4>5</vt:i4>
      </vt:variant>
      <vt:variant>
        <vt:lpwstr>https://experience.arcgis.com/experience/5065c998b4b0462f9ec3c6c226c610a9</vt:lpwstr>
      </vt:variant>
      <vt:variant>
        <vt:lpwstr/>
      </vt:variant>
      <vt:variant>
        <vt:i4>2293816</vt:i4>
      </vt:variant>
      <vt:variant>
        <vt:i4>1965</vt:i4>
      </vt:variant>
      <vt:variant>
        <vt:i4>0</vt:i4>
      </vt:variant>
      <vt:variant>
        <vt:i4>5</vt:i4>
      </vt:variant>
      <vt:variant>
        <vt:lpwstr>https://adaptationatlas.org/</vt:lpwstr>
      </vt:variant>
      <vt:variant>
        <vt:lpwstr>/smoke/wsc/county/5avg</vt:lpwstr>
      </vt:variant>
      <vt:variant>
        <vt:i4>3473512</vt:i4>
      </vt:variant>
      <vt:variant>
        <vt:i4>1962</vt:i4>
      </vt:variant>
      <vt:variant>
        <vt:i4>0</vt:i4>
      </vt:variant>
      <vt:variant>
        <vt:i4>5</vt:i4>
      </vt:variant>
      <vt:variant>
        <vt:lpwstr>https://www.fire.ca.gov/what-we-do/fire-resource-assessment-program/fire-perimeters</vt:lpwstr>
      </vt:variant>
      <vt:variant>
        <vt:lpwstr/>
      </vt:variant>
      <vt:variant>
        <vt:i4>6422652</vt:i4>
      </vt:variant>
      <vt:variant>
        <vt:i4>1959</vt:i4>
      </vt:variant>
      <vt:variant>
        <vt:i4>0</vt:i4>
      </vt:variant>
      <vt:variant>
        <vt:i4>5</vt:i4>
      </vt:variant>
      <vt:variant>
        <vt:lpwstr>https://apps.wildfirerisk.org/explore/?_gl=1*117orum*_ga*MTgyODc4NTM4MC4xNzc1MDY5Njgw*_ga_K1ZBKGMZBN*czE3NzY0NTg5MDkkbzIkZzAkdDE3NzY0NTg5MDkkajYwJGwwJGgw</vt:lpwstr>
      </vt:variant>
      <vt:variant>
        <vt:lpwstr/>
      </vt:variant>
      <vt:variant>
        <vt:i4>1703954</vt:i4>
      </vt:variant>
      <vt:variant>
        <vt:i4>1956</vt:i4>
      </vt:variant>
      <vt:variant>
        <vt:i4>0</vt:i4>
      </vt:variant>
      <vt:variant>
        <vt:i4>5</vt:i4>
      </vt:variant>
      <vt:variant>
        <vt:lpwstr>https://wildfirerisk.org/</vt:lpwstr>
      </vt:variant>
      <vt:variant>
        <vt:lpwstr/>
      </vt:variant>
      <vt:variant>
        <vt:i4>1703954</vt:i4>
      </vt:variant>
      <vt:variant>
        <vt:i4>1953</vt:i4>
      </vt:variant>
      <vt:variant>
        <vt:i4>0</vt:i4>
      </vt:variant>
      <vt:variant>
        <vt:i4>5</vt:i4>
      </vt:variant>
      <vt:variant>
        <vt:lpwstr>https://wildfirerisk.org/</vt:lpwstr>
      </vt:variant>
      <vt:variant>
        <vt:lpwstr/>
      </vt:variant>
      <vt:variant>
        <vt:i4>4063282</vt:i4>
      </vt:variant>
      <vt:variant>
        <vt:i4>1950</vt:i4>
      </vt:variant>
      <vt:variant>
        <vt:i4>0</vt:i4>
      </vt:variant>
      <vt:variant>
        <vt:i4>5</vt:i4>
      </vt:variant>
      <vt:variant>
        <vt:lpwstr>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vt:lpwstr>
      </vt:variant>
      <vt:variant>
        <vt:lpwstr/>
      </vt:variant>
      <vt:variant>
        <vt:i4>1966157</vt:i4>
      </vt:variant>
      <vt:variant>
        <vt:i4>1947</vt:i4>
      </vt:variant>
      <vt:variant>
        <vt:i4>0</vt:i4>
      </vt:variant>
      <vt:variant>
        <vt:i4>5</vt:i4>
      </vt:variant>
      <vt:variant>
        <vt:lpwstr>https://storymaps.arcgis.com/stories/e31394fe2a164a78ad3f2c6b4388cdf1</vt:lpwstr>
      </vt:variant>
      <vt:variant>
        <vt:lpwstr/>
      </vt:variant>
      <vt:variant>
        <vt:i4>4325407</vt:i4>
      </vt:variant>
      <vt:variant>
        <vt:i4>1944</vt:i4>
      </vt:variant>
      <vt:variant>
        <vt:i4>0</vt:i4>
      </vt:variant>
      <vt:variant>
        <vt:i4>5</vt:i4>
      </vt:variant>
      <vt:variant>
        <vt:lpwstr>https://storymaps.arcgis.com/stories/5f59041783fb49d59b8ed6e0a5371cde</vt:lpwstr>
      </vt:variant>
      <vt:variant>
        <vt:lpwstr/>
      </vt:variant>
      <vt:variant>
        <vt:i4>4259906</vt:i4>
      </vt:variant>
      <vt:variant>
        <vt:i4>1941</vt:i4>
      </vt:variant>
      <vt:variant>
        <vt:i4>0</vt:i4>
      </vt:variant>
      <vt:variant>
        <vt:i4>5</vt:i4>
      </vt:variant>
      <vt:variant>
        <vt:lpwstr>https://storymaps.arcgis.com/stories/640b4e52ad994419b97aea25a10d1430</vt:lpwstr>
      </vt:variant>
      <vt:variant>
        <vt:lpwstr/>
      </vt:variant>
      <vt:variant>
        <vt:i4>2424953</vt:i4>
      </vt:variant>
      <vt:variant>
        <vt:i4>1917</vt:i4>
      </vt:variant>
      <vt:variant>
        <vt:i4>0</vt:i4>
      </vt:variant>
      <vt:variant>
        <vt:i4>5</vt:i4>
      </vt:variant>
      <vt:variant>
        <vt:lpwstr>http://vcp.lci.ca.gov/</vt:lpwstr>
      </vt:variant>
      <vt:variant>
        <vt:lpwstr/>
      </vt:variant>
      <vt:variant>
        <vt:i4>4849681</vt:i4>
      </vt:variant>
      <vt:variant>
        <vt:i4>1914</vt:i4>
      </vt:variant>
      <vt:variant>
        <vt:i4>0</vt:i4>
      </vt:variant>
      <vt:variant>
        <vt:i4>5</vt:i4>
      </vt:variant>
      <vt:variant>
        <vt:lpwstr>https://storymaps.arcgis.com/stories/5d97fbfa8bf64ecab1cdf42fb9e4ee27</vt:lpwstr>
      </vt:variant>
      <vt:variant>
        <vt:lpwstr/>
      </vt:variant>
      <vt:variant>
        <vt:i4>786522</vt:i4>
      </vt:variant>
      <vt:variant>
        <vt:i4>1905</vt:i4>
      </vt:variant>
      <vt:variant>
        <vt:i4>0</vt:i4>
      </vt:variant>
      <vt:variant>
        <vt:i4>5</vt:i4>
      </vt:variant>
      <vt:variant>
        <vt:lpwstr>https://civicwell.org/civic-resources/participation-tools-for-better-community-planning/</vt:lpwstr>
      </vt:variant>
      <vt:variant>
        <vt:lpwstr/>
      </vt:variant>
      <vt:variant>
        <vt:i4>5963782</vt:i4>
      </vt:variant>
      <vt:variant>
        <vt:i4>1902</vt:i4>
      </vt:variant>
      <vt:variant>
        <vt:i4>0</vt:i4>
      </vt:variant>
      <vt:variant>
        <vt:i4>5</vt:i4>
      </vt:variant>
      <vt:variant>
        <vt:lpwstr>https://www.listoscalifornia.org/general-preparedness-games/</vt:lpwstr>
      </vt:variant>
      <vt:variant>
        <vt:lpwstr/>
      </vt:variant>
      <vt:variant>
        <vt:i4>1310761</vt:i4>
      </vt:variant>
      <vt:variant>
        <vt:i4>1899</vt:i4>
      </vt:variant>
      <vt:variant>
        <vt:i4>0</vt:i4>
      </vt:variant>
      <vt:variant>
        <vt:i4>5</vt:i4>
      </vt:variant>
      <vt:variant>
        <vt:lpwstr>https://civicwell.org/?utm_source=chatgpt.com</vt:lpwstr>
      </vt:variant>
      <vt:variant>
        <vt:lpwstr/>
      </vt:variant>
      <vt:variant>
        <vt:i4>1507403</vt:i4>
      </vt:variant>
      <vt:variant>
        <vt:i4>1896</vt:i4>
      </vt:variant>
      <vt:variant>
        <vt:i4>0</vt:i4>
      </vt:variant>
      <vt:variant>
        <vt:i4>5</vt:i4>
      </vt:variant>
      <vt:variant>
        <vt:lpwstr>https://pacinst.org/wp-content/uploads/2013/04/climate_survivor_workbook-1.pdf</vt:lpwstr>
      </vt:variant>
      <vt:variant>
        <vt:lpwstr/>
      </vt:variant>
      <vt:variant>
        <vt:i4>1507403</vt:i4>
      </vt:variant>
      <vt:variant>
        <vt:i4>1893</vt:i4>
      </vt:variant>
      <vt:variant>
        <vt:i4>0</vt:i4>
      </vt:variant>
      <vt:variant>
        <vt:i4>5</vt:i4>
      </vt:variant>
      <vt:variant>
        <vt:lpwstr>https://pacinst.org/wp-content/uploads/2013/04/climate_survivor_workbook-1.pdf</vt:lpwstr>
      </vt:variant>
      <vt:variant>
        <vt:lpwstr/>
      </vt:variant>
      <vt:variant>
        <vt:i4>1507403</vt:i4>
      </vt:variant>
      <vt:variant>
        <vt:i4>1890</vt:i4>
      </vt:variant>
      <vt:variant>
        <vt:i4>0</vt:i4>
      </vt:variant>
      <vt:variant>
        <vt:i4>5</vt:i4>
      </vt:variant>
      <vt:variant>
        <vt:lpwstr>https://pacinst.org/wp-content/uploads/2013/04/climate_survivor_workbook-1.pdf</vt:lpwstr>
      </vt:variant>
      <vt:variant>
        <vt:lpwstr/>
      </vt:variant>
      <vt:variant>
        <vt:i4>1507403</vt:i4>
      </vt:variant>
      <vt:variant>
        <vt:i4>1887</vt:i4>
      </vt:variant>
      <vt:variant>
        <vt:i4>0</vt:i4>
      </vt:variant>
      <vt:variant>
        <vt:i4>5</vt:i4>
      </vt:variant>
      <vt:variant>
        <vt:lpwstr>https://pacinst.org/wp-content/uploads/2013/04/climate_survivor_workbook-1.pdf</vt:lpwstr>
      </vt:variant>
      <vt:variant>
        <vt:lpwstr/>
      </vt:variant>
      <vt:variant>
        <vt:i4>917584</vt:i4>
      </vt:variant>
      <vt:variant>
        <vt:i4>1884</vt:i4>
      </vt:variant>
      <vt:variant>
        <vt:i4>0</vt:i4>
      </vt:variant>
      <vt:variant>
        <vt:i4>5</vt:i4>
      </vt:variant>
      <vt:variant>
        <vt:lpwstr>http://www.communityscience.com/knowledge4equity/AssetMappingToolkit.pdf</vt:lpwstr>
      </vt:variant>
      <vt:variant>
        <vt:lpwstr/>
      </vt:variant>
      <vt:variant>
        <vt:i4>1507403</vt:i4>
      </vt:variant>
      <vt:variant>
        <vt:i4>1881</vt:i4>
      </vt:variant>
      <vt:variant>
        <vt:i4>0</vt:i4>
      </vt:variant>
      <vt:variant>
        <vt:i4>5</vt:i4>
      </vt:variant>
      <vt:variant>
        <vt:lpwstr>https://pacinst.org/wp-content/uploads/2013/04/climate_survivor_workbook-1.pdf</vt:lpwstr>
      </vt:variant>
      <vt:variant>
        <vt:lpwstr/>
      </vt:variant>
      <vt:variant>
        <vt:i4>1507403</vt:i4>
      </vt:variant>
      <vt:variant>
        <vt:i4>1878</vt:i4>
      </vt:variant>
      <vt:variant>
        <vt:i4>0</vt:i4>
      </vt:variant>
      <vt:variant>
        <vt:i4>5</vt:i4>
      </vt:variant>
      <vt:variant>
        <vt:lpwstr>https://pacinst.org/wp-content/uploads/2013/04/climate_survivor_workbook-1.pdf</vt:lpwstr>
      </vt:variant>
      <vt:variant>
        <vt:lpwstr/>
      </vt:variant>
      <vt:variant>
        <vt:i4>1441856</vt:i4>
      </vt:variant>
      <vt:variant>
        <vt:i4>1875</vt:i4>
      </vt:variant>
      <vt:variant>
        <vt:i4>0</vt:i4>
      </vt:variant>
      <vt:variant>
        <vt:i4>5</vt:i4>
      </vt:variant>
      <vt:variant>
        <vt:lpwstr>https://www.caloes.ca.gov/wp-content/uploads/AFN/Documents/AFN-Library/Cal-OES-Integrating-Accessible-Social-Media-Content-within-Emergency-Communications-Guide.pdf</vt:lpwstr>
      </vt:variant>
      <vt:variant>
        <vt:lpwstr/>
      </vt:variant>
      <vt:variant>
        <vt:i4>1704005</vt:i4>
      </vt:variant>
      <vt:variant>
        <vt:i4>1872</vt:i4>
      </vt:variant>
      <vt:variant>
        <vt:i4>0</vt:i4>
      </vt:variant>
      <vt:variant>
        <vt:i4>5</vt:i4>
      </vt:variant>
      <vt:variant>
        <vt:lpwstr>https://www.listoscalifornia.org/blockparty/</vt:lpwstr>
      </vt:variant>
      <vt:variant>
        <vt:lpwstr/>
      </vt:variant>
      <vt:variant>
        <vt:i4>4259924</vt:i4>
      </vt:variant>
      <vt:variant>
        <vt:i4>1869</vt:i4>
      </vt:variant>
      <vt:variant>
        <vt:i4>0</vt:i4>
      </vt:variant>
      <vt:variant>
        <vt:i4>5</vt:i4>
      </vt:variant>
      <vt:variant>
        <vt:lpwstr>https://www.theguardian.com/us-news/2025/nov/24/los-angeles-half-marathon-bakery-walk</vt:lpwstr>
      </vt:variant>
      <vt:variant>
        <vt:lpwstr/>
      </vt:variant>
      <vt:variant>
        <vt:i4>983127</vt:i4>
      </vt:variant>
      <vt:variant>
        <vt:i4>1866</vt:i4>
      </vt:variant>
      <vt:variant>
        <vt:i4>0</vt:i4>
      </vt:variant>
      <vt:variant>
        <vt:i4>5</vt:i4>
      </vt:variant>
      <vt:variant>
        <vt:lpwstr>https://leanurbanism.org/wp-content/uploads/2022/02/AARP-Pop-Up-Tool-Kit.pdf</vt:lpwstr>
      </vt:variant>
      <vt:variant>
        <vt:lpwstr/>
      </vt:variant>
      <vt:variant>
        <vt:i4>4390942</vt:i4>
      </vt:variant>
      <vt:variant>
        <vt:i4>1863</vt:i4>
      </vt:variant>
      <vt:variant>
        <vt:i4>0</vt:i4>
      </vt:variant>
      <vt:variant>
        <vt:i4>5</vt:i4>
      </vt:variant>
      <vt:variant>
        <vt:lpwstr>https://transformca.org/san-jose-reimagines-street-space-on-parking-day/</vt:lpwstr>
      </vt:variant>
      <vt:variant>
        <vt:lpwstr/>
      </vt:variant>
      <vt:variant>
        <vt:i4>7602225</vt:i4>
      </vt:variant>
      <vt:variant>
        <vt:i4>1860</vt:i4>
      </vt:variant>
      <vt:variant>
        <vt:i4>0</vt:i4>
      </vt:variant>
      <vt:variant>
        <vt:i4>5</vt:i4>
      </vt:variant>
      <vt:variant>
        <vt:lpwstr>https://www.ndsu.edu/agriculture/sites/default/files/2024-08/cv2110.pdf</vt:lpwstr>
      </vt:variant>
      <vt:variant>
        <vt:lpwstr/>
      </vt:variant>
      <vt:variant>
        <vt:i4>2949236</vt:i4>
      </vt:variant>
      <vt:variant>
        <vt:i4>1857</vt:i4>
      </vt:variant>
      <vt:variant>
        <vt:i4>0</vt:i4>
      </vt:variant>
      <vt:variant>
        <vt:i4>5</vt:i4>
      </vt:variant>
      <vt:variant>
        <vt:lpwstr>https://dshiao.medium.com/the-meaning-of-community-as-told-by-sticky-notes-89c42975298b</vt:lpwstr>
      </vt:variant>
      <vt:variant>
        <vt:lpwstr/>
      </vt:variant>
      <vt:variant>
        <vt:i4>2031696</vt:i4>
      </vt:variant>
      <vt:variant>
        <vt:i4>1854</vt:i4>
      </vt:variant>
      <vt:variant>
        <vt:i4>0</vt:i4>
      </vt:variant>
      <vt:variant>
        <vt:i4>5</vt:i4>
      </vt:variant>
      <vt:variant>
        <vt:lpwstr>https://movementstrategy.org/wp-content/uploads/2021/08/The-Spectrum-of-Community-Engagement-to-Ownership.pdf</vt:lpwstr>
      </vt:variant>
      <vt:variant>
        <vt:lpwstr/>
      </vt:variant>
      <vt:variant>
        <vt:i4>6881316</vt:i4>
      </vt:variant>
      <vt:variant>
        <vt:i4>1851</vt:i4>
      </vt:variant>
      <vt:variant>
        <vt:i4>0</vt:i4>
      </vt:variant>
      <vt:variant>
        <vt:i4>5</vt:i4>
      </vt:variant>
      <vt:variant>
        <vt:lpwstr>https://racialequity.lci.ca.gov/wp-content/uploads/2025/12/Racial-Equity-Framework-FINAL_December-2025_ADA.pdf</vt:lpwstr>
      </vt:variant>
      <vt:variant>
        <vt:lpwstr/>
      </vt:variant>
      <vt:variant>
        <vt:i4>4522019</vt:i4>
      </vt:variant>
      <vt:variant>
        <vt:i4>1848</vt:i4>
      </vt:variant>
      <vt:variant>
        <vt:i4>0</vt:i4>
      </vt:variant>
      <vt:variant>
        <vt:i4>5</vt:i4>
      </vt:variant>
      <vt:variant>
        <vt:lpwstr>https://bchd.blob.core.windows.net/docs/bchd/BCHD_LHMP_06-25-25_FINAL.pdf</vt:lpwstr>
      </vt:variant>
      <vt:variant>
        <vt:lpwstr/>
      </vt:variant>
      <vt:variant>
        <vt:i4>5963853</vt:i4>
      </vt:variant>
      <vt:variant>
        <vt:i4>1845</vt:i4>
      </vt:variant>
      <vt:variant>
        <vt:i4>0</vt:i4>
      </vt:variant>
      <vt:variant>
        <vt:i4>5</vt:i4>
      </vt:variant>
      <vt:variant>
        <vt:lpwstr>https://cadwr.app.box.com/s/yfrzk3xxwic3xxiljhl2qqh6m4l7ymth</vt:lpwstr>
      </vt:variant>
      <vt:variant>
        <vt:lpwstr/>
      </vt:variant>
      <vt:variant>
        <vt:i4>1507339</vt:i4>
      </vt:variant>
      <vt:variant>
        <vt:i4>1839</vt:i4>
      </vt:variant>
      <vt:variant>
        <vt:i4>0</vt:i4>
      </vt:variant>
      <vt:variant>
        <vt:i4>5</vt:i4>
      </vt:variant>
      <vt:variant>
        <vt:lpwstr>https://www.santacruzca.gov/Government/Climate-Initiatives/Resiliency/Resilient-Coast-Santa-Cruz/Shoreline-Adaptation-Blueprints</vt:lpwstr>
      </vt:variant>
      <vt:variant>
        <vt:lpwstr/>
      </vt:variant>
      <vt:variant>
        <vt:i4>8257583</vt:i4>
      </vt:variant>
      <vt:variant>
        <vt:i4>1836</vt:i4>
      </vt:variant>
      <vt:variant>
        <vt:i4>0</vt:i4>
      </vt:variant>
      <vt:variant>
        <vt:i4>5</vt:i4>
      </vt:variant>
      <vt:variant>
        <vt:lpwstr>https://performance.envisio.com/dashboard/weho2281</vt:lpwstr>
      </vt:variant>
      <vt:variant>
        <vt:lpwstr/>
      </vt:variant>
      <vt:variant>
        <vt:i4>6619240</vt:i4>
      </vt:variant>
      <vt:variant>
        <vt:i4>1827</vt:i4>
      </vt:variant>
      <vt:variant>
        <vt:i4>0</vt:i4>
      </vt:variant>
      <vt:variant>
        <vt:i4>5</vt:i4>
      </vt:variant>
      <vt:variant>
        <vt:lpwstr>https://drive.google.com/file/d/1RyV4gPOpk9BOaeG0497USOHV02b-Bt-p/view</vt:lpwstr>
      </vt:variant>
      <vt:variant>
        <vt:lpwstr/>
      </vt:variant>
      <vt:variant>
        <vt:i4>2031625</vt:i4>
      </vt:variant>
      <vt:variant>
        <vt:i4>1818</vt:i4>
      </vt:variant>
      <vt:variant>
        <vt:i4>0</vt:i4>
      </vt:variant>
      <vt:variant>
        <vt:i4>5</vt:i4>
      </vt:variant>
      <vt:variant>
        <vt:lpwstr>https://www.lakewoodca.gov/files/assets/public/v/1/government/citydocs/planningampmgmt-cd/lakewood-local-hazard-mitigation-plan-final.pdf</vt:lpwstr>
      </vt:variant>
      <vt:variant>
        <vt:lpwstr/>
      </vt:variant>
      <vt:variant>
        <vt:i4>2752608</vt:i4>
      </vt:variant>
      <vt:variant>
        <vt:i4>1815</vt:i4>
      </vt:variant>
      <vt:variant>
        <vt:i4>0</vt:i4>
      </vt:variant>
      <vt:variant>
        <vt:i4>5</vt:i4>
      </vt:variant>
      <vt:variant>
        <vt:lpwstr>https://www.yubaforest.org/</vt:lpwstr>
      </vt:variant>
      <vt:variant>
        <vt:lpwstr/>
      </vt:variant>
      <vt:variant>
        <vt:i4>6881318</vt:i4>
      </vt:variant>
      <vt:variant>
        <vt:i4>1812</vt:i4>
      </vt:variant>
      <vt:variant>
        <vt:i4>0</vt:i4>
      </vt:variant>
      <vt:variant>
        <vt:i4>5</vt:i4>
      </vt:variant>
      <vt:variant>
        <vt:lpwstr>https://www.blueforest.org/our-impact/our-projects/yuba-i-frb/</vt:lpwstr>
      </vt:variant>
      <vt:variant>
        <vt:lpwstr/>
      </vt:variant>
      <vt:variant>
        <vt:i4>5046289</vt:i4>
      </vt:variant>
      <vt:variant>
        <vt:i4>1809</vt:i4>
      </vt:variant>
      <vt:variant>
        <vt:i4>0</vt:i4>
      </vt:variant>
      <vt:variant>
        <vt:i4>5</vt:i4>
      </vt:variant>
      <vt:variant>
        <vt:lpwstr>https://resources.ca.gov/Our-Agencies</vt:lpwstr>
      </vt:variant>
      <vt:variant>
        <vt:lpwstr/>
      </vt:variant>
      <vt:variant>
        <vt:i4>7274553</vt:i4>
      </vt:variant>
      <vt:variant>
        <vt:i4>1803</vt:i4>
      </vt:variant>
      <vt:variant>
        <vt:i4>0</vt:i4>
      </vt:variant>
      <vt:variant>
        <vt:i4>5</vt:i4>
      </vt:variant>
      <vt:variant>
        <vt:lpwstr>https://www.marinwildfire.org/about-mwpa/measure-c</vt:lpwstr>
      </vt:variant>
      <vt:variant>
        <vt:lpwstr/>
      </vt:variant>
      <vt:variant>
        <vt:i4>5570645</vt:i4>
      </vt:variant>
      <vt:variant>
        <vt:i4>1800</vt:i4>
      </vt:variant>
      <vt:variant>
        <vt:i4>0</vt:i4>
      </vt:variant>
      <vt:variant>
        <vt:i4>5</vt:i4>
      </vt:variant>
      <vt:variant>
        <vt:lpwstr>https://www.sfbayrestore.org/overview</vt:lpwstr>
      </vt:variant>
      <vt:variant>
        <vt:lpwstr/>
      </vt:variant>
      <vt:variant>
        <vt:i4>4390994</vt:i4>
      </vt:variant>
      <vt:variant>
        <vt:i4>1794</vt:i4>
      </vt:variant>
      <vt:variant>
        <vt:i4>0</vt:i4>
      </vt:variant>
      <vt:variant>
        <vt:i4>5</vt:i4>
      </vt:variant>
      <vt:variant>
        <vt:lpwstr>https://www.lao.ca.gov/ballot/2010/26_11_2010.aspx</vt:lpwstr>
      </vt:variant>
      <vt:variant>
        <vt:lpwstr/>
      </vt:variant>
      <vt:variant>
        <vt:i4>3276837</vt:i4>
      </vt:variant>
      <vt:variant>
        <vt:i4>1791</vt:i4>
      </vt:variant>
      <vt:variant>
        <vt:i4>0</vt:i4>
      </vt:variant>
      <vt:variant>
        <vt:i4>5</vt:i4>
      </vt:variant>
      <vt:variant>
        <vt:lpwstr>https://www.boe.ca.gov/proptaxes/pdf/pub29.pdf</vt:lpwstr>
      </vt:variant>
      <vt:variant>
        <vt:lpwstr/>
      </vt:variant>
      <vt:variant>
        <vt:i4>4128878</vt:i4>
      </vt:variant>
      <vt:variant>
        <vt:i4>1788</vt:i4>
      </vt:variant>
      <vt:variant>
        <vt:i4>0</vt:i4>
      </vt:variant>
      <vt:variant>
        <vt:i4>5</vt:i4>
      </vt:variant>
      <vt:variant>
        <vt:lpwstr>https://abag.ca.gov/sites/default/files/paying-for-climate-adaptation-in-california.pdf</vt:lpwstr>
      </vt:variant>
      <vt:variant>
        <vt:lpwstr/>
      </vt:variant>
      <vt:variant>
        <vt:i4>3539026</vt:i4>
      </vt:variant>
      <vt:variant>
        <vt:i4>1779</vt:i4>
      </vt:variant>
      <vt:variant>
        <vt:i4>0</vt:i4>
      </vt:variant>
      <vt:variant>
        <vt:i4>5</vt:i4>
      </vt:variant>
      <vt:variant>
        <vt:lpwstr>https://www.laverneca.gov/DocumentCenter/View/4762/City-of-La-Verne-2026-LHMP_Public-Comment-Draft-with-Cover-012126</vt:lpwstr>
      </vt:variant>
      <vt:variant>
        <vt:lpwstr/>
      </vt:variant>
      <vt:variant>
        <vt:i4>262164</vt:i4>
      </vt:variant>
      <vt:variant>
        <vt:i4>1776</vt:i4>
      </vt:variant>
      <vt:variant>
        <vt:i4>0</vt:i4>
      </vt:variant>
      <vt:variant>
        <vt:i4>5</vt:i4>
      </vt:variant>
      <vt:variant>
        <vt:lpwstr>https://www.caloes.ca.gov/wp-content/uploads/Hazard-Mitigation/Documents/2025-FEMA-Local-Mitigation-Planning-Policy-Guide.pdf</vt:lpwstr>
      </vt:variant>
      <vt:variant>
        <vt:lpwstr/>
      </vt:variant>
      <vt:variant>
        <vt:i4>4980800</vt:i4>
      </vt:variant>
      <vt:variant>
        <vt:i4>1773</vt:i4>
      </vt:variant>
      <vt:variant>
        <vt:i4>0</vt:i4>
      </vt:variant>
      <vt:variant>
        <vt:i4>5</vt:i4>
      </vt:variant>
      <vt:variant>
        <vt:lpwstr>https://content.civicplus.com/api/assets/e7e9a77e-6596-43f5-86c0-a1db71e21d0c</vt:lpwstr>
      </vt:variant>
      <vt:variant>
        <vt:lpwstr/>
      </vt:variant>
      <vt:variant>
        <vt:i4>5636191</vt:i4>
      </vt:variant>
      <vt:variant>
        <vt:i4>1764</vt:i4>
      </vt:variant>
      <vt:variant>
        <vt:i4>0</vt:i4>
      </vt:variant>
      <vt:variant>
        <vt:i4>5</vt:i4>
      </vt:variant>
      <vt:variant>
        <vt:lpwstr>https://www.cityofgoleta.org/home/showpublisheddocument/11317/635908658293030000</vt:lpwstr>
      </vt:variant>
      <vt:variant>
        <vt:lpwstr/>
      </vt:variant>
      <vt:variant>
        <vt:i4>1769494</vt:i4>
      </vt:variant>
      <vt:variant>
        <vt:i4>1761</vt:i4>
      </vt:variant>
      <vt:variant>
        <vt:i4>0</vt:i4>
      </vt:variant>
      <vt:variant>
        <vt:i4>5</vt:i4>
      </vt:variant>
      <vt:variant>
        <vt:lpwstr>https://nibs.org/wp-content/uploads/2025/04/ms_v4_overview.pdf</vt:lpwstr>
      </vt:variant>
      <vt:variant>
        <vt:lpwstr/>
      </vt:variant>
      <vt:variant>
        <vt:i4>3735659</vt:i4>
      </vt:variant>
      <vt:variant>
        <vt:i4>1758</vt:i4>
      </vt:variant>
      <vt:variant>
        <vt:i4>0</vt:i4>
      </vt:variant>
      <vt:variant>
        <vt:i4>5</vt:i4>
      </vt:variant>
      <vt:variant>
        <vt:lpwstr>https://www.epa.gov/sites/default/files/2019-07/documents/regional_resilience_toolkit.pdf</vt:lpwstr>
      </vt:variant>
      <vt:variant>
        <vt:lpwstr/>
      </vt:variant>
      <vt:variant>
        <vt:i4>8</vt:i4>
      </vt:variant>
      <vt:variant>
        <vt:i4>1755</vt:i4>
      </vt:variant>
      <vt:variant>
        <vt:i4>0</vt:i4>
      </vt:variant>
      <vt:variant>
        <vt:i4>5</vt:i4>
      </vt:variant>
      <vt:variant>
        <vt:lpwstr>https://www.usdn.org/uploads/cms/documents/usdn_guide_to_equitable_community-driven_climate_preparedness-_high_res.pdf</vt:lpwstr>
      </vt:variant>
      <vt:variant>
        <vt:lpwstr/>
      </vt:variant>
      <vt:variant>
        <vt:i4>393222</vt:i4>
      </vt:variant>
      <vt:variant>
        <vt:i4>1740</vt:i4>
      </vt:variant>
      <vt:variant>
        <vt:i4>0</vt:i4>
      </vt:variant>
      <vt:variant>
        <vt:i4>5</vt:i4>
      </vt:variant>
      <vt:variant>
        <vt:lpwstr>https://www.santacruzca.gov/Government/Climate-Initiatives/Community-Climate-Game-Day</vt:lpwstr>
      </vt:variant>
      <vt:variant>
        <vt:lpwstr/>
      </vt:variant>
      <vt:variant>
        <vt:i4>2359396</vt:i4>
      </vt:variant>
      <vt:variant>
        <vt:i4>1734</vt:i4>
      </vt:variant>
      <vt:variant>
        <vt:i4>0</vt:i4>
      </vt:variant>
      <vt:variant>
        <vt:i4>5</vt:i4>
      </vt:variant>
      <vt:variant>
        <vt:lpwstr>https://www.longbeach.gov/lbcd/planning/environmental/caap/</vt:lpwstr>
      </vt:variant>
      <vt:variant>
        <vt:lpwstr/>
      </vt:variant>
      <vt:variant>
        <vt:i4>3407911</vt:i4>
      </vt:variant>
      <vt:variant>
        <vt:i4>1728</vt:i4>
      </vt:variant>
      <vt:variant>
        <vt:i4>0</vt:i4>
      </vt:variant>
      <vt:variant>
        <vt:i4>5</vt:i4>
      </vt:variant>
      <vt:variant>
        <vt:lpwstr>http://www.adaptingtorisingtides.org/wp-content/uploads/2016/02/ART-H2G-Evaluation-Criteria_web-aligned_V2.pdf</vt:lpwstr>
      </vt:variant>
      <vt:variant>
        <vt:lpwstr/>
      </vt:variant>
      <vt:variant>
        <vt:i4>3407911</vt:i4>
      </vt:variant>
      <vt:variant>
        <vt:i4>1725</vt:i4>
      </vt:variant>
      <vt:variant>
        <vt:i4>0</vt:i4>
      </vt:variant>
      <vt:variant>
        <vt:i4>5</vt:i4>
      </vt:variant>
      <vt:variant>
        <vt:lpwstr>http://www.adaptingtorisingtides.org/wp-content/uploads/2016/02/ART-H2G-Evaluation-Criteria_web-aligned_V2.pdf</vt:lpwstr>
      </vt:variant>
      <vt:variant>
        <vt:lpwstr/>
      </vt:variant>
      <vt:variant>
        <vt:i4>65609</vt:i4>
      </vt:variant>
      <vt:variant>
        <vt:i4>1722</vt:i4>
      </vt:variant>
      <vt:variant>
        <vt:i4>0</vt:i4>
      </vt:variant>
      <vt:variant>
        <vt:i4>5</vt:i4>
      </vt:variant>
      <vt:variant>
        <vt:lpwstr>http://www.adaptingtorisingtides.org/howto/art-supplies/</vt:lpwstr>
      </vt:variant>
      <vt:variant>
        <vt:lpwstr/>
      </vt:variant>
      <vt:variant>
        <vt:i4>65609</vt:i4>
      </vt:variant>
      <vt:variant>
        <vt:i4>1719</vt:i4>
      </vt:variant>
      <vt:variant>
        <vt:i4>0</vt:i4>
      </vt:variant>
      <vt:variant>
        <vt:i4>5</vt:i4>
      </vt:variant>
      <vt:variant>
        <vt:lpwstr>http://www.adaptingtorisingtides.org/howto/art-supplies/</vt:lpwstr>
      </vt:variant>
      <vt:variant>
        <vt:lpwstr/>
      </vt:variant>
      <vt:variant>
        <vt:i4>4259858</vt:i4>
      </vt:variant>
      <vt:variant>
        <vt:i4>1716</vt:i4>
      </vt:variant>
      <vt:variant>
        <vt:i4>0</vt:i4>
      </vt:variant>
      <vt:variant>
        <vt:i4>5</vt:i4>
      </vt:variant>
      <vt:variant>
        <vt:lpwstr>http://www.adaptingtorisingtides.org/</vt:lpwstr>
      </vt:variant>
      <vt:variant>
        <vt:lpwstr/>
      </vt:variant>
      <vt:variant>
        <vt:i4>6094931</vt:i4>
      </vt:variant>
      <vt:variant>
        <vt:i4>1713</vt:i4>
      </vt:variant>
      <vt:variant>
        <vt:i4>0</vt:i4>
      </vt:variant>
      <vt:variant>
        <vt:i4>5</vt:i4>
      </vt:variant>
      <vt:variant>
        <vt:lpwstr>https://www.climatecollaborativescc.org/multi-benefit-assessment</vt:lpwstr>
      </vt:variant>
      <vt:variant>
        <vt:lpwstr/>
      </vt:variant>
      <vt:variant>
        <vt:i4>1048669</vt:i4>
      </vt:variant>
      <vt:variant>
        <vt:i4>1710</vt:i4>
      </vt:variant>
      <vt:variant>
        <vt:i4>0</vt:i4>
      </vt:variant>
      <vt:variant>
        <vt:i4>5</vt:i4>
      </vt:variant>
      <vt:variant>
        <vt:lpwstr>https://adaptationprofessionals.org/ready-to-fund-resilience-toolkit/</vt:lpwstr>
      </vt:variant>
      <vt:variant>
        <vt:lpwstr/>
      </vt:variant>
      <vt:variant>
        <vt:i4>6357048</vt:i4>
      </vt:variant>
      <vt:variant>
        <vt:i4>1707</vt:i4>
      </vt:variant>
      <vt:variant>
        <vt:i4>0</vt:i4>
      </vt:variant>
      <vt:variant>
        <vt:i4>5</vt:i4>
      </vt:variant>
      <vt:variant>
        <vt:lpwstr>https://www.yuroktribe.org/_files/ugd/23c897_d77feebfe55b4ba889c57afaac85bba3.pdf</vt:lpwstr>
      </vt:variant>
      <vt:variant>
        <vt:lpwstr/>
      </vt:variant>
      <vt:variant>
        <vt:i4>2752620</vt:i4>
      </vt:variant>
      <vt:variant>
        <vt:i4>1704</vt:i4>
      </vt:variant>
      <vt:variant>
        <vt:i4>0</vt:i4>
      </vt:variant>
      <vt:variant>
        <vt:i4>5</vt:i4>
      </vt:variant>
      <vt:variant>
        <vt:lpwstr>https://www.grants.ca.gov/</vt:lpwstr>
      </vt:variant>
      <vt:variant>
        <vt:lpwstr/>
      </vt:variant>
      <vt:variant>
        <vt:i4>1114180</vt:i4>
      </vt:variant>
      <vt:variant>
        <vt:i4>1701</vt:i4>
      </vt:variant>
      <vt:variant>
        <vt:i4>0</vt:i4>
      </vt:variant>
      <vt:variant>
        <vt:i4>5</vt:i4>
      </vt:variant>
      <vt:variant>
        <vt:lpwstr>https://abag.ca.gov/our-work/projects/san-francisco-bay-restoration-authority</vt:lpwstr>
      </vt:variant>
      <vt:variant>
        <vt:lpwstr/>
      </vt:variant>
      <vt:variant>
        <vt:i4>3670086</vt:i4>
      </vt:variant>
      <vt:variant>
        <vt:i4>1698</vt:i4>
      </vt:variant>
      <vt:variant>
        <vt:i4>0</vt:i4>
      </vt:variant>
      <vt:variant>
        <vt:i4>5</vt:i4>
      </vt:variant>
      <vt:variant>
        <vt:lpwstr>https://bondaccountability.resources.ca.gov/Propositions/Proposition_4_Climate_Bond</vt:lpwstr>
      </vt:variant>
      <vt:variant>
        <vt:lpwstr/>
      </vt:variant>
      <vt:variant>
        <vt:i4>2752572</vt:i4>
      </vt:variant>
      <vt:variant>
        <vt:i4>1695</vt:i4>
      </vt:variant>
      <vt:variant>
        <vt:i4>0</vt:i4>
      </vt:variant>
      <vt:variant>
        <vt:i4>5</vt:i4>
      </vt:variant>
      <vt:variant>
        <vt:lpwstr>https://www.grants.ca.gov/grants/proposition-68-grant-program/</vt:lpwstr>
      </vt:variant>
      <vt:variant>
        <vt:lpwstr/>
      </vt:variant>
      <vt:variant>
        <vt:i4>9</vt:i4>
      </vt:variant>
      <vt:variant>
        <vt:i4>1692</vt:i4>
      </vt:variant>
      <vt:variant>
        <vt:i4>0</vt:i4>
      </vt:variant>
      <vt:variant>
        <vt:i4>5</vt:i4>
      </vt:variant>
      <vt:variant>
        <vt:lpwstr>https://safecleanwaterla.org/</vt:lpwstr>
      </vt:variant>
      <vt:variant>
        <vt:lpwstr/>
      </vt:variant>
      <vt:variant>
        <vt:i4>1835070</vt:i4>
      </vt:variant>
      <vt:variant>
        <vt:i4>1689</vt:i4>
      </vt:variant>
      <vt:variant>
        <vt:i4>0</vt:i4>
      </vt:variant>
      <vt:variant>
        <vt:i4>5</vt:i4>
      </vt:variant>
      <vt:variant>
        <vt:lpwstr/>
      </vt:variant>
      <vt:variant>
        <vt:lpwstr>_Toc235190090</vt:lpwstr>
      </vt:variant>
      <vt:variant>
        <vt:i4>26</vt:i4>
      </vt:variant>
      <vt:variant>
        <vt:i4>1677</vt:i4>
      </vt:variant>
      <vt:variant>
        <vt:i4>0</vt:i4>
      </vt:variant>
      <vt:variant>
        <vt:i4>5</vt:i4>
      </vt:variant>
      <vt:variant>
        <vt:lpwstr>http://greenlining.org/wp-content/uploads/2019/08/Making-Equity-Real-in-Climate-Adaption-and-Community-Resilience-Policies-and-Programs-A-Guidebook-1.pdf</vt:lpwstr>
      </vt:variant>
      <vt:variant>
        <vt:lpwstr/>
      </vt:variant>
      <vt:variant>
        <vt:i4>8060964</vt:i4>
      </vt:variant>
      <vt:variant>
        <vt:i4>1671</vt:i4>
      </vt:variant>
      <vt:variant>
        <vt:i4>0</vt:i4>
      </vt:variant>
      <vt:variant>
        <vt:i4>5</vt:i4>
      </vt:variant>
      <vt:variant>
        <vt:lpwstr>https://www.bart.gov/sites/default/files/2026-01/2026-01-23_BART Final SAP_0.pdf</vt:lpwstr>
      </vt:variant>
      <vt:variant>
        <vt:lpwstr/>
      </vt:variant>
      <vt:variant>
        <vt:i4>8</vt:i4>
      </vt:variant>
      <vt:variant>
        <vt:i4>1668</vt:i4>
      </vt:variant>
      <vt:variant>
        <vt:i4>0</vt:i4>
      </vt:variant>
      <vt:variant>
        <vt:i4>5</vt:i4>
      </vt:variant>
      <vt:variant>
        <vt:lpwstr>https://www.usdn.org/uploads/cms/documents/usdn_guide_to_equitable_community-driven_climate_preparedness-_high_res.pdf</vt:lpwstr>
      </vt:variant>
      <vt:variant>
        <vt:lpwstr/>
      </vt:variant>
      <vt:variant>
        <vt:i4>720918</vt:i4>
      </vt:variant>
      <vt:variant>
        <vt:i4>1656</vt:i4>
      </vt:variant>
      <vt:variant>
        <vt:i4>0</vt:i4>
      </vt:variant>
      <vt:variant>
        <vt:i4>5</vt:i4>
      </vt:variant>
      <vt:variant>
        <vt:lpwstr>https://movementstrategy.org/</vt:lpwstr>
      </vt:variant>
      <vt:variant>
        <vt:lpwstr/>
      </vt:variant>
      <vt:variant>
        <vt:i4>3407981</vt:i4>
      </vt:variant>
      <vt:variant>
        <vt:i4>1653</vt:i4>
      </vt:variant>
      <vt:variant>
        <vt:i4>0</vt:i4>
      </vt:variant>
      <vt:variant>
        <vt:i4>5</vt:i4>
      </vt:variant>
      <vt:variant>
        <vt:lpwstr>https://water.ca.gov/-/media/DWR-Website/Web-Pages/Programs/All-Programs/Climate-Change-Program/Climate-Action-Plan/Files/Exhibit-C-CAP-Phase-1-Update-2023.pdf</vt:lpwstr>
      </vt:variant>
      <vt:variant>
        <vt:lpwstr/>
      </vt:variant>
      <vt:variant>
        <vt:i4>1179671</vt:i4>
      </vt:variant>
      <vt:variant>
        <vt:i4>1650</vt:i4>
      </vt:variant>
      <vt:variant>
        <vt:i4>0</vt:i4>
      </vt:variant>
      <vt:variant>
        <vt:i4>5</vt:i4>
      </vt:variant>
      <vt:variant>
        <vt:lpwstr>https://water.ca.gov/Programs/All-Programs/Climate-Change-Program/Climate-Action-Plan</vt:lpwstr>
      </vt:variant>
      <vt:variant>
        <vt:lpwstr/>
      </vt:variant>
      <vt:variant>
        <vt:i4>7667744</vt:i4>
      </vt:variant>
      <vt:variant>
        <vt:i4>1647</vt:i4>
      </vt:variant>
      <vt:variant>
        <vt:i4>0</vt:i4>
      </vt:variant>
      <vt:variant>
        <vt:i4>5</vt:i4>
      </vt:variant>
      <vt:variant>
        <vt:lpwstr>https://dot.ca.gov/-/media/dot-media/programs/transportation-planning/documents/office-of-smart-mobility-and-climate-change/fy23-24-adaptation-strategies-transportation-infrastructure-05102024v2-a11y.pdf</vt:lpwstr>
      </vt:variant>
      <vt:variant>
        <vt:lpwstr/>
      </vt:variant>
      <vt:variant>
        <vt:i4>5242883</vt:i4>
      </vt:variant>
      <vt:variant>
        <vt:i4>1644</vt:i4>
      </vt:variant>
      <vt:variant>
        <vt:i4>0</vt:i4>
      </vt:variant>
      <vt:variant>
        <vt:i4>5</vt:i4>
      </vt:variant>
      <vt:variant>
        <vt:lpwstr>https://resources.ca.gov/Initiatives/Building-Climate-Resilience</vt:lpwstr>
      </vt:variant>
      <vt:variant>
        <vt:lpwstr/>
      </vt:variant>
      <vt:variant>
        <vt:i4>2621565</vt:i4>
      </vt:variant>
      <vt:variant>
        <vt:i4>1641</vt:i4>
      </vt:variant>
      <vt:variant>
        <vt:i4>0</vt:i4>
      </vt:variant>
      <vt:variant>
        <vt:i4>5</vt:i4>
      </vt:variant>
      <vt:variant>
        <vt:lpwstr>https://www.slc.ca.gov/sea-level-rise/shoreline-adaptation-report/</vt:lpwstr>
      </vt:variant>
      <vt:variant>
        <vt:lpwstr/>
      </vt:variant>
      <vt:variant>
        <vt:i4>6684708</vt:i4>
      </vt:variant>
      <vt:variant>
        <vt:i4>1638</vt:i4>
      </vt:variant>
      <vt:variant>
        <vt:i4>0</vt:i4>
      </vt:variant>
      <vt:variant>
        <vt:i4>5</vt:i4>
      </vt:variant>
      <vt:variant>
        <vt:lpwstr>https://www.bcdc.ca.gov/wp-content/uploads/sites/354/2024/12/regional-shoreline-adaptation-plan.pdf</vt:lpwstr>
      </vt:variant>
      <vt:variant>
        <vt:lpwstr/>
      </vt:variant>
      <vt:variant>
        <vt:i4>5898269</vt:i4>
      </vt:variant>
      <vt:variant>
        <vt:i4>1635</vt:i4>
      </vt:variant>
      <vt:variant>
        <vt:i4>0</vt:i4>
      </vt:variant>
      <vt:variant>
        <vt:i4>5</vt:i4>
      </vt:variant>
      <vt:variant>
        <vt:lpwstr>https://greenlining.org/ publications/reports/2019/equitable-building-electrification-a-framework-for-powering-resilient-communities/</vt:lpwstr>
      </vt:variant>
      <vt:variant>
        <vt:lpwstr/>
      </vt:variant>
      <vt:variant>
        <vt:i4>5111881</vt:i4>
      </vt:variant>
      <vt:variant>
        <vt:i4>1632</vt:i4>
      </vt:variant>
      <vt:variant>
        <vt:i4>0</vt:i4>
      </vt:variant>
      <vt:variant>
        <vt:i4>5</vt:i4>
      </vt:variant>
      <vt:variant>
        <vt:lpwstr>https://racialequity.issuelab.org/resource/racial-equity-getting-to-results.html</vt:lpwstr>
      </vt:variant>
      <vt:variant>
        <vt:lpwstr/>
      </vt:variant>
      <vt:variant>
        <vt:i4>8192048</vt:i4>
      </vt:variant>
      <vt:variant>
        <vt:i4>1629</vt:i4>
      </vt:variant>
      <vt:variant>
        <vt:i4>0</vt:i4>
      </vt:variant>
      <vt:variant>
        <vt:i4>5</vt:i4>
      </vt:variant>
      <vt:variant>
        <vt:lpwstr>https://urbanwaterslearningnetwork.org/wp-content/uploads/2019/06/Our-Communities-Our-Power-TOOLKIT.pdf</vt:lpwstr>
      </vt:variant>
      <vt:variant>
        <vt:lpwstr/>
      </vt:variant>
      <vt:variant>
        <vt:i4>8</vt:i4>
      </vt:variant>
      <vt:variant>
        <vt:i4>1626</vt:i4>
      </vt:variant>
      <vt:variant>
        <vt:i4>0</vt:i4>
      </vt:variant>
      <vt:variant>
        <vt:i4>5</vt:i4>
      </vt:variant>
      <vt:variant>
        <vt:lpwstr>https://www.usdn.org/uploads/cms/documents/usdn_guide_to_equitable_community-driven_climate_preparedness-_high_res.pdf</vt:lpwstr>
      </vt:variant>
      <vt:variant>
        <vt:lpwstr/>
      </vt:variant>
      <vt:variant>
        <vt:i4>5636165</vt:i4>
      </vt:variant>
      <vt:variant>
        <vt:i4>1623</vt:i4>
      </vt:variant>
      <vt:variant>
        <vt:i4>0</vt:i4>
      </vt:variant>
      <vt:variant>
        <vt:i4>5</vt:i4>
      </vt:variant>
      <vt:variant>
        <vt:lpwstr>https://www.adaptationclearinghouse.org/</vt:lpwstr>
      </vt:variant>
      <vt:variant>
        <vt:lpwstr/>
      </vt:variant>
      <vt:variant>
        <vt:i4>4128824</vt:i4>
      </vt:variant>
      <vt:variant>
        <vt:i4>1620</vt:i4>
      </vt:variant>
      <vt:variant>
        <vt:i4>0</vt:i4>
      </vt:variant>
      <vt:variant>
        <vt:i4>5</vt:i4>
      </vt:variant>
      <vt:variant>
        <vt:lpwstr>https://www.cakex.org/</vt:lpwstr>
      </vt:variant>
      <vt:variant>
        <vt:lpwstr/>
      </vt:variant>
      <vt:variant>
        <vt:i4>5111899</vt:i4>
      </vt:variant>
      <vt:variant>
        <vt:i4>1617</vt:i4>
      </vt:variant>
      <vt:variant>
        <vt:i4>0</vt:i4>
      </vt:variant>
      <vt:variant>
        <vt:i4>5</vt:i4>
      </vt:variant>
      <vt:variant>
        <vt:lpwstr>https://toolkit.climate.gov/</vt:lpwstr>
      </vt:variant>
      <vt:variant>
        <vt:lpwstr/>
      </vt:variant>
      <vt:variant>
        <vt:i4>7471157</vt:i4>
      </vt:variant>
      <vt:variant>
        <vt:i4>1614</vt:i4>
      </vt:variant>
      <vt:variant>
        <vt:i4>0</vt:i4>
      </vt:variant>
      <vt:variant>
        <vt:i4>5</vt:i4>
      </vt:variant>
      <vt:variant>
        <vt:lpwstr>https://water.ca.gov/Programs/All-Programs/Climate-Change-Program/Resources-for-Water-Managers</vt:lpwstr>
      </vt:variant>
      <vt:variant>
        <vt:lpwstr/>
      </vt:variant>
      <vt:variant>
        <vt:i4>3211293</vt:i4>
      </vt:variant>
      <vt:variant>
        <vt:i4>1611</vt:i4>
      </vt:variant>
      <vt:variant>
        <vt:i4>0</vt:i4>
      </vt:variant>
      <vt:variant>
        <vt:i4>5</vt:i4>
      </vt:variant>
      <vt:variant>
        <vt:lpwstr>https://lci.ca.gov/docs/OPR_Appendix_A_final.pdf</vt:lpwstr>
      </vt:variant>
      <vt:variant>
        <vt:lpwstr/>
      </vt:variant>
      <vt:variant>
        <vt:i4>655445</vt:i4>
      </vt:variant>
      <vt:variant>
        <vt:i4>1608</vt:i4>
      </vt:variant>
      <vt:variant>
        <vt:i4>0</vt:i4>
      </vt:variant>
      <vt:variant>
        <vt:i4>5</vt:i4>
      </vt:variant>
      <vt:variant>
        <vt:lpwstr>https://resilientca.org/</vt:lpwstr>
      </vt:variant>
      <vt:variant>
        <vt:lpwstr/>
      </vt:variant>
      <vt:variant>
        <vt:i4>4456527</vt:i4>
      </vt:variant>
      <vt:variant>
        <vt:i4>1605</vt:i4>
      </vt:variant>
      <vt:variant>
        <vt:i4>0</vt:i4>
      </vt:variant>
      <vt:variant>
        <vt:i4>5</vt:i4>
      </vt:variant>
      <vt:variant>
        <vt:lpwstr>https://www.caloes.ca.gov/wp-content/uploads/Hazard-Mitigation/Documents/FEMA-Tribal-Mitigation-Planning-Handbook-05.2025.pdf</vt:lpwstr>
      </vt:variant>
      <vt:variant>
        <vt:lpwstr/>
      </vt:variant>
      <vt:variant>
        <vt:i4>1310806</vt:i4>
      </vt:variant>
      <vt:variant>
        <vt:i4>1602</vt:i4>
      </vt:variant>
      <vt:variant>
        <vt:i4>0</vt:i4>
      </vt:variant>
      <vt:variant>
        <vt:i4>5</vt:i4>
      </vt:variant>
      <vt:variant>
        <vt:lpwstr>https://tribalresilienceactions.org/</vt:lpwstr>
      </vt:variant>
      <vt:variant>
        <vt:lpwstr/>
      </vt:variant>
      <vt:variant>
        <vt:i4>3735659</vt:i4>
      </vt:variant>
      <vt:variant>
        <vt:i4>1599</vt:i4>
      </vt:variant>
      <vt:variant>
        <vt:i4>0</vt:i4>
      </vt:variant>
      <vt:variant>
        <vt:i4>5</vt:i4>
      </vt:variant>
      <vt:variant>
        <vt:lpwstr>https://www.epa.gov/sites/default/files/2019-07/documents/regional_resilience_toolkit.pdf</vt:lpwstr>
      </vt:variant>
      <vt:variant>
        <vt:lpwstr/>
      </vt:variant>
      <vt:variant>
        <vt:i4>5177344</vt:i4>
      </vt:variant>
      <vt:variant>
        <vt:i4>1593</vt:i4>
      </vt:variant>
      <vt:variant>
        <vt:i4>0</vt:i4>
      </vt:variant>
      <vt:variant>
        <vt:i4>5</vt:i4>
      </vt:variant>
      <vt:variant>
        <vt:lpwstr>https://www.townofmammothlakes.ca.gov/895/Resilient-Mammoth-Lakes</vt:lpwstr>
      </vt:variant>
      <vt:variant>
        <vt:lpwstr/>
      </vt:variant>
      <vt:variant>
        <vt:i4>5767230</vt:i4>
      </vt:variant>
      <vt:variant>
        <vt:i4>1590</vt:i4>
      </vt:variant>
      <vt:variant>
        <vt:i4>0</vt:i4>
      </vt:variant>
      <vt:variant>
        <vt:i4>5</vt:i4>
      </vt:variant>
      <vt:variant>
        <vt:lpwstr>https://cvmshcp.org/wp-content/uploads/2026/04/CVMSHCP_AnnualReport_2025_FINAL.pdf</vt:lpwstr>
      </vt:variant>
      <vt:variant>
        <vt:lpwstr/>
      </vt:variant>
      <vt:variant>
        <vt:i4>1245265</vt:i4>
      </vt:variant>
      <vt:variant>
        <vt:i4>1587</vt:i4>
      </vt:variant>
      <vt:variant>
        <vt:i4>0</vt:i4>
      </vt:variant>
      <vt:variant>
        <vt:i4>5</vt:i4>
      </vt:variant>
      <vt:variant>
        <vt:lpwstr>https://climateresilience.ca.gov/priorities/natural-systems/</vt:lpwstr>
      </vt:variant>
      <vt:variant>
        <vt:lpwstr/>
      </vt:variant>
      <vt:variant>
        <vt:i4>524290</vt:i4>
      </vt:variant>
      <vt:variant>
        <vt:i4>1584</vt:i4>
      </vt:variant>
      <vt:variant>
        <vt:i4>0</vt:i4>
      </vt:variant>
      <vt:variant>
        <vt:i4>5</vt:i4>
      </vt:variant>
      <vt:variant>
        <vt:lpwstr>https://www.climateresilience.ca.gov/</vt:lpwstr>
      </vt:variant>
      <vt:variant>
        <vt:lpwstr/>
      </vt:variant>
      <vt:variant>
        <vt:i4>6225996</vt:i4>
      </vt:variant>
      <vt:variant>
        <vt:i4>1575</vt:i4>
      </vt:variant>
      <vt:variant>
        <vt:i4>0</vt:i4>
      </vt:variant>
      <vt:variant>
        <vt:i4>5</vt:i4>
      </vt:variant>
      <vt:variant>
        <vt:lpwstr>https://www.cityofwestsacramento.org/home/showpublisheddocument/20579/638860179110630000</vt:lpwstr>
      </vt:variant>
      <vt:variant>
        <vt:lpwstr/>
      </vt:variant>
      <vt:variant>
        <vt:i4>5374047</vt:i4>
      </vt:variant>
      <vt:variant>
        <vt:i4>1572</vt:i4>
      </vt:variant>
      <vt:variant>
        <vt:i4>0</vt:i4>
      </vt:variant>
      <vt:variant>
        <vt:i4>5</vt:i4>
      </vt:variant>
      <vt:variant>
        <vt:lpwstr>https://www.rmwd.org/about-us/climate-adaptation-plan</vt:lpwstr>
      </vt:variant>
      <vt:variant>
        <vt:lpwstr/>
      </vt:variant>
      <vt:variant>
        <vt:i4>3866739</vt:i4>
      </vt:variant>
      <vt:variant>
        <vt:i4>1569</vt:i4>
      </vt:variant>
      <vt:variant>
        <vt:i4>0</vt:i4>
      </vt:variant>
      <vt:variant>
        <vt:i4>5</vt:i4>
      </vt:variant>
      <vt:variant>
        <vt:lpwstr>https://www.caloes.ca.gov/wp-content/uploads/Hazard-Mitigation/Documents/FEMA-Local-Mitigation-Planning-Handbook-06.12.2025.pdf</vt:lpwstr>
      </vt:variant>
      <vt:variant>
        <vt:lpwstr/>
      </vt:variant>
      <vt:variant>
        <vt:i4>3014678</vt:i4>
      </vt:variant>
      <vt:variant>
        <vt:i4>1566</vt:i4>
      </vt:variant>
      <vt:variant>
        <vt:i4>0</vt:i4>
      </vt:variant>
      <vt:variant>
        <vt:i4>5</vt:i4>
      </vt:variant>
      <vt:variant>
        <vt:lpwstr/>
      </vt:variant>
      <vt:variant>
        <vt:lpwstr>_Step_3.1:_Summarize</vt:lpwstr>
      </vt:variant>
      <vt:variant>
        <vt:i4>6291539</vt:i4>
      </vt:variant>
      <vt:variant>
        <vt:i4>1563</vt:i4>
      </vt:variant>
      <vt:variant>
        <vt:i4>0</vt:i4>
      </vt:variant>
      <vt:variant>
        <vt:i4>5</vt:i4>
      </vt:variant>
      <vt:variant>
        <vt:lpwstr/>
      </vt:variant>
      <vt:variant>
        <vt:lpwstr>Step_3.2:_Confirm_Vision_and_Goals</vt:lpwstr>
      </vt:variant>
      <vt:variant>
        <vt:i4>8126578</vt:i4>
      </vt:variant>
      <vt:variant>
        <vt:i4>1560</vt:i4>
      </vt:variant>
      <vt:variant>
        <vt:i4>0</vt:i4>
      </vt:variant>
      <vt:variant>
        <vt:i4>5</vt:i4>
      </vt:variant>
      <vt:variant>
        <vt:lpwstr>https://calich.ca.gov/</vt:lpwstr>
      </vt:variant>
      <vt:variant>
        <vt:lpwstr/>
      </vt:variant>
      <vt:variant>
        <vt:i4>6094858</vt:i4>
      </vt:variant>
      <vt:variant>
        <vt:i4>1557</vt:i4>
      </vt:variant>
      <vt:variant>
        <vt:i4>0</vt:i4>
      </vt:variant>
      <vt:variant>
        <vt:i4>5</vt:i4>
      </vt:variant>
      <vt:variant>
        <vt:lpwstr>https://calich.ca.gov/heart.html</vt:lpwstr>
      </vt:variant>
      <vt:variant>
        <vt:lpwstr/>
      </vt:variant>
      <vt:variant>
        <vt:i4>4390948</vt:i4>
      </vt:variant>
      <vt:variant>
        <vt:i4>1554</vt:i4>
      </vt:variant>
      <vt:variant>
        <vt:i4>0</vt:i4>
      </vt:variant>
      <vt:variant>
        <vt:i4>5</vt:i4>
      </vt:variant>
      <vt:variant>
        <vt:lpwstr>https://lakecounty2050.org/wp-content/uploads/LakeCounty_ClimateAdaptationPlan_FINAL_Jan2026.pdf</vt:lpwstr>
      </vt:variant>
      <vt:variant>
        <vt:lpwstr/>
      </vt:variant>
      <vt:variant>
        <vt:i4>524290</vt:i4>
      </vt:variant>
      <vt:variant>
        <vt:i4>1551</vt:i4>
      </vt:variant>
      <vt:variant>
        <vt:i4>0</vt:i4>
      </vt:variant>
      <vt:variant>
        <vt:i4>5</vt:i4>
      </vt:variant>
      <vt:variant>
        <vt:lpwstr>https://www.climateresilience.ca.gov/</vt:lpwstr>
      </vt:variant>
      <vt:variant>
        <vt:lpwstr/>
      </vt:variant>
      <vt:variant>
        <vt:i4>6029392</vt:i4>
      </vt:variant>
      <vt:variant>
        <vt:i4>1548</vt:i4>
      </vt:variant>
      <vt:variant>
        <vt:i4>0</vt:i4>
      </vt:variant>
      <vt:variant>
        <vt:i4>5</vt:i4>
      </vt:variant>
      <vt:variant>
        <vt:lpwstr>https://www.caloes.ca.gov/wp-content/uploads/Hazard-Mitigation/Documents/2023-California-SHMP_Volume-1-Part-4_2.23.26.pdf</vt:lpwstr>
      </vt:variant>
      <vt:variant>
        <vt:lpwstr/>
      </vt:variant>
      <vt:variant>
        <vt:i4>4128868</vt:i4>
      </vt:variant>
      <vt:variant>
        <vt:i4>1545</vt:i4>
      </vt:variant>
      <vt:variant>
        <vt:i4>0</vt:i4>
      </vt:variant>
      <vt:variant>
        <vt:i4>5</vt:i4>
      </vt:variant>
      <vt:variant>
        <vt:lpwstr>https://lci.ca.gov/docs/OPR_COMPLETE_7.31.17.pdf</vt:lpwstr>
      </vt:variant>
      <vt:variant>
        <vt:lpwstr/>
      </vt:variant>
      <vt:variant>
        <vt:i4>5374048</vt:i4>
      </vt:variant>
      <vt:variant>
        <vt:i4>1542</vt:i4>
      </vt:variant>
      <vt:variant>
        <vt:i4>0</vt:i4>
      </vt:variant>
      <vt:variant>
        <vt:i4>5</vt:i4>
      </vt:variant>
      <vt:variant>
        <vt:lpwstr>https://ramona-baronacaap.rinconconsultants.com/wp-content/uploads/2026/01/Ramona-Barona-CARP_with-Appendices-1.pdf</vt:lpwstr>
      </vt:variant>
      <vt:variant>
        <vt:lpwstr/>
      </vt:variant>
      <vt:variant>
        <vt:i4>2424874</vt:i4>
      </vt:variant>
      <vt:variant>
        <vt:i4>1539</vt:i4>
      </vt:variant>
      <vt:variant>
        <vt:i4>0</vt:i4>
      </vt:variant>
      <vt:variant>
        <vt:i4>5</vt:i4>
      </vt:variant>
      <vt:variant>
        <vt:lpwstr>https://www.adaptingtorisingtides.org/</vt:lpwstr>
      </vt:variant>
      <vt:variant>
        <vt:lpwstr/>
      </vt:variant>
      <vt:variant>
        <vt:i4>3670134</vt:i4>
      </vt:variant>
      <vt:variant>
        <vt:i4>1536</vt:i4>
      </vt:variant>
      <vt:variant>
        <vt:i4>0</vt:i4>
      </vt:variant>
      <vt:variant>
        <vt:i4>5</vt:i4>
      </vt:variant>
      <vt:variant>
        <vt:lpwstr>https://www.epa.gov/smartgrowth/regional-resilience-toolkit</vt:lpwstr>
      </vt:variant>
      <vt:variant>
        <vt:lpwstr/>
      </vt:variant>
      <vt:variant>
        <vt:i4>3866739</vt:i4>
      </vt:variant>
      <vt:variant>
        <vt:i4>1533</vt:i4>
      </vt:variant>
      <vt:variant>
        <vt:i4>0</vt:i4>
      </vt:variant>
      <vt:variant>
        <vt:i4>5</vt:i4>
      </vt:variant>
      <vt:variant>
        <vt:lpwstr>https://www.caloes.ca.gov/wp-content/uploads/Hazard-Mitigation/Documents/FEMA-Local-Mitigation-Planning-Handbook-06.12.2025.pdf</vt:lpwstr>
      </vt:variant>
      <vt:variant>
        <vt:lpwstr/>
      </vt:variant>
      <vt:variant>
        <vt:i4>6225981</vt:i4>
      </vt:variant>
      <vt:variant>
        <vt:i4>1530</vt:i4>
      </vt:variant>
      <vt:variant>
        <vt:i4>0</vt:i4>
      </vt:variant>
      <vt:variant>
        <vt:i4>5</vt:i4>
      </vt:variant>
      <vt:variant>
        <vt:lpwstr>https://leginfo.legislature.ca.gov/faces/codes_displaySection.xhtml?sectionNum=65302.&amp;lawCode=GOV</vt:lpwstr>
      </vt:variant>
      <vt:variant>
        <vt:lpwstr/>
      </vt:variant>
      <vt:variant>
        <vt:i4>6357089</vt:i4>
      </vt:variant>
      <vt:variant>
        <vt:i4>1521</vt:i4>
      </vt:variant>
      <vt:variant>
        <vt:i4>0</vt:i4>
      </vt:variant>
      <vt:variant>
        <vt:i4>5</vt:i4>
      </vt:variant>
      <vt:variant>
        <vt:lpwstr>https://vcp.lci.ca.gov/</vt:lpwstr>
      </vt:variant>
      <vt:variant>
        <vt:lpwstr/>
      </vt:variant>
      <vt:variant>
        <vt:i4>6160387</vt:i4>
      </vt:variant>
      <vt:variant>
        <vt:i4>1515</vt:i4>
      </vt:variant>
      <vt:variant>
        <vt:i4>0</vt:i4>
      </vt:variant>
      <vt:variant>
        <vt:i4>5</vt:i4>
      </vt:variant>
      <vt:variant>
        <vt:lpwstr>https://www.sandiegocounty.gov/content/dam/sdc/pds/gpupdate/VulnerabilityAssess-AdaptRpt.pdf</vt:lpwstr>
      </vt:variant>
      <vt:variant>
        <vt:lpwstr/>
      </vt:variant>
      <vt:variant>
        <vt:i4>6160387</vt:i4>
      </vt:variant>
      <vt:variant>
        <vt:i4>1512</vt:i4>
      </vt:variant>
      <vt:variant>
        <vt:i4>0</vt:i4>
      </vt:variant>
      <vt:variant>
        <vt:i4>5</vt:i4>
      </vt:variant>
      <vt:variant>
        <vt:lpwstr>https://www.sandiegocounty.gov/content/dam/sdc/pds/gpupdate/VulnerabilityAssess-AdaptRpt.pdf</vt:lpwstr>
      </vt:variant>
      <vt:variant>
        <vt:lpwstr/>
      </vt:variant>
      <vt:variant>
        <vt:i4>1048680</vt:i4>
      </vt:variant>
      <vt:variant>
        <vt:i4>1500</vt:i4>
      </vt:variant>
      <vt:variant>
        <vt:i4>0</vt:i4>
      </vt:variant>
      <vt:variant>
        <vt:i4>5</vt:i4>
      </vt:variant>
      <vt:variant>
        <vt:lpwstr>https://wrcog.us/wp-content/uploads/2025/08/Western-Riverside-Adaptation-and-Resiliency-Strategy_Vulnerability-Assessment.pdf</vt:lpwstr>
      </vt:variant>
      <vt:variant>
        <vt:lpwstr/>
      </vt:variant>
      <vt:variant>
        <vt:i4>2883629</vt:i4>
      </vt:variant>
      <vt:variant>
        <vt:i4>1491</vt:i4>
      </vt:variant>
      <vt:variant>
        <vt:i4>0</vt:i4>
      </vt:variant>
      <vt:variant>
        <vt:i4>5</vt:i4>
      </vt:variant>
      <vt:variant>
        <vt:lpwstr>https://scag.ca.gov/sites/default/files/old/file-attachments/socaladaptationplanningguide_oct2020_0.pdf</vt:lpwstr>
      </vt:variant>
      <vt:variant>
        <vt:lpwstr/>
      </vt:variant>
      <vt:variant>
        <vt:i4>1048638</vt:i4>
      </vt:variant>
      <vt:variant>
        <vt:i4>1464</vt:i4>
      </vt:variant>
      <vt:variant>
        <vt:i4>0</vt:i4>
      </vt:variant>
      <vt:variant>
        <vt:i4>5</vt:i4>
      </vt:variant>
      <vt:variant>
        <vt:lpwstr/>
      </vt:variant>
      <vt:variant>
        <vt:lpwstr>_Toc235190055</vt:lpwstr>
      </vt:variant>
      <vt:variant>
        <vt:i4>4456527</vt:i4>
      </vt:variant>
      <vt:variant>
        <vt:i4>1461</vt:i4>
      </vt:variant>
      <vt:variant>
        <vt:i4>0</vt:i4>
      </vt:variant>
      <vt:variant>
        <vt:i4>5</vt:i4>
      </vt:variant>
      <vt:variant>
        <vt:lpwstr>https://www.caloes.ca.gov/wp-content/uploads/Hazard-Mitigation/Documents/FEMA-Tribal-Mitigation-Planning-Handbook-05.2025.pdf</vt:lpwstr>
      </vt:variant>
      <vt:variant>
        <vt:lpwstr/>
      </vt:variant>
      <vt:variant>
        <vt:i4>5374076</vt:i4>
      </vt:variant>
      <vt:variant>
        <vt:i4>1455</vt:i4>
      </vt:variant>
      <vt:variant>
        <vt:i4>0</vt:i4>
      </vt:variant>
      <vt:variant>
        <vt:i4>5</vt:i4>
      </vt:variant>
      <vt:variant>
        <vt:lpwstr/>
      </vt:variant>
      <vt:variant>
        <vt:lpwstr>_Step_2.2D:_Outreach</vt:lpwstr>
      </vt:variant>
      <vt:variant>
        <vt:i4>7471146</vt:i4>
      </vt:variant>
      <vt:variant>
        <vt:i4>1443</vt:i4>
      </vt:variant>
      <vt:variant>
        <vt:i4>0</vt:i4>
      </vt:variant>
      <vt:variant>
        <vt:i4>5</vt:i4>
      </vt:variant>
      <vt:variant>
        <vt:lpwstr>https://www.maderacounty.com/government/sheriff/office-of-emergency-services/lhmp-2026-1718</vt:lpwstr>
      </vt:variant>
      <vt:variant>
        <vt:lpwstr/>
      </vt:variant>
      <vt:variant>
        <vt:i4>5701697</vt:i4>
      </vt:variant>
      <vt:variant>
        <vt:i4>1434</vt:i4>
      </vt:variant>
      <vt:variant>
        <vt:i4>0</vt:i4>
      </vt:variant>
      <vt:variant>
        <vt:i4>5</vt:i4>
      </vt:variant>
      <vt:variant>
        <vt:lpwstr>https://forestadaptation.org/adaptation-workbook</vt:lpwstr>
      </vt:variant>
      <vt:variant>
        <vt:lpwstr/>
      </vt:variant>
      <vt:variant>
        <vt:i4>4784133</vt:i4>
      </vt:variant>
      <vt:variant>
        <vt:i4>1431</vt:i4>
      </vt:variant>
      <vt:variant>
        <vt:i4>0</vt:i4>
      </vt:variant>
      <vt:variant>
        <vt:i4>5</vt:i4>
      </vt:variant>
      <vt:variant>
        <vt:lpwstr>https://forestadaptation.org/adapt/adaptation-strategies</vt:lpwstr>
      </vt:variant>
      <vt:variant>
        <vt:lpwstr/>
      </vt:variant>
      <vt:variant>
        <vt:i4>262238</vt:i4>
      </vt:variant>
      <vt:variant>
        <vt:i4>1428</vt:i4>
      </vt:variant>
      <vt:variant>
        <vt:i4>0</vt:i4>
      </vt:variant>
      <vt:variant>
        <vt:i4>5</vt:i4>
      </vt:variant>
      <vt:variant>
        <vt:lpwstr>https://cvmshcp.org/</vt:lpwstr>
      </vt:variant>
      <vt:variant>
        <vt:lpwstr/>
      </vt:variant>
      <vt:variant>
        <vt:i4>1966161</vt:i4>
      </vt:variant>
      <vt:variant>
        <vt:i4>1425</vt:i4>
      </vt:variant>
      <vt:variant>
        <vt:i4>0</vt:i4>
      </vt:variant>
      <vt:variant>
        <vt:i4>5</vt:i4>
      </vt:variant>
      <vt:variant>
        <vt:lpwstr>https://ucr.maps.arcgis.com/apps/instant/portfolio/index.html?appid=4978838d403a42218be52670f46b94ab</vt:lpwstr>
      </vt:variant>
      <vt:variant>
        <vt:lpwstr/>
      </vt:variant>
      <vt:variant>
        <vt:i4>4784157</vt:i4>
      </vt:variant>
      <vt:variant>
        <vt:i4>1422</vt:i4>
      </vt:variant>
      <vt:variant>
        <vt:i4>0</vt:i4>
      </vt:variant>
      <vt:variant>
        <vt:i4>5</vt:i4>
      </vt:variant>
      <vt:variant>
        <vt:lpwstr>https://www.nevadacountyca.gov/3641/Recreation-and-Resiliency-Master-Plan</vt:lpwstr>
      </vt:variant>
      <vt:variant>
        <vt:lpwstr/>
      </vt:variant>
      <vt:variant>
        <vt:i4>393317</vt:i4>
      </vt:variant>
      <vt:variant>
        <vt:i4>1416</vt:i4>
      </vt:variant>
      <vt:variant>
        <vt:i4>0</vt:i4>
      </vt:variant>
      <vt:variant>
        <vt:i4>5</vt:i4>
      </vt:variant>
      <vt:variant>
        <vt:lpwstr>https://karuktribeclimatechangeprojects.files.wordpress.com/2019/10/reduced-size_final-karuk-climate-adaptation-plan.pdf</vt:lpwstr>
      </vt:variant>
      <vt:variant>
        <vt:lpwstr/>
      </vt:variant>
      <vt:variant>
        <vt:i4>3604514</vt:i4>
      </vt:variant>
      <vt:variant>
        <vt:i4>1413</vt:i4>
      </vt:variant>
      <vt:variant>
        <vt:i4>0</vt:i4>
      </vt:variant>
      <vt:variant>
        <vt:i4>5</vt:i4>
      </vt:variant>
      <vt:variant>
        <vt:lpwstr>https://www.slocounty.ca.gov/departments/administrative-office/office-of-emergency-services/forms-documents/2025-draft-multi-jurisdictional-hazard-mitigation-plan</vt:lpwstr>
      </vt:variant>
      <vt:variant>
        <vt:lpwstr/>
      </vt:variant>
      <vt:variant>
        <vt:i4>1769496</vt:i4>
      </vt:variant>
      <vt:variant>
        <vt:i4>1407</vt:i4>
      </vt:variant>
      <vt:variant>
        <vt:i4>0</vt:i4>
      </vt:variant>
      <vt:variant>
        <vt:i4>5</vt:i4>
      </vt:variant>
      <vt:variant>
        <vt:lpwstr>https://experience.arcgis.com/experience/c50cc0bfcdb64f22b842c9f3b1be8c11</vt:lpwstr>
      </vt:variant>
      <vt:variant>
        <vt:lpwstr/>
      </vt:variant>
      <vt:variant>
        <vt:i4>5832809</vt:i4>
      </vt:variant>
      <vt:variant>
        <vt:i4>1404</vt:i4>
      </vt:variant>
      <vt:variant>
        <vt:i4>0</vt:i4>
      </vt:variant>
      <vt:variant>
        <vt:i4>5</vt:i4>
      </vt:variant>
      <vt:variant>
        <vt:lpwstr/>
      </vt:variant>
      <vt:variant>
        <vt:lpwstr>_Step_2.1B:_Determine</vt:lpwstr>
      </vt:variant>
      <vt:variant>
        <vt:i4>2228227</vt:i4>
      </vt:variant>
      <vt:variant>
        <vt:i4>1401</vt:i4>
      </vt:variant>
      <vt:variant>
        <vt:i4>0</vt:i4>
      </vt:variant>
      <vt:variant>
        <vt:i4>5</vt:i4>
      </vt:variant>
      <vt:variant>
        <vt:lpwstr/>
      </vt:variant>
      <vt:variant>
        <vt:lpwstr>_Step_2.1A:_Review</vt:lpwstr>
      </vt:variant>
      <vt:variant>
        <vt:i4>5046351</vt:i4>
      </vt:variant>
      <vt:variant>
        <vt:i4>1398</vt:i4>
      </vt:variant>
      <vt:variant>
        <vt:i4>0</vt:i4>
      </vt:variant>
      <vt:variant>
        <vt:i4>5</vt:i4>
      </vt:variant>
      <vt:variant>
        <vt:lpwstr>https://oehha.ca.gov/calenviroscreen</vt:lpwstr>
      </vt:variant>
      <vt:variant>
        <vt:lpwstr/>
      </vt:variant>
      <vt:variant>
        <vt:i4>1507347</vt:i4>
      </vt:variant>
      <vt:variant>
        <vt:i4>1395</vt:i4>
      </vt:variant>
      <vt:variant>
        <vt:i4>0</vt:i4>
      </vt:variant>
      <vt:variant>
        <vt:i4>5</vt:i4>
      </vt:variant>
      <vt:variant>
        <vt:lpwstr>https://bcdc.maps.arcgis.com/apps/webappviewer/index.html?id=526ca82e85eb403489de768498f605f3</vt:lpwstr>
      </vt:variant>
      <vt:variant>
        <vt:lpwstr/>
      </vt:variant>
      <vt:variant>
        <vt:i4>262160</vt:i4>
      </vt:variant>
      <vt:variant>
        <vt:i4>1392</vt:i4>
      </vt:variant>
      <vt:variant>
        <vt:i4>0</vt:i4>
      </vt:variant>
      <vt:variant>
        <vt:i4>5</vt:i4>
      </vt:variant>
      <vt:variant>
        <vt:lpwstr>https://www.bcdc.ca.gov/resources/maps-and-data/community-vulnerability-mapping/</vt:lpwstr>
      </vt:variant>
      <vt:variant>
        <vt:lpwstr/>
      </vt:variant>
      <vt:variant>
        <vt:i4>917509</vt:i4>
      </vt:variant>
      <vt:variant>
        <vt:i4>1389</vt:i4>
      </vt:variant>
      <vt:variant>
        <vt:i4>0</vt:i4>
      </vt:variant>
      <vt:variant>
        <vt:i4>5</vt:i4>
      </vt:variant>
      <vt:variant>
        <vt:lpwstr>https://experience.arcgis.com/experience/ae1b4e3e41004f07b4901a7a3fa50637/page/Tutorial?views=Small-Water-Systems</vt:lpwstr>
      </vt:variant>
      <vt:variant>
        <vt:lpwstr/>
      </vt:variant>
      <vt:variant>
        <vt:i4>6357038</vt:i4>
      </vt:variant>
      <vt:variant>
        <vt:i4>1386</vt:i4>
      </vt:variant>
      <vt:variant>
        <vt:i4>0</vt:i4>
      </vt:variant>
      <vt:variant>
        <vt:i4>5</vt:i4>
      </vt:variant>
      <vt:variant>
        <vt:lpwstr>https://www.cdph.ca.gov/Programs/OHE/Pages/Climate-Health-Equity/CalBRACE/Toolkit.aspx</vt:lpwstr>
      </vt:variant>
      <vt:variant>
        <vt:lpwstr/>
      </vt:variant>
      <vt:variant>
        <vt:i4>1769560</vt:i4>
      </vt:variant>
      <vt:variant>
        <vt:i4>1383</vt:i4>
      </vt:variant>
      <vt:variant>
        <vt:i4>0</vt:i4>
      </vt:variant>
      <vt:variant>
        <vt:i4>5</vt:i4>
      </vt:variant>
      <vt:variant>
        <vt:lpwstr>https://www.cdph.ca.gov/Programs/OHE/Pages/CalBRACE.aspx</vt:lpwstr>
      </vt:variant>
      <vt:variant>
        <vt:lpwstr/>
      </vt:variant>
      <vt:variant>
        <vt:i4>7602283</vt:i4>
      </vt:variant>
      <vt:variant>
        <vt:i4>1380</vt:i4>
      </vt:variant>
      <vt:variant>
        <vt:i4>0</vt:i4>
      </vt:variant>
      <vt:variant>
        <vt:i4>5</vt:i4>
      </vt:variant>
      <vt:variant>
        <vt:lpwstr>https://skylab.cdph.ca.gov/CCHVIz/</vt:lpwstr>
      </vt:variant>
      <vt:variant>
        <vt:lpwstr/>
      </vt:variant>
      <vt:variant>
        <vt:i4>2424872</vt:i4>
      </vt:variant>
      <vt:variant>
        <vt:i4>1377</vt:i4>
      </vt:variant>
      <vt:variant>
        <vt:i4>0</vt:i4>
      </vt:variant>
      <vt:variant>
        <vt:i4>5</vt:i4>
      </vt:variant>
      <vt:variant>
        <vt:lpwstr>https://www.cdph.ca.gov/Programs/OHE/Pages/CC-Health-Vulnerability-Indicators.aspx</vt:lpwstr>
      </vt:variant>
      <vt:variant>
        <vt:lpwstr/>
      </vt:variant>
      <vt:variant>
        <vt:i4>4849676</vt:i4>
      </vt:variant>
      <vt:variant>
        <vt:i4>1374</vt:i4>
      </vt:variant>
      <vt:variant>
        <vt:i4>0</vt:i4>
      </vt:variant>
      <vt:variant>
        <vt:i4>5</vt:i4>
      </vt:variant>
      <vt:variant>
        <vt:lpwstr>https://caltrans.maps.arcgis.com/apps/webappviewer/index.html?id=ab02f124b3f54007a59dadf2165d21fc</vt:lpwstr>
      </vt:variant>
      <vt:variant>
        <vt:lpwstr/>
      </vt:variant>
      <vt:variant>
        <vt:i4>8061045</vt:i4>
      </vt:variant>
      <vt:variant>
        <vt:i4>1371</vt:i4>
      </vt:variant>
      <vt:variant>
        <vt:i4>0</vt:i4>
      </vt:variant>
      <vt:variant>
        <vt:i4>5</vt:i4>
      </vt:variant>
      <vt:variant>
        <vt:lpwstr>https://map.healthyplacesindex.org/?redirect=false</vt:lpwstr>
      </vt:variant>
      <vt:variant>
        <vt:lpwstr/>
      </vt:variant>
      <vt:variant>
        <vt:i4>90</vt:i4>
      </vt:variant>
      <vt:variant>
        <vt:i4>1368</vt:i4>
      </vt:variant>
      <vt:variant>
        <vt:i4>0</vt:i4>
      </vt:variant>
      <vt:variant>
        <vt:i4>5</vt:i4>
      </vt:variant>
      <vt:variant>
        <vt:lpwstr>https://www.caloes.ca.gov/office-of-the-director/policy-administration/access-functional-needs/oafn-web-map/</vt:lpwstr>
      </vt:variant>
      <vt:variant>
        <vt:lpwstr/>
      </vt:variant>
      <vt:variant>
        <vt:i4>4063266</vt:i4>
      </vt:variant>
      <vt:variant>
        <vt:i4>1365</vt:i4>
      </vt:variant>
      <vt:variant>
        <vt:i4>0</vt:i4>
      </vt:variant>
      <vt:variant>
        <vt:i4>5</vt:i4>
      </vt:variant>
      <vt:variant>
        <vt:lpwstr>https://www.parksforcalifornia.org/communities/</vt:lpwstr>
      </vt:variant>
      <vt:variant>
        <vt:lpwstr/>
      </vt:variant>
      <vt:variant>
        <vt:i4>3080225</vt:i4>
      </vt:variant>
      <vt:variant>
        <vt:i4>1362</vt:i4>
      </vt:variant>
      <vt:variant>
        <vt:i4>0</vt:i4>
      </vt:variant>
      <vt:variant>
        <vt:i4>5</vt:i4>
      </vt:variant>
      <vt:variant>
        <vt:lpwstr>https://experience.arcgis.com/experience/8c5c5c91ebb8481a8a3d92c897faf8ed/page/Results</vt:lpwstr>
      </vt:variant>
      <vt:variant>
        <vt:lpwstr/>
      </vt:variant>
      <vt:variant>
        <vt:i4>2883688</vt:i4>
      </vt:variant>
      <vt:variant>
        <vt:i4>1359</vt:i4>
      </vt:variant>
      <vt:variant>
        <vt:i4>0</vt:i4>
      </vt:variant>
      <vt:variant>
        <vt:i4>5</vt:i4>
      </vt:variant>
      <vt:variant>
        <vt:lpwstr>https://vcp.lci.ca.gov/pages/tool-comp</vt:lpwstr>
      </vt:variant>
      <vt:variant>
        <vt:lpwstr/>
      </vt:variant>
      <vt:variant>
        <vt:i4>7798886</vt:i4>
      </vt:variant>
      <vt:variant>
        <vt:i4>1350</vt:i4>
      </vt:variant>
      <vt:variant>
        <vt:i4>0</vt:i4>
      </vt:variant>
      <vt:variant>
        <vt:i4>5</vt:i4>
      </vt:variant>
      <vt:variant>
        <vt:lpwstr>https://drive.google.com/file/d/1SbvjC8ItPIlkAyaSVW7jhQua5Qruv2jY/view</vt:lpwstr>
      </vt:variant>
      <vt:variant>
        <vt:lpwstr/>
      </vt:variant>
      <vt:variant>
        <vt:i4>7798886</vt:i4>
      </vt:variant>
      <vt:variant>
        <vt:i4>1344</vt:i4>
      </vt:variant>
      <vt:variant>
        <vt:i4>0</vt:i4>
      </vt:variant>
      <vt:variant>
        <vt:i4>5</vt:i4>
      </vt:variant>
      <vt:variant>
        <vt:lpwstr>https://drive.google.com/file/d/1SbvjC8ItPIlkAyaSVW7jhQua5Qruv2jY/view</vt:lpwstr>
      </vt:variant>
      <vt:variant>
        <vt:lpwstr/>
      </vt:variant>
      <vt:variant>
        <vt:i4>5505097</vt:i4>
      </vt:variant>
      <vt:variant>
        <vt:i4>1326</vt:i4>
      </vt:variant>
      <vt:variant>
        <vt:i4>0</vt:i4>
      </vt:variant>
      <vt:variant>
        <vt:i4>5</vt:i4>
      </vt:variant>
      <vt:variant>
        <vt:lpwstr>https://cms3.revize.com/revize/repository/carsonca/City of Carson Hazard Mitigation Plan 2024 - With Appendices.pdf?6599</vt:lpwstr>
      </vt:variant>
      <vt:variant>
        <vt:lpwstr/>
      </vt:variant>
      <vt:variant>
        <vt:i4>4915219</vt:i4>
      </vt:variant>
      <vt:variant>
        <vt:i4>1323</vt:i4>
      </vt:variant>
      <vt:variant>
        <vt:i4>0</vt:i4>
      </vt:variant>
      <vt:variant>
        <vt:i4>5</vt:i4>
      </vt:variant>
      <vt:variant>
        <vt:lpwstr>https://www.usgs.gov/data/debris-flow-inundation-and-damage-data-9-january-2018-montecito-debris-flow-event?</vt:lpwstr>
      </vt:variant>
      <vt:variant>
        <vt:lpwstr/>
      </vt:variant>
      <vt:variant>
        <vt:i4>2228327</vt:i4>
      </vt:variant>
      <vt:variant>
        <vt:i4>1308</vt:i4>
      </vt:variant>
      <vt:variant>
        <vt:i4>0</vt:i4>
      </vt:variant>
      <vt:variant>
        <vt:i4>5</vt:i4>
      </vt:variant>
      <vt:variant>
        <vt:lpwstr>https://vcp.lci.ca.gov/pages/help-desk</vt:lpwstr>
      </vt:variant>
      <vt:variant>
        <vt:lpwstr/>
      </vt:variant>
      <vt:variant>
        <vt:i4>4063282</vt:i4>
      </vt:variant>
      <vt:variant>
        <vt:i4>1305</vt:i4>
      </vt:variant>
      <vt:variant>
        <vt:i4>0</vt:i4>
      </vt:variant>
      <vt:variant>
        <vt:i4>5</vt:i4>
      </vt:variant>
      <vt:variant>
        <vt:lpwstr>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vt:lpwstr>
      </vt:variant>
      <vt:variant>
        <vt:lpwstr/>
      </vt:variant>
      <vt:variant>
        <vt:i4>8257583</vt:i4>
      </vt:variant>
      <vt:variant>
        <vt:i4>1302</vt:i4>
      </vt:variant>
      <vt:variant>
        <vt:i4>0</vt:i4>
      </vt:variant>
      <vt:variant>
        <vt:i4>5</vt:i4>
      </vt:variant>
      <vt:variant>
        <vt:lpwstr>https://experience.arcgis.com/experience/ae1b4e3e41004f07b4901a7a3fa50637/?org=DWR</vt:lpwstr>
      </vt:variant>
      <vt:variant>
        <vt:lpwstr/>
      </vt:variant>
      <vt:variant>
        <vt:i4>6488101</vt:i4>
      </vt:variant>
      <vt:variant>
        <vt:i4>1299</vt:i4>
      </vt:variant>
      <vt:variant>
        <vt:i4>0</vt:i4>
      </vt:variant>
      <vt:variant>
        <vt:i4>5</vt:i4>
      </vt:variant>
      <vt:variant>
        <vt:lpwstr>https://www.usgs.gov/apps/hera</vt:lpwstr>
      </vt:variant>
      <vt:variant>
        <vt:lpwstr/>
      </vt:variant>
      <vt:variant>
        <vt:i4>3407975</vt:i4>
      </vt:variant>
      <vt:variant>
        <vt:i4>1296</vt:i4>
      </vt:variant>
      <vt:variant>
        <vt:i4>0</vt:i4>
      </vt:variant>
      <vt:variant>
        <vt:i4>5</vt:i4>
      </vt:variant>
      <vt:variant>
        <vt:lpwstr>https://rsap-atlas.bcdc.ca.gov/</vt:lpwstr>
      </vt:variant>
      <vt:variant>
        <vt:lpwstr/>
      </vt:variant>
      <vt:variant>
        <vt:i4>6946931</vt:i4>
      </vt:variant>
      <vt:variant>
        <vt:i4>1293</vt:i4>
      </vt:variant>
      <vt:variant>
        <vt:i4>0</vt:i4>
      </vt:variant>
      <vt:variant>
        <vt:i4>5</vt:i4>
      </vt:variant>
      <vt:variant>
        <vt:lpwstr>https://explorer.adaptingtorisingtides.org/home</vt:lpwstr>
      </vt:variant>
      <vt:variant>
        <vt:lpwstr/>
      </vt:variant>
      <vt:variant>
        <vt:i4>3211329</vt:i4>
      </vt:variant>
      <vt:variant>
        <vt:i4>1290</vt:i4>
      </vt:variant>
      <vt:variant>
        <vt:i4>0</vt:i4>
      </vt:variant>
      <vt:variant>
        <vt:i4>5</vt:i4>
      </vt:variant>
      <vt:variant>
        <vt:lpwstr>https://coast.noaa.gov/slr/</vt:lpwstr>
      </vt:variant>
      <vt:variant>
        <vt:lpwstr>/layer/slr/0.5/-13154474.045543376/4003922.977270838/11.388/satellite/none/0.8/2050/interHigh/noAccretion/NOS_Minor</vt:lpwstr>
      </vt:variant>
      <vt:variant>
        <vt:i4>851997</vt:i4>
      </vt:variant>
      <vt:variant>
        <vt:i4>1287</vt:i4>
      </vt:variant>
      <vt:variant>
        <vt:i4>0</vt:i4>
      </vt:variant>
      <vt:variant>
        <vt:i4>5</vt:i4>
      </vt:variant>
      <vt:variant>
        <vt:lpwstr>https://ourcoastourfuture.org/hazard-map/</vt:lpwstr>
      </vt:variant>
      <vt:variant>
        <vt:lpwstr/>
      </vt:variant>
      <vt:variant>
        <vt:i4>4063282</vt:i4>
      </vt:variant>
      <vt:variant>
        <vt:i4>1284</vt:i4>
      </vt:variant>
      <vt:variant>
        <vt:i4>0</vt:i4>
      </vt:variant>
      <vt:variant>
        <vt:i4>5</vt:i4>
      </vt:variant>
      <vt:variant>
        <vt:lpwstr>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vt:lpwstr>
      </vt:variant>
      <vt:variant>
        <vt:lpwstr/>
      </vt:variant>
      <vt:variant>
        <vt:i4>4980806</vt:i4>
      </vt:variant>
      <vt:variant>
        <vt:i4>1281</vt:i4>
      </vt:variant>
      <vt:variant>
        <vt:i4>0</vt:i4>
      </vt:variant>
      <vt:variant>
        <vt:i4>5</vt:i4>
      </vt:variant>
      <vt:variant>
        <vt:lpwstr>https://gis.bam.water.ca.gov/bam/</vt:lpwstr>
      </vt:variant>
      <vt:variant>
        <vt:lpwstr/>
      </vt:variant>
      <vt:variant>
        <vt:i4>2293816</vt:i4>
      </vt:variant>
      <vt:variant>
        <vt:i4>1278</vt:i4>
      </vt:variant>
      <vt:variant>
        <vt:i4>0</vt:i4>
      </vt:variant>
      <vt:variant>
        <vt:i4>5</vt:i4>
      </vt:variant>
      <vt:variant>
        <vt:lpwstr>https://adaptationatlas.org/</vt:lpwstr>
      </vt:variant>
      <vt:variant>
        <vt:lpwstr>/smoke/wsc/county/5avg</vt:lpwstr>
      </vt:variant>
      <vt:variant>
        <vt:i4>3473512</vt:i4>
      </vt:variant>
      <vt:variant>
        <vt:i4>1275</vt:i4>
      </vt:variant>
      <vt:variant>
        <vt:i4>0</vt:i4>
      </vt:variant>
      <vt:variant>
        <vt:i4>5</vt:i4>
      </vt:variant>
      <vt:variant>
        <vt:lpwstr>https://www.fire.ca.gov/what-we-do/fire-resource-assessment-program/fire-perimeters</vt:lpwstr>
      </vt:variant>
      <vt:variant>
        <vt:lpwstr/>
      </vt:variant>
      <vt:variant>
        <vt:i4>1638414</vt:i4>
      </vt:variant>
      <vt:variant>
        <vt:i4>1272</vt:i4>
      </vt:variant>
      <vt:variant>
        <vt:i4>0</vt:i4>
      </vt:variant>
      <vt:variant>
        <vt:i4>5</vt:i4>
      </vt:variant>
      <vt:variant>
        <vt:lpwstr>https://osfm.fire.ca.gov/what-we-do/community-wildfire-preparedness-and-mitigation/fire-hazard-severity-zones</vt:lpwstr>
      </vt:variant>
      <vt:variant>
        <vt:lpwstr/>
      </vt:variant>
      <vt:variant>
        <vt:i4>1703954</vt:i4>
      </vt:variant>
      <vt:variant>
        <vt:i4>1269</vt:i4>
      </vt:variant>
      <vt:variant>
        <vt:i4>0</vt:i4>
      </vt:variant>
      <vt:variant>
        <vt:i4>5</vt:i4>
      </vt:variant>
      <vt:variant>
        <vt:lpwstr>https://wildfirerisk.org/</vt:lpwstr>
      </vt:variant>
      <vt:variant>
        <vt:lpwstr/>
      </vt:variant>
      <vt:variant>
        <vt:i4>4063282</vt:i4>
      </vt:variant>
      <vt:variant>
        <vt:i4>1266</vt:i4>
      </vt:variant>
      <vt:variant>
        <vt:i4>0</vt:i4>
      </vt:variant>
      <vt:variant>
        <vt:i4>5</vt:i4>
      </vt:variant>
      <vt:variant>
        <vt:lpwstr>https://gcc02.safelinks.protection.outlook.com/?url=https%3A%2F%2Fexperience.arcgis.com%2Fexperience%2Ff9b8048776ff41b8918581d937d10352&amp;data=05%7C02%7CAnnika.Braucher%40CalOES.ca.gov%7C88903eeab4734413eec408dee41da172%7Cebf268ae303647149f69c9fd0e9dc6b9%7C1%7C0%7C639199013126193144%7CUnknown%7CTWFpbGZsb3d8eyJFbXB0eU1hcGkiOnRydWUsIlYiOiIwLjAuMDAwMCIsIlAiOiJXaW4zMiIsIkFOIjoiTWFpbCIsIldUIjoyfQ%3D%3D%7C0%7C%7C%7C&amp;sdata=PqVu52TWvZTi6%2BYZgyAz5DDTLvWzaRSRatkDlzb3EaE%3D&amp;reserved=0</vt:lpwstr>
      </vt:variant>
      <vt:variant>
        <vt:lpwstr/>
      </vt:variant>
      <vt:variant>
        <vt:i4>5767181</vt:i4>
      </vt:variant>
      <vt:variant>
        <vt:i4>1260</vt:i4>
      </vt:variant>
      <vt:variant>
        <vt:i4>0</vt:i4>
      </vt:variant>
      <vt:variant>
        <vt:i4>5</vt:i4>
      </vt:variant>
      <vt:variant>
        <vt:lpwstr>http://cal-adapt.org/</vt:lpwstr>
      </vt:variant>
      <vt:variant>
        <vt:lpwstr/>
      </vt:variant>
      <vt:variant>
        <vt:i4>6619196</vt:i4>
      </vt:variant>
      <vt:variant>
        <vt:i4>1257</vt:i4>
      </vt:variant>
      <vt:variant>
        <vt:i4>0</vt:i4>
      </vt:variant>
      <vt:variant>
        <vt:i4>5</vt:i4>
      </vt:variant>
      <vt:variant>
        <vt:lpwstr>https://www.plumascounty.us/2218/Documents</vt:lpwstr>
      </vt:variant>
      <vt:variant>
        <vt:lpwstr/>
      </vt:variant>
      <vt:variant>
        <vt:i4>4784148</vt:i4>
      </vt:variant>
      <vt:variant>
        <vt:i4>1224</vt:i4>
      </vt:variant>
      <vt:variant>
        <vt:i4>0</vt:i4>
      </vt:variant>
      <vt:variant>
        <vt:i4>5</vt:i4>
      </vt:variant>
      <vt:variant>
        <vt:lpwstr>https://experience.arcgis.com/experience/652c6def7040429bafe23c38966f8f73</vt:lpwstr>
      </vt:variant>
      <vt:variant>
        <vt:lpwstr/>
      </vt:variant>
      <vt:variant>
        <vt:i4>2621552</vt:i4>
      </vt:variant>
      <vt:variant>
        <vt:i4>1218</vt:i4>
      </vt:variant>
      <vt:variant>
        <vt:i4>0</vt:i4>
      </vt:variant>
      <vt:variant>
        <vt:i4>5</vt:i4>
      </vt:variant>
      <vt:variant>
        <vt:lpwstr>https://www.countyofcolusaca.gov/1062/2024-Local-Hazard-Mitigation-Plan</vt:lpwstr>
      </vt:variant>
      <vt:variant>
        <vt:lpwstr/>
      </vt:variant>
      <vt:variant>
        <vt:i4>6094856</vt:i4>
      </vt:variant>
      <vt:variant>
        <vt:i4>1212</vt:i4>
      </vt:variant>
      <vt:variant>
        <vt:i4>0</vt:i4>
      </vt:variant>
      <vt:variant>
        <vt:i4>5</vt:i4>
      </vt:variant>
      <vt:variant>
        <vt:lpwstr>https://www.buttecounty.net/808/Local-Hazard-Mitigation-Plan</vt:lpwstr>
      </vt:variant>
      <vt:variant>
        <vt:lpwstr/>
      </vt:variant>
      <vt:variant>
        <vt:i4>4456527</vt:i4>
      </vt:variant>
      <vt:variant>
        <vt:i4>1209</vt:i4>
      </vt:variant>
      <vt:variant>
        <vt:i4>0</vt:i4>
      </vt:variant>
      <vt:variant>
        <vt:i4>5</vt:i4>
      </vt:variant>
      <vt:variant>
        <vt:lpwstr>https://www.caloes.ca.gov/wp-content/uploads/Hazard-Mitigation/Documents/FEMA-Tribal-Mitigation-Planning-Handbook-05.2025.pdf</vt:lpwstr>
      </vt:variant>
      <vt:variant>
        <vt:lpwstr/>
      </vt:variant>
      <vt:variant>
        <vt:i4>4718594</vt:i4>
      </vt:variant>
      <vt:variant>
        <vt:i4>1206</vt:i4>
      </vt:variant>
      <vt:variant>
        <vt:i4>0</vt:i4>
      </vt:variant>
      <vt:variant>
        <vt:i4>5</vt:i4>
      </vt:variant>
      <vt:variant>
        <vt:lpwstr>https://burnseverity.cr.usgs.gov/glossary</vt:lpwstr>
      </vt:variant>
      <vt:variant>
        <vt:lpwstr>mtbs</vt:lpwstr>
      </vt:variant>
      <vt:variant>
        <vt:i4>8323197</vt:i4>
      </vt:variant>
      <vt:variant>
        <vt:i4>1203</vt:i4>
      </vt:variant>
      <vt:variant>
        <vt:i4>0</vt:i4>
      </vt:variant>
      <vt:variant>
        <vt:i4>5</vt:i4>
      </vt:variant>
      <vt:variant>
        <vt:lpwstr>https://www.ncei.noaa.gov/stormevents/choosedates.jsp?statefips=6%2CCALIFORNIA</vt:lpwstr>
      </vt:variant>
      <vt:variant>
        <vt:lpwstr/>
      </vt:variant>
      <vt:variant>
        <vt:i4>917599</vt:i4>
      </vt:variant>
      <vt:variant>
        <vt:i4>1200</vt:i4>
      </vt:variant>
      <vt:variant>
        <vt:i4>0</vt:i4>
      </vt:variant>
      <vt:variant>
        <vt:i4>5</vt:i4>
      </vt:variant>
      <vt:variant>
        <vt:lpwstr>https://www.fema.gov/about/openfema/data-sets</vt:lpwstr>
      </vt:variant>
      <vt:variant>
        <vt:lpwstr/>
      </vt:variant>
      <vt:variant>
        <vt:i4>5963795</vt:i4>
      </vt:variant>
      <vt:variant>
        <vt:i4>1197</vt:i4>
      </vt:variant>
      <vt:variant>
        <vt:i4>0</vt:i4>
      </vt:variant>
      <vt:variant>
        <vt:i4>5</vt:i4>
      </vt:variant>
      <vt:variant>
        <vt:lpwstr>https://cadoc.maps.arcgis.com/apps/webappviewer/index.html?id=bc48ad40e3504134a1fc8f3909659041&amp;_gl=1*paom43*_ga*NDA3ODQwNTE0LjE3Njk1NDM2MTM.*_ga_N4MB98DBXY*czE3NzI0OTA3ODYkbzEkZzEkdDE3NzI0OTA4MTkkajI3JGwwJGgw</vt:lpwstr>
      </vt:variant>
      <vt:variant>
        <vt:lpwstr/>
      </vt:variant>
      <vt:variant>
        <vt:i4>6225930</vt:i4>
      </vt:variant>
      <vt:variant>
        <vt:i4>1194</vt:i4>
      </vt:variant>
      <vt:variant>
        <vt:i4>0</vt:i4>
      </vt:variant>
      <vt:variant>
        <vt:i4>5</vt:i4>
      </vt:variant>
      <vt:variant>
        <vt:lpwstr>https://www.fire.ca.gov/incidents</vt:lpwstr>
      </vt:variant>
      <vt:variant>
        <vt:lpwstr/>
      </vt:variant>
      <vt:variant>
        <vt:i4>458760</vt:i4>
      </vt:variant>
      <vt:variant>
        <vt:i4>1191</vt:i4>
      </vt:variant>
      <vt:variant>
        <vt:i4>0</vt:i4>
      </vt:variant>
      <vt:variant>
        <vt:i4>5</vt:i4>
      </vt:variant>
      <vt:variant>
        <vt:lpwstr>https://www.caloes.ca.gov/office-of-the-director/policy-administration/legal-affairs/emergency-proclamations/</vt:lpwstr>
      </vt:variant>
      <vt:variant>
        <vt:lpwstr/>
      </vt:variant>
      <vt:variant>
        <vt:i4>2949160</vt:i4>
      </vt:variant>
      <vt:variant>
        <vt:i4>1188</vt:i4>
      </vt:variant>
      <vt:variant>
        <vt:i4>0</vt:i4>
      </vt:variant>
      <vt:variant>
        <vt:i4>5</vt:i4>
      </vt:variant>
      <vt:variant>
        <vt:lpwstr>https://www.boe.ca.gov/proptaxes/disaster-list.htm</vt:lpwstr>
      </vt:variant>
      <vt:variant>
        <vt:lpwstr/>
      </vt:variant>
      <vt:variant>
        <vt:i4>3407900</vt:i4>
      </vt:variant>
      <vt:variant>
        <vt:i4>1179</vt:i4>
      </vt:variant>
      <vt:variant>
        <vt:i4>0</vt:i4>
      </vt:variant>
      <vt:variant>
        <vt:i4>5</vt:i4>
      </vt:variant>
      <vt:variant>
        <vt:lpwstr>https://www.starr-team.com/starr/RegionalWorkspaces/RegionX/mitigationplanning/Shared Documents/11_Integrating_NHMP_into_Local_Plans/FEMA_Plan_Integration-Linking_Local_Planning_Efforts_2014.pdf</vt:lpwstr>
      </vt:variant>
      <vt:variant>
        <vt:lpwstr/>
      </vt:variant>
      <vt:variant>
        <vt:i4>4259909</vt:i4>
      </vt:variant>
      <vt:variant>
        <vt:i4>1173</vt:i4>
      </vt:variant>
      <vt:variant>
        <vt:i4>0</vt:i4>
      </vt:variant>
      <vt:variant>
        <vt:i4>5</vt:i4>
      </vt:variant>
      <vt:variant>
        <vt:lpwstr>https://climate.calpoly.edu/CCAP</vt:lpwstr>
      </vt:variant>
      <vt:variant>
        <vt:lpwstr/>
      </vt:variant>
      <vt:variant>
        <vt:i4>5111829</vt:i4>
      </vt:variant>
      <vt:variant>
        <vt:i4>1170</vt:i4>
      </vt:variant>
      <vt:variant>
        <vt:i4>0</vt:i4>
      </vt:variant>
      <vt:variant>
        <vt:i4>5</vt:i4>
      </vt:variant>
      <vt:variant>
        <vt:lpwstr>https://resilientca.org/search/?phases=11&amp;phases=6&amp;q=&amp;region=&amp;geography=</vt:lpwstr>
      </vt:variant>
      <vt:variant>
        <vt:lpwstr/>
      </vt:variant>
      <vt:variant>
        <vt:i4>1572912</vt:i4>
      </vt:variant>
      <vt:variant>
        <vt:i4>1167</vt:i4>
      </vt:variant>
      <vt:variant>
        <vt:i4>0</vt:i4>
      </vt:variant>
      <vt:variant>
        <vt:i4>5</vt:i4>
      </vt:variant>
      <vt:variant>
        <vt:lpwstr/>
      </vt:variant>
      <vt:variant>
        <vt:lpwstr>_Ref229409134</vt:lpwstr>
      </vt:variant>
      <vt:variant>
        <vt:i4>1572912</vt:i4>
      </vt:variant>
      <vt:variant>
        <vt:i4>1164</vt:i4>
      </vt:variant>
      <vt:variant>
        <vt:i4>0</vt:i4>
      </vt:variant>
      <vt:variant>
        <vt:i4>5</vt:i4>
      </vt:variant>
      <vt:variant>
        <vt:lpwstr/>
      </vt:variant>
      <vt:variant>
        <vt:lpwstr>_Ref229409134</vt:lpwstr>
      </vt:variant>
      <vt:variant>
        <vt:i4>983041</vt:i4>
      </vt:variant>
      <vt:variant>
        <vt:i4>1152</vt:i4>
      </vt:variant>
      <vt:variant>
        <vt:i4>0</vt:i4>
      </vt:variant>
      <vt:variant>
        <vt:i4>5</vt:i4>
      </vt:variant>
      <vt:variant>
        <vt:lpwstr>https://leginfo.legislature.ca.gov/faces/displayCodeAndBill.xhtml?sectionNum=65302.&amp;billVersionSectionId=4142992&amp;lawCode=GOV</vt:lpwstr>
      </vt:variant>
      <vt:variant>
        <vt:lpwstr/>
      </vt:variant>
      <vt:variant>
        <vt:i4>458761</vt:i4>
      </vt:variant>
      <vt:variant>
        <vt:i4>1149</vt:i4>
      </vt:variant>
      <vt:variant>
        <vt:i4>0</vt:i4>
      </vt:variant>
      <vt:variant>
        <vt:i4>5</vt:i4>
      </vt:variant>
      <vt:variant>
        <vt:lpwstr>https://leginfo.legislature.ca.gov/faces/displayCodeAndBill.xhtml?sectionNum=65302.&amp;billVersionSectionId=3943682&amp;lawCode=GOV</vt:lpwstr>
      </vt:variant>
      <vt:variant>
        <vt:lpwstr/>
      </vt:variant>
      <vt:variant>
        <vt:i4>6225981</vt:i4>
      </vt:variant>
      <vt:variant>
        <vt:i4>1146</vt:i4>
      </vt:variant>
      <vt:variant>
        <vt:i4>0</vt:i4>
      </vt:variant>
      <vt:variant>
        <vt:i4>5</vt:i4>
      </vt:variant>
      <vt:variant>
        <vt:lpwstr>https://leginfo.legislature.ca.gov/faces/codes_displaySection.xhtml?sectionNum=65302.&amp;lawCode=GOV</vt:lpwstr>
      </vt:variant>
      <vt:variant>
        <vt:lpwstr/>
      </vt:variant>
      <vt:variant>
        <vt:i4>1048638</vt:i4>
      </vt:variant>
      <vt:variant>
        <vt:i4>1143</vt:i4>
      </vt:variant>
      <vt:variant>
        <vt:i4>0</vt:i4>
      </vt:variant>
      <vt:variant>
        <vt:i4>5</vt:i4>
      </vt:variant>
      <vt:variant>
        <vt:lpwstr/>
      </vt:variant>
      <vt:variant>
        <vt:lpwstr>_Toc235190059</vt:lpwstr>
      </vt:variant>
      <vt:variant>
        <vt:i4>327722</vt:i4>
      </vt:variant>
      <vt:variant>
        <vt:i4>1140</vt:i4>
      </vt:variant>
      <vt:variant>
        <vt:i4>0</vt:i4>
      </vt:variant>
      <vt:variant>
        <vt:i4>5</vt:i4>
      </vt:variant>
      <vt:variant>
        <vt:lpwstr>https://kounkuey.org/projects/ecv_shade</vt:lpwstr>
      </vt:variant>
      <vt:variant>
        <vt:lpwstr/>
      </vt:variant>
      <vt:variant>
        <vt:i4>8060969</vt:i4>
      </vt:variant>
      <vt:variant>
        <vt:i4>1134</vt:i4>
      </vt:variant>
      <vt:variant>
        <vt:i4>0</vt:i4>
      </vt:variant>
      <vt:variant>
        <vt:i4>5</vt:i4>
      </vt:variant>
      <vt:variant>
        <vt:lpwstr>https://livingwage.mit.edu/</vt:lpwstr>
      </vt:variant>
      <vt:variant>
        <vt:lpwstr/>
      </vt:variant>
      <vt:variant>
        <vt:i4>1572869</vt:i4>
      </vt:variant>
      <vt:variant>
        <vt:i4>1131</vt:i4>
      </vt:variant>
      <vt:variant>
        <vt:i4>0</vt:i4>
      </vt:variant>
      <vt:variant>
        <vt:i4>5</vt:i4>
      </vt:variant>
      <vt:variant>
        <vt:lpwstr>https://www.adaptingtorisingtides.org/wp-content/uploads/2022/04/AdaptationRoadmap_A-Practitioner-Guide-Sea-Level-Rise-Adaptation_BCDC_ART_March2022_Final_ADA.pdf</vt:lpwstr>
      </vt:variant>
      <vt:variant>
        <vt:lpwstr/>
      </vt:variant>
      <vt:variant>
        <vt:i4>6357025</vt:i4>
      </vt:variant>
      <vt:variant>
        <vt:i4>1122</vt:i4>
      </vt:variant>
      <vt:variant>
        <vt:i4>0</vt:i4>
      </vt:variant>
      <vt:variant>
        <vt:i4>5</vt:i4>
      </vt:variant>
      <vt:variant>
        <vt:lpwstr>https://cdn.ymaws.com/www.iap2.org/resource/resmgr/pillars/iap2_spectrum_2024.pdf</vt:lpwstr>
      </vt:variant>
      <vt:variant>
        <vt:lpwstr/>
      </vt:variant>
      <vt:variant>
        <vt:i4>7143523</vt:i4>
      </vt:variant>
      <vt:variant>
        <vt:i4>1119</vt:i4>
      </vt:variant>
      <vt:variant>
        <vt:i4>0</vt:i4>
      </vt:variant>
      <vt:variant>
        <vt:i4>5</vt:i4>
      </vt:variant>
      <vt:variant>
        <vt:lpwstr>https://www.laregionalcollaborative.com/network-news/2025/8/14/la-city-climate-vulnerability-assessment</vt:lpwstr>
      </vt:variant>
      <vt:variant>
        <vt:lpwstr/>
      </vt:variant>
      <vt:variant>
        <vt:i4>2031651</vt:i4>
      </vt:variant>
      <vt:variant>
        <vt:i4>1116</vt:i4>
      </vt:variant>
      <vt:variant>
        <vt:i4>0</vt:i4>
      </vt:variant>
      <vt:variant>
        <vt:i4>5</vt:i4>
      </vt:variant>
      <vt:variant>
        <vt:lpwstr>https://storage.googleapis.com/proudcity/marindpwca/2024/05/Marin_County_MJHMP_2023_Final_resized1.pdf</vt:lpwstr>
      </vt:variant>
      <vt:variant>
        <vt:lpwstr/>
      </vt:variant>
      <vt:variant>
        <vt:i4>7274586</vt:i4>
      </vt:variant>
      <vt:variant>
        <vt:i4>1113</vt:i4>
      </vt:variant>
      <vt:variant>
        <vt:i4>0</vt:i4>
      </vt:variant>
      <vt:variant>
        <vt:i4>5</vt:i4>
      </vt:variant>
      <vt:variant>
        <vt:lpwstr>https://www.bcdc.ca.gov/wp-content/uploads/sites/354/2026/05/Webinar-Equity_Final-Version.pdf</vt:lpwstr>
      </vt:variant>
      <vt:variant>
        <vt:lpwstr/>
      </vt:variant>
      <vt:variant>
        <vt:i4>2621565</vt:i4>
      </vt:variant>
      <vt:variant>
        <vt:i4>1110</vt:i4>
      </vt:variant>
      <vt:variant>
        <vt:i4>0</vt:i4>
      </vt:variant>
      <vt:variant>
        <vt:i4>5</vt:i4>
      </vt:variant>
      <vt:variant>
        <vt:lpwstr>https://climatereadiness.info/</vt:lpwstr>
      </vt:variant>
      <vt:variant>
        <vt:lpwstr/>
      </vt:variant>
      <vt:variant>
        <vt:i4>4456527</vt:i4>
      </vt:variant>
      <vt:variant>
        <vt:i4>1107</vt:i4>
      </vt:variant>
      <vt:variant>
        <vt:i4>0</vt:i4>
      </vt:variant>
      <vt:variant>
        <vt:i4>5</vt:i4>
      </vt:variant>
      <vt:variant>
        <vt:lpwstr>https://www.caloes.ca.gov/wp-content/uploads/Hazard-Mitigation/Documents/FEMA-Tribal-Mitigation-Planning-Handbook-05.2025.pdf</vt:lpwstr>
      </vt:variant>
      <vt:variant>
        <vt:lpwstr/>
      </vt:variant>
      <vt:variant>
        <vt:i4>6160470</vt:i4>
      </vt:variant>
      <vt:variant>
        <vt:i4>1104</vt:i4>
      </vt:variant>
      <vt:variant>
        <vt:i4>0</vt:i4>
      </vt:variant>
      <vt:variant>
        <vt:i4>5</vt:i4>
      </vt:variant>
      <vt:variant>
        <vt:lpwstr>https://www.caloes.ca.gov/wp-content/uploads/Hazard-Mitigation/Documents/FEMA-Tribal-Mitigation-Plan-Review-Guide-12.05.2017.pdf</vt:lpwstr>
      </vt:variant>
      <vt:variant>
        <vt:lpwstr/>
      </vt:variant>
      <vt:variant>
        <vt:i4>3866739</vt:i4>
      </vt:variant>
      <vt:variant>
        <vt:i4>1101</vt:i4>
      </vt:variant>
      <vt:variant>
        <vt:i4>0</vt:i4>
      </vt:variant>
      <vt:variant>
        <vt:i4>5</vt:i4>
      </vt:variant>
      <vt:variant>
        <vt:lpwstr>https://www.caloes.ca.gov/wp-content/uploads/Hazard-Mitigation/Documents/FEMA-Local-Mitigation-Planning-Handbook-06.12.2025.pdf</vt:lpwstr>
      </vt:variant>
      <vt:variant>
        <vt:lpwstr/>
      </vt:variant>
      <vt:variant>
        <vt:i4>262164</vt:i4>
      </vt:variant>
      <vt:variant>
        <vt:i4>1098</vt:i4>
      </vt:variant>
      <vt:variant>
        <vt:i4>0</vt:i4>
      </vt:variant>
      <vt:variant>
        <vt:i4>5</vt:i4>
      </vt:variant>
      <vt:variant>
        <vt:lpwstr>https://www.caloes.ca.gov/wp-content/uploads/Hazard-Mitigation/Documents/2025-FEMA-Local-Mitigation-Planning-Policy-Guide.pdf</vt:lpwstr>
      </vt:variant>
      <vt:variant>
        <vt:lpwstr/>
      </vt:variant>
      <vt:variant>
        <vt:i4>2687009</vt:i4>
      </vt:variant>
      <vt:variant>
        <vt:i4>1092</vt:i4>
      </vt:variant>
      <vt:variant>
        <vt:i4>0</vt:i4>
      </vt:variant>
      <vt:variant>
        <vt:i4>5</vt:i4>
      </vt:variant>
      <vt:variant>
        <vt:lpwstr>https://racialequity.lci.ca.gov/framework/</vt:lpwstr>
      </vt:variant>
      <vt:variant>
        <vt:lpwstr/>
      </vt:variant>
      <vt:variant>
        <vt:i4>2031696</vt:i4>
      </vt:variant>
      <vt:variant>
        <vt:i4>1089</vt:i4>
      </vt:variant>
      <vt:variant>
        <vt:i4>0</vt:i4>
      </vt:variant>
      <vt:variant>
        <vt:i4>5</vt:i4>
      </vt:variant>
      <vt:variant>
        <vt:lpwstr>https://movementstrategy.org/wp-content/uploads/2021/08/The-Spectrum-of-Community-Engagement-to-Ownership.pdf</vt:lpwstr>
      </vt:variant>
      <vt:variant>
        <vt:lpwstr/>
      </vt:variant>
      <vt:variant>
        <vt:i4>2687009</vt:i4>
      </vt:variant>
      <vt:variant>
        <vt:i4>1086</vt:i4>
      </vt:variant>
      <vt:variant>
        <vt:i4>0</vt:i4>
      </vt:variant>
      <vt:variant>
        <vt:i4>5</vt:i4>
      </vt:variant>
      <vt:variant>
        <vt:lpwstr>https://racialequity.lci.ca.gov/framework/</vt:lpwstr>
      </vt:variant>
      <vt:variant>
        <vt:lpwstr/>
      </vt:variant>
      <vt:variant>
        <vt:i4>4194387</vt:i4>
      </vt:variant>
      <vt:variant>
        <vt:i4>1080</vt:i4>
      </vt:variant>
      <vt:variant>
        <vt:i4>0</vt:i4>
      </vt:variant>
      <vt:variant>
        <vt:i4>5</vt:i4>
      </vt:variant>
      <vt:variant>
        <vt:lpwstr>https://resources.ca.gov/Initiatives/Tribalaffairs/TribalConsultation</vt:lpwstr>
      </vt:variant>
      <vt:variant>
        <vt:lpwstr/>
      </vt:variant>
      <vt:variant>
        <vt:i4>589887</vt:i4>
      </vt:variant>
      <vt:variant>
        <vt:i4>1077</vt:i4>
      </vt:variant>
      <vt:variant>
        <vt:i4>0</vt:i4>
      </vt:variant>
      <vt:variant>
        <vt:i4>5</vt:i4>
      </vt:variant>
      <vt:variant>
        <vt:lpwstr>https://leginfo.legislature.ca.gov/faces/codes_displayexpandedbranch.xhtml?tocCode=GOV&amp;division=10.&amp;title=1.&amp;part=2.&amp;chapter=&amp;article=&amp;goUp=Y</vt:lpwstr>
      </vt:variant>
      <vt:variant>
        <vt:lpwstr/>
      </vt:variant>
      <vt:variant>
        <vt:i4>1638422</vt:i4>
      </vt:variant>
      <vt:variant>
        <vt:i4>1074</vt:i4>
      </vt:variant>
      <vt:variant>
        <vt:i4>0</vt:i4>
      </vt:variant>
      <vt:variant>
        <vt:i4>5</vt:i4>
      </vt:variant>
      <vt:variant>
        <vt:lpwstr>https://resources.ca.gov/-/media/CNRA-Website/Files/Initiatives/Tribal-Affairs/CNRA-TCP-Appendix-2-Tribal-Consultation-Best-Practices.pdf</vt:lpwstr>
      </vt:variant>
      <vt:variant>
        <vt:lpwstr/>
      </vt:variant>
      <vt:variant>
        <vt:i4>2097205</vt:i4>
      </vt:variant>
      <vt:variant>
        <vt:i4>1071</vt:i4>
      </vt:variant>
      <vt:variant>
        <vt:i4>0</vt:i4>
      </vt:variant>
      <vt:variant>
        <vt:i4>5</vt:i4>
      </vt:variant>
      <vt:variant>
        <vt:lpwstr>https://resources.ca.gov/-/media/CNRA-Website/Files/Initiatives/Tribal-Affairs/TribalConsultationPolicy09252025.pdf</vt:lpwstr>
      </vt:variant>
      <vt:variant>
        <vt:lpwstr/>
      </vt:variant>
      <vt:variant>
        <vt:i4>7143538</vt:i4>
      </vt:variant>
      <vt:variant>
        <vt:i4>1068</vt:i4>
      </vt:variant>
      <vt:variant>
        <vt:i4>0</vt:i4>
      </vt:variant>
      <vt:variant>
        <vt:i4>5</vt:i4>
      </vt:variant>
      <vt:variant>
        <vt:lpwstr>https://nahc.ca.gov/wp-content/uploads/2019/04/SB-18-Tribal-Consultation-Guidelines.pdf</vt:lpwstr>
      </vt:variant>
      <vt:variant>
        <vt:lpwstr/>
      </vt:variant>
      <vt:variant>
        <vt:i4>6946872</vt:i4>
      </vt:variant>
      <vt:variant>
        <vt:i4>1065</vt:i4>
      </vt:variant>
      <vt:variant>
        <vt:i4>0</vt:i4>
      </vt:variant>
      <vt:variant>
        <vt:i4>5</vt:i4>
      </vt:variant>
      <vt:variant>
        <vt:lpwstr>chrome-extension://efaidnbmnnnibpcajpcglclefindmkaj/https:/calsta.ca.gov/-/media/calsta-media/documents/docs-pdfs-2013-executive-order-b-10-11-a11y.pdf</vt:lpwstr>
      </vt:variant>
      <vt:variant>
        <vt:lpwstr/>
      </vt:variant>
      <vt:variant>
        <vt:i4>5767233</vt:i4>
      </vt:variant>
      <vt:variant>
        <vt:i4>1062</vt:i4>
      </vt:variant>
      <vt:variant>
        <vt:i4>0</vt:i4>
      </vt:variant>
      <vt:variant>
        <vt:i4>5</vt:i4>
      </vt:variant>
      <vt:variant>
        <vt:lpwstr>https://www.gov.ca.gov/wp-content/uploads/2019/06/6.18.19-Executive-Order.pdf</vt:lpwstr>
      </vt:variant>
      <vt:variant>
        <vt:lpwstr/>
      </vt:variant>
      <vt:variant>
        <vt:i4>5111836</vt:i4>
      </vt:variant>
      <vt:variant>
        <vt:i4>1059</vt:i4>
      </vt:variant>
      <vt:variant>
        <vt:i4>0</vt:i4>
      </vt:variant>
      <vt:variant>
        <vt:i4>5</vt:i4>
      </vt:variant>
      <vt:variant>
        <vt:lpwstr>https://archive.gov.ca.gov/archive/gov39/2011/09/19/news17223/index.html</vt:lpwstr>
      </vt:variant>
      <vt:variant>
        <vt:lpwstr/>
      </vt:variant>
      <vt:variant>
        <vt:i4>7864371</vt:i4>
      </vt:variant>
      <vt:variant>
        <vt:i4>1056</vt:i4>
      </vt:variant>
      <vt:variant>
        <vt:i4>0</vt:i4>
      </vt:variant>
      <vt:variant>
        <vt:i4>5</vt:i4>
      </vt:variant>
      <vt:variant>
        <vt:lpwstr>https://leginfo.legislature.ca.gov/faces/billNavClient.xhtml?bill_id=201320140AB52&amp;search_keywords=</vt:lpwstr>
      </vt:variant>
      <vt:variant>
        <vt:lpwstr/>
      </vt:variant>
      <vt:variant>
        <vt:i4>5767192</vt:i4>
      </vt:variant>
      <vt:variant>
        <vt:i4>1053</vt:i4>
      </vt:variant>
      <vt:variant>
        <vt:i4>0</vt:i4>
      </vt:variant>
      <vt:variant>
        <vt:i4>5</vt:i4>
      </vt:variant>
      <vt:variant>
        <vt:lpwstr>https://www.cityofsanrafael.org/sea-level-rise-collaborative/</vt:lpwstr>
      </vt:variant>
      <vt:variant>
        <vt:lpwstr/>
      </vt:variant>
      <vt:variant>
        <vt:i4>262164</vt:i4>
      </vt:variant>
      <vt:variant>
        <vt:i4>1050</vt:i4>
      </vt:variant>
      <vt:variant>
        <vt:i4>0</vt:i4>
      </vt:variant>
      <vt:variant>
        <vt:i4>5</vt:i4>
      </vt:variant>
      <vt:variant>
        <vt:lpwstr>https://www.caloes.ca.gov/wp-content/uploads/Hazard-Mitigation/Documents/2025-FEMA-Local-Mitigation-Planning-Policy-Guide.pdf</vt:lpwstr>
      </vt:variant>
      <vt:variant>
        <vt:lpwstr/>
      </vt:variant>
      <vt:variant>
        <vt:i4>196611</vt:i4>
      </vt:variant>
      <vt:variant>
        <vt:i4>1047</vt:i4>
      </vt:variant>
      <vt:variant>
        <vt:i4>0</vt:i4>
      </vt:variant>
      <vt:variant>
        <vt:i4>5</vt:i4>
      </vt:variant>
      <vt:variant>
        <vt:lpwstr>https://www.caloes.ca.gov/wp-content/uploads/Hazard-Mitigation/Documents/FEMA-Choosing-Contracting-Help-2012.pdf</vt:lpwstr>
      </vt:variant>
      <vt:variant>
        <vt:lpwstr/>
      </vt:variant>
      <vt:variant>
        <vt:i4>3866739</vt:i4>
      </vt:variant>
      <vt:variant>
        <vt:i4>1044</vt:i4>
      </vt:variant>
      <vt:variant>
        <vt:i4>0</vt:i4>
      </vt:variant>
      <vt:variant>
        <vt:i4>5</vt:i4>
      </vt:variant>
      <vt:variant>
        <vt:lpwstr>https://www.caloes.ca.gov/wp-content/uploads/Hazard-Mitigation/Documents/FEMA-Local-Mitigation-Planning-Handbook-06.12.2025.pdf</vt:lpwstr>
      </vt:variant>
      <vt:variant>
        <vt:lpwstr/>
      </vt:variant>
      <vt:variant>
        <vt:i4>2424855</vt:i4>
      </vt:variant>
      <vt:variant>
        <vt:i4>1041</vt:i4>
      </vt:variant>
      <vt:variant>
        <vt:i4>0</vt:i4>
      </vt:variant>
      <vt:variant>
        <vt:i4>5</vt:i4>
      </vt:variant>
      <vt:variant>
        <vt:lpwstr/>
      </vt:variant>
      <vt:variant>
        <vt:lpwstr>Step_1.3:_Identify_Community_Climate_Eff</vt:lpwstr>
      </vt:variant>
      <vt:variant>
        <vt:i4>1048641</vt:i4>
      </vt:variant>
      <vt:variant>
        <vt:i4>1038</vt:i4>
      </vt:variant>
      <vt:variant>
        <vt:i4>0</vt:i4>
      </vt:variant>
      <vt:variant>
        <vt:i4>5</vt:i4>
      </vt:variant>
      <vt:variant>
        <vt:lpwstr>http://arccacalifornia.org/adapt-ca/</vt:lpwstr>
      </vt:variant>
      <vt:variant>
        <vt:lpwstr/>
      </vt:variant>
      <vt:variant>
        <vt:i4>1048641</vt:i4>
      </vt:variant>
      <vt:variant>
        <vt:i4>1035</vt:i4>
      </vt:variant>
      <vt:variant>
        <vt:i4>0</vt:i4>
      </vt:variant>
      <vt:variant>
        <vt:i4>5</vt:i4>
      </vt:variant>
      <vt:variant>
        <vt:lpwstr>http://arccacalifornia.org/adapt-ca/</vt:lpwstr>
      </vt:variant>
      <vt:variant>
        <vt:lpwstr/>
      </vt:variant>
      <vt:variant>
        <vt:i4>6094868</vt:i4>
      </vt:variant>
      <vt:variant>
        <vt:i4>1032</vt:i4>
      </vt:variant>
      <vt:variant>
        <vt:i4>0</vt:i4>
      </vt:variant>
      <vt:variant>
        <vt:i4>5</vt:i4>
      </vt:variant>
      <vt:variant>
        <vt:lpwstr>https://www.slocoe.org/resources/multi-jurisdictional-hazard-mitigation-plan/</vt:lpwstr>
      </vt:variant>
      <vt:variant>
        <vt:lpwstr/>
      </vt:variant>
      <vt:variant>
        <vt:i4>7209075</vt:i4>
      </vt:variant>
      <vt:variant>
        <vt:i4>1029</vt:i4>
      </vt:variant>
      <vt:variant>
        <vt:i4>0</vt:i4>
      </vt:variant>
      <vt:variant>
        <vt:i4>5</vt:i4>
      </vt:variant>
      <vt:variant>
        <vt:lpwstr>https://tahoetransportation.org/wp-content/uploads/2025/11/Final-TTD-HMP-April-17-2024.pdf</vt:lpwstr>
      </vt:variant>
      <vt:variant>
        <vt:lpwstr/>
      </vt:variant>
      <vt:variant>
        <vt:i4>2621553</vt:i4>
      </vt:variant>
      <vt:variant>
        <vt:i4>1026</vt:i4>
      </vt:variant>
      <vt:variant>
        <vt:i4>0</vt:i4>
      </vt:variant>
      <vt:variant>
        <vt:i4>5</vt:i4>
      </vt:variant>
      <vt:variant>
        <vt:lpwstr>https://www.iid.com/home/showpublisheddocument/22737/639098771583770000</vt:lpwstr>
      </vt:variant>
      <vt:variant>
        <vt:lpwstr/>
      </vt:variant>
      <vt:variant>
        <vt:i4>3342447</vt:i4>
      </vt:variant>
      <vt:variant>
        <vt:i4>1023</vt:i4>
      </vt:variant>
      <vt:variant>
        <vt:i4>0</vt:i4>
      </vt:variant>
      <vt:variant>
        <vt:i4>5</vt:i4>
      </vt:variant>
      <vt:variant>
        <vt:lpwstr>https://www.cityofcalabasas.com/home/showpublisheddocument/32212/638654752876330000</vt:lpwstr>
      </vt:variant>
      <vt:variant>
        <vt:lpwstr/>
      </vt:variant>
      <vt:variant>
        <vt:i4>7995492</vt:i4>
      </vt:variant>
      <vt:variant>
        <vt:i4>1020</vt:i4>
      </vt:variant>
      <vt:variant>
        <vt:i4>0</vt:i4>
      </vt:variant>
      <vt:variant>
        <vt:i4>5</vt:i4>
      </vt:variant>
      <vt:variant>
        <vt:lpwstr>https://www.fema.gov/case-study/tribal-nations-take-lead-creating-first-multi-tribal-hazard-mitigation-plan</vt:lpwstr>
      </vt:variant>
      <vt:variant>
        <vt:lpwstr/>
      </vt:variant>
      <vt:variant>
        <vt:i4>1900670</vt:i4>
      </vt:variant>
      <vt:variant>
        <vt:i4>1017</vt:i4>
      </vt:variant>
      <vt:variant>
        <vt:i4>0</vt:i4>
      </vt:variant>
      <vt:variant>
        <vt:i4>5</vt:i4>
      </vt:variant>
      <vt:variant>
        <vt:lpwstr>https://www.slc.ca.gov/granted_lands/</vt:lpwstr>
      </vt:variant>
      <vt:variant>
        <vt:lpwstr/>
      </vt:variant>
      <vt:variant>
        <vt:i4>3932273</vt:i4>
      </vt:variant>
      <vt:variant>
        <vt:i4>1014</vt:i4>
      </vt:variant>
      <vt:variant>
        <vt:i4>0</vt:i4>
      </vt:variant>
      <vt:variant>
        <vt:i4>5</vt:i4>
      </vt:variant>
      <vt:variant>
        <vt:lpwstr>https://toolkit.climate.gov/tool/nca-interactive-atlas</vt:lpwstr>
      </vt:variant>
      <vt:variant>
        <vt:lpwstr/>
      </vt:variant>
      <vt:variant>
        <vt:i4>8126560</vt:i4>
      </vt:variant>
      <vt:variant>
        <vt:i4>1011</vt:i4>
      </vt:variant>
      <vt:variant>
        <vt:i4>0</vt:i4>
      </vt:variant>
      <vt:variant>
        <vt:i4>5</vt:i4>
      </vt:variant>
      <vt:variant>
        <vt:lpwstr>https://www.catribalclimateresiliencyresourceportal.com/resource-list/</vt:lpwstr>
      </vt:variant>
      <vt:variant>
        <vt:lpwstr/>
      </vt:variant>
      <vt:variant>
        <vt:i4>6946870</vt:i4>
      </vt:variant>
      <vt:variant>
        <vt:i4>1008</vt:i4>
      </vt:variant>
      <vt:variant>
        <vt:i4>0</vt:i4>
      </vt:variant>
      <vt:variant>
        <vt:i4>5</vt:i4>
      </vt:variant>
      <vt:variant>
        <vt:lpwstr>https://drive.google.com/file/d/1xCPmf9xUUO46Yl5hRElAtFyeY4jSc6q7/view</vt:lpwstr>
      </vt:variant>
      <vt:variant>
        <vt:lpwstr/>
      </vt:variant>
      <vt:variant>
        <vt:i4>524306</vt:i4>
      </vt:variant>
      <vt:variant>
        <vt:i4>1005</vt:i4>
      </vt:variant>
      <vt:variant>
        <vt:i4>0</vt:i4>
      </vt:variant>
      <vt:variant>
        <vt:i4>5</vt:i4>
      </vt:variant>
      <vt:variant>
        <vt:lpwstr>https://data.ca.gov/organization/california-department-of-technology</vt:lpwstr>
      </vt:variant>
      <vt:variant>
        <vt:lpwstr/>
      </vt:variant>
      <vt:variant>
        <vt:i4>1179716</vt:i4>
      </vt:variant>
      <vt:variant>
        <vt:i4>1002</vt:i4>
      </vt:variant>
      <vt:variant>
        <vt:i4>0</vt:i4>
      </vt:variant>
      <vt:variant>
        <vt:i4>5</vt:i4>
      </vt:variant>
      <vt:variant>
        <vt:lpwstr>https://www.sfenvironment.org/media/15829</vt:lpwstr>
      </vt:variant>
      <vt:variant>
        <vt:lpwstr/>
      </vt:variant>
      <vt:variant>
        <vt:i4>1966085</vt:i4>
      </vt:variant>
      <vt:variant>
        <vt:i4>999</vt:i4>
      </vt:variant>
      <vt:variant>
        <vt:i4>0</vt:i4>
      </vt:variant>
      <vt:variant>
        <vt:i4>5</vt:i4>
      </vt:variant>
      <vt:variant>
        <vt:lpwstr>https://onesanfrancisco.org/sites/default/files/inline-files/2025 HCR_Final_Aug18.pdf</vt:lpwstr>
      </vt:variant>
      <vt:variant>
        <vt:lpwstr/>
      </vt:variant>
      <vt:variant>
        <vt:i4>2359417</vt:i4>
      </vt:variant>
      <vt:variant>
        <vt:i4>996</vt:i4>
      </vt:variant>
      <vt:variant>
        <vt:i4>0</vt:i4>
      </vt:variant>
      <vt:variant>
        <vt:i4>5</vt:i4>
      </vt:variant>
      <vt:variant>
        <vt:lpwstr>https://www.sanfernando.gov/files/assets/public/v/1/government/documents/community-development/carp-docs/01_san-fernando-carp_final_march_wapps.pdf</vt:lpwstr>
      </vt:variant>
      <vt:variant>
        <vt:lpwstr/>
      </vt:variant>
      <vt:variant>
        <vt:i4>3342398</vt:i4>
      </vt:variant>
      <vt:variant>
        <vt:i4>993</vt:i4>
      </vt:variant>
      <vt:variant>
        <vt:i4>0</vt:i4>
      </vt:variant>
      <vt:variant>
        <vt:i4>5</vt:i4>
      </vt:variant>
      <vt:variant>
        <vt:lpwstr>https://www.resilientcoachella.ucr.edu/</vt:lpwstr>
      </vt:variant>
      <vt:variant>
        <vt:lpwstr/>
      </vt:variant>
      <vt:variant>
        <vt:i4>4980854</vt:i4>
      </vt:variant>
      <vt:variant>
        <vt:i4>990</vt:i4>
      </vt:variant>
      <vt:variant>
        <vt:i4>0</vt:i4>
      </vt:variant>
      <vt:variant>
        <vt:i4>5</vt:i4>
      </vt:variant>
      <vt:variant>
        <vt:lpwstr/>
      </vt:variant>
      <vt:variant>
        <vt:lpwstr>_Step_1.3:_Prepare</vt:lpwstr>
      </vt:variant>
      <vt:variant>
        <vt:i4>5308418</vt:i4>
      </vt:variant>
      <vt:variant>
        <vt:i4>987</vt:i4>
      </vt:variant>
      <vt:variant>
        <vt:i4>0</vt:i4>
      </vt:variant>
      <vt:variant>
        <vt:i4>5</vt:i4>
      </vt:variant>
      <vt:variant>
        <vt:lpwstr>https://climateresilience.ca.gov/</vt:lpwstr>
      </vt:variant>
      <vt:variant>
        <vt:lpwstr/>
      </vt:variant>
      <vt:variant>
        <vt:i4>6225981</vt:i4>
      </vt:variant>
      <vt:variant>
        <vt:i4>984</vt:i4>
      </vt:variant>
      <vt:variant>
        <vt:i4>0</vt:i4>
      </vt:variant>
      <vt:variant>
        <vt:i4>5</vt:i4>
      </vt:variant>
      <vt:variant>
        <vt:lpwstr>https://leginfo.legislature.ca.gov/faces/codes_displaySection.xhtml?sectionNum=65302.&amp;lawCode=GOV</vt:lpwstr>
      </vt:variant>
      <vt:variant>
        <vt:lpwstr/>
      </vt:variant>
      <vt:variant>
        <vt:i4>8323169</vt:i4>
      </vt:variant>
      <vt:variant>
        <vt:i4>978</vt:i4>
      </vt:variant>
      <vt:variant>
        <vt:i4>0</vt:i4>
      </vt:variant>
      <vt:variant>
        <vt:i4>5</vt:i4>
      </vt:variant>
      <vt:variant>
        <vt:lpwstr>https://resilientca.org/plan-alignment/</vt:lpwstr>
      </vt:variant>
      <vt:variant>
        <vt:lpwstr/>
      </vt:variant>
      <vt:variant>
        <vt:i4>5177388</vt:i4>
      </vt:variant>
      <vt:variant>
        <vt:i4>975</vt:i4>
      </vt:variant>
      <vt:variant>
        <vt:i4>0</vt:i4>
      </vt:variant>
      <vt:variant>
        <vt:i4>5</vt:i4>
      </vt:variant>
      <vt:variant>
        <vt:lpwstr/>
      </vt:variant>
      <vt:variant>
        <vt:lpwstr>Figure_6</vt:lpwstr>
      </vt:variant>
      <vt:variant>
        <vt:i4>5177388</vt:i4>
      </vt:variant>
      <vt:variant>
        <vt:i4>972</vt:i4>
      </vt:variant>
      <vt:variant>
        <vt:i4>0</vt:i4>
      </vt:variant>
      <vt:variant>
        <vt:i4>5</vt:i4>
      </vt:variant>
      <vt:variant>
        <vt:lpwstr/>
      </vt:variant>
      <vt:variant>
        <vt:lpwstr>Figure_6</vt:lpwstr>
      </vt:variant>
      <vt:variant>
        <vt:i4>5177388</vt:i4>
      </vt:variant>
      <vt:variant>
        <vt:i4>969</vt:i4>
      </vt:variant>
      <vt:variant>
        <vt:i4>0</vt:i4>
      </vt:variant>
      <vt:variant>
        <vt:i4>5</vt:i4>
      </vt:variant>
      <vt:variant>
        <vt:lpwstr/>
      </vt:variant>
      <vt:variant>
        <vt:lpwstr>Figure_6</vt:lpwstr>
      </vt:variant>
      <vt:variant>
        <vt:i4>5767192</vt:i4>
      </vt:variant>
      <vt:variant>
        <vt:i4>960</vt:i4>
      </vt:variant>
      <vt:variant>
        <vt:i4>0</vt:i4>
      </vt:variant>
      <vt:variant>
        <vt:i4>5</vt:i4>
      </vt:variant>
      <vt:variant>
        <vt:lpwstr>https://climateassessment.ca.gov/</vt:lpwstr>
      </vt:variant>
      <vt:variant>
        <vt:lpwstr/>
      </vt:variant>
      <vt:variant>
        <vt:i4>6488171</vt:i4>
      </vt:variant>
      <vt:variant>
        <vt:i4>957</vt:i4>
      </vt:variant>
      <vt:variant>
        <vt:i4>0</vt:i4>
      </vt:variant>
      <vt:variant>
        <vt:i4>5</vt:i4>
      </vt:variant>
      <vt:variant>
        <vt:lpwstr>https://water.ca.gov/Work-With-Us/Grants-And-Loans/Watershed-Resilience-Program</vt:lpwstr>
      </vt:variant>
      <vt:variant>
        <vt:lpwstr/>
      </vt:variant>
      <vt:variant>
        <vt:i4>3342372</vt:i4>
      </vt:variant>
      <vt:variant>
        <vt:i4>954</vt:i4>
      </vt:variant>
      <vt:variant>
        <vt:i4>0</vt:i4>
      </vt:variant>
      <vt:variant>
        <vt:i4>5</vt:i4>
      </vt:variant>
      <vt:variant>
        <vt:lpwstr>https://resilientca.org/plan-alignment/wildfire-resilience/</vt:lpwstr>
      </vt:variant>
      <vt:variant>
        <vt:lpwstr/>
      </vt:variant>
      <vt:variant>
        <vt:i4>2228265</vt:i4>
      </vt:variant>
      <vt:variant>
        <vt:i4>951</vt:i4>
      </vt:variant>
      <vt:variant>
        <vt:i4>0</vt:i4>
      </vt:variant>
      <vt:variant>
        <vt:i4>5</vt:i4>
      </vt:variant>
      <vt:variant>
        <vt:lpwstr>https://resilientca.org/plan-alignment/flood-after-fire-resilience/</vt:lpwstr>
      </vt:variant>
      <vt:variant>
        <vt:lpwstr/>
      </vt:variant>
      <vt:variant>
        <vt:i4>6291564</vt:i4>
      </vt:variant>
      <vt:variant>
        <vt:i4>948</vt:i4>
      </vt:variant>
      <vt:variant>
        <vt:i4>0</vt:i4>
      </vt:variant>
      <vt:variant>
        <vt:i4>5</vt:i4>
      </vt:variant>
      <vt:variant>
        <vt:lpwstr>https://resilientca.org/plan-alignment/coastal-resilience-compass/</vt:lpwstr>
      </vt:variant>
      <vt:variant>
        <vt:lpwstr/>
      </vt:variant>
      <vt:variant>
        <vt:i4>655445</vt:i4>
      </vt:variant>
      <vt:variant>
        <vt:i4>945</vt:i4>
      </vt:variant>
      <vt:variant>
        <vt:i4>0</vt:i4>
      </vt:variant>
      <vt:variant>
        <vt:i4>5</vt:i4>
      </vt:variant>
      <vt:variant>
        <vt:lpwstr>https://resilientca.org/</vt:lpwstr>
      </vt:variant>
      <vt:variant>
        <vt:lpwstr/>
      </vt:variant>
      <vt:variant>
        <vt:i4>4915277</vt:i4>
      </vt:variant>
      <vt:variant>
        <vt:i4>942</vt:i4>
      </vt:variant>
      <vt:variant>
        <vt:i4>0</vt:i4>
      </vt:variant>
      <vt:variant>
        <vt:i4>5</vt:i4>
      </vt:variant>
      <vt:variant>
        <vt:lpwstr>https://resilientca.org/plan-alignment/tool/</vt:lpwstr>
      </vt:variant>
      <vt:variant>
        <vt:lpwstr/>
      </vt:variant>
      <vt:variant>
        <vt:i4>6684708</vt:i4>
      </vt:variant>
      <vt:variant>
        <vt:i4>939</vt:i4>
      </vt:variant>
      <vt:variant>
        <vt:i4>0</vt:i4>
      </vt:variant>
      <vt:variant>
        <vt:i4>5</vt:i4>
      </vt:variant>
      <vt:variant>
        <vt:lpwstr>https://www.bcdc.ca.gov/wp-content/uploads/sites/354/2024/12/regional-shoreline-adaptation-plan.pdf</vt:lpwstr>
      </vt:variant>
      <vt:variant>
        <vt:lpwstr/>
      </vt:variant>
      <vt:variant>
        <vt:i4>1048617</vt:i4>
      </vt:variant>
      <vt:variant>
        <vt:i4>936</vt:i4>
      </vt:variant>
      <vt:variant>
        <vt:i4>0</vt:i4>
      </vt:variant>
      <vt:variant>
        <vt:i4>5</vt:i4>
      </vt:variant>
      <vt:variant>
        <vt:lpwstr>https://www.bcdc.ca.gov/wp-content/uploads/sites/354/2024/06/Bill-Text-SB-272-Sea-level-rise-planning-and-adaptation_.pdf</vt:lpwstr>
      </vt:variant>
      <vt:variant>
        <vt:lpwstr/>
      </vt:variant>
      <vt:variant>
        <vt:i4>6553704</vt:i4>
      </vt:variant>
      <vt:variant>
        <vt:i4>933</vt:i4>
      </vt:variant>
      <vt:variant>
        <vt:i4>0</vt:i4>
      </vt:variant>
      <vt:variant>
        <vt:i4>5</vt:i4>
      </vt:variant>
      <vt:variant>
        <vt:lpwstr>https://resilientca.org/topics/plan-alignment/</vt:lpwstr>
      </vt:variant>
      <vt:variant>
        <vt:lpwstr/>
      </vt:variant>
      <vt:variant>
        <vt:i4>1835070</vt:i4>
      </vt:variant>
      <vt:variant>
        <vt:i4>930</vt:i4>
      </vt:variant>
      <vt:variant>
        <vt:i4>0</vt:i4>
      </vt:variant>
      <vt:variant>
        <vt:i4>5</vt:i4>
      </vt:variant>
      <vt:variant>
        <vt:lpwstr/>
      </vt:variant>
      <vt:variant>
        <vt:lpwstr>_Toc235190095</vt:lpwstr>
      </vt:variant>
      <vt:variant>
        <vt:i4>1900606</vt:i4>
      </vt:variant>
      <vt:variant>
        <vt:i4>927</vt:i4>
      </vt:variant>
      <vt:variant>
        <vt:i4>0</vt:i4>
      </vt:variant>
      <vt:variant>
        <vt:i4>5</vt:i4>
      </vt:variant>
      <vt:variant>
        <vt:lpwstr/>
      </vt:variant>
      <vt:variant>
        <vt:lpwstr>_Toc235190081</vt:lpwstr>
      </vt:variant>
      <vt:variant>
        <vt:i4>1048638</vt:i4>
      </vt:variant>
      <vt:variant>
        <vt:i4>924</vt:i4>
      </vt:variant>
      <vt:variant>
        <vt:i4>0</vt:i4>
      </vt:variant>
      <vt:variant>
        <vt:i4>5</vt:i4>
      </vt:variant>
      <vt:variant>
        <vt:lpwstr/>
      </vt:variant>
      <vt:variant>
        <vt:lpwstr>_Toc235190059</vt:lpwstr>
      </vt:variant>
      <vt:variant>
        <vt:i4>1114174</vt:i4>
      </vt:variant>
      <vt:variant>
        <vt:i4>921</vt:i4>
      </vt:variant>
      <vt:variant>
        <vt:i4>0</vt:i4>
      </vt:variant>
      <vt:variant>
        <vt:i4>5</vt:i4>
      </vt:variant>
      <vt:variant>
        <vt:lpwstr/>
      </vt:variant>
      <vt:variant>
        <vt:lpwstr>_Toc235190045</vt:lpwstr>
      </vt:variant>
      <vt:variant>
        <vt:i4>7995502</vt:i4>
      </vt:variant>
      <vt:variant>
        <vt:i4>918</vt:i4>
      </vt:variant>
      <vt:variant>
        <vt:i4>0</vt:i4>
      </vt:variant>
      <vt:variant>
        <vt:i4>5</vt:i4>
      </vt:variant>
      <vt:variant>
        <vt:lpwstr>https://www.adaptationclearinghouse.org/resources/equitable-adaptation-legal-and-policy-toolkit-georgetown-climate-center.html</vt:lpwstr>
      </vt:variant>
      <vt:variant>
        <vt:lpwstr/>
      </vt:variant>
      <vt:variant>
        <vt:i4>5308418</vt:i4>
      </vt:variant>
      <vt:variant>
        <vt:i4>915</vt:i4>
      </vt:variant>
      <vt:variant>
        <vt:i4>0</vt:i4>
      </vt:variant>
      <vt:variant>
        <vt:i4>5</vt:i4>
      </vt:variant>
      <vt:variant>
        <vt:lpwstr>https://climateresilience.ca.gov/</vt:lpwstr>
      </vt:variant>
      <vt:variant>
        <vt:lpwstr/>
      </vt:variant>
      <vt:variant>
        <vt:i4>5308418</vt:i4>
      </vt:variant>
      <vt:variant>
        <vt:i4>912</vt:i4>
      </vt:variant>
      <vt:variant>
        <vt:i4>0</vt:i4>
      </vt:variant>
      <vt:variant>
        <vt:i4>5</vt:i4>
      </vt:variant>
      <vt:variant>
        <vt:lpwstr>https://climateresilience.ca.gov/</vt:lpwstr>
      </vt:variant>
      <vt:variant>
        <vt:lpwstr/>
      </vt:variant>
      <vt:variant>
        <vt:i4>786438</vt:i4>
      </vt:variant>
      <vt:variant>
        <vt:i4>909</vt:i4>
      </vt:variant>
      <vt:variant>
        <vt:i4>0</vt:i4>
      </vt:variant>
      <vt:variant>
        <vt:i4>5</vt:i4>
      </vt:variant>
      <vt:variant>
        <vt:lpwstr>https://www.caloes.ca.gov/office-of-the-director/operations/recovery-directorate/hazard-mitigation/state-mitigation-planning/</vt:lpwstr>
      </vt:variant>
      <vt:variant>
        <vt:lpwstr/>
      </vt:variant>
      <vt:variant>
        <vt:i4>4325436</vt:i4>
      </vt:variant>
      <vt:variant>
        <vt:i4>906</vt:i4>
      </vt:variant>
      <vt:variant>
        <vt:i4>0</vt:i4>
      </vt:variant>
      <vt:variant>
        <vt:i4>5</vt:i4>
      </vt:variant>
      <vt:variant>
        <vt:lpwstr>https://leginfo.legislature.ca.gov/faces/billTextClient.xhtml?bill_id=201520160SB379</vt:lpwstr>
      </vt:variant>
      <vt:variant>
        <vt:lpwstr/>
      </vt:variant>
      <vt:variant>
        <vt:i4>1114188</vt:i4>
      </vt:variant>
      <vt:variant>
        <vt:i4>903</vt:i4>
      </vt:variant>
      <vt:variant>
        <vt:i4>0</vt:i4>
      </vt:variant>
      <vt:variant>
        <vt:i4>5</vt:i4>
      </vt:variant>
      <vt:variant>
        <vt:lpwstr>https://lci.ca.gov/ceqa/</vt:lpwstr>
      </vt:variant>
      <vt:variant>
        <vt:lpwstr/>
      </vt:variant>
      <vt:variant>
        <vt:i4>4194405</vt:i4>
      </vt:variant>
      <vt:variant>
        <vt:i4>900</vt:i4>
      </vt:variant>
      <vt:variant>
        <vt:i4>0</vt:i4>
      </vt:variant>
      <vt:variant>
        <vt:i4>5</vt:i4>
      </vt:variant>
      <vt:variant>
        <vt:lpwstr>https://leginfo.legislature.ca.gov/faces/billNavClient.xhtml?bill_id=200720080SB97</vt:lpwstr>
      </vt:variant>
      <vt:variant>
        <vt:lpwstr/>
      </vt:variant>
      <vt:variant>
        <vt:i4>3866739</vt:i4>
      </vt:variant>
      <vt:variant>
        <vt:i4>891</vt:i4>
      </vt:variant>
      <vt:variant>
        <vt:i4>0</vt:i4>
      </vt:variant>
      <vt:variant>
        <vt:i4>5</vt:i4>
      </vt:variant>
      <vt:variant>
        <vt:lpwstr>https://www.caloes.ca.gov/wp-content/uploads/Hazard-Mitigation/Documents/FEMA-Local-Mitigation-Planning-Handbook-06.12.2025.pdf</vt:lpwstr>
      </vt:variant>
      <vt:variant>
        <vt:lpwstr/>
      </vt:variant>
      <vt:variant>
        <vt:i4>262164</vt:i4>
      </vt:variant>
      <vt:variant>
        <vt:i4>885</vt:i4>
      </vt:variant>
      <vt:variant>
        <vt:i4>0</vt:i4>
      </vt:variant>
      <vt:variant>
        <vt:i4>5</vt:i4>
      </vt:variant>
      <vt:variant>
        <vt:lpwstr>https://www.caloes.ca.gov/wp-content/uploads/Hazard-Mitigation/Documents/2025-FEMA-Local-Mitigation-Planning-Policy-Guide.pdf</vt:lpwstr>
      </vt:variant>
      <vt:variant>
        <vt:lpwstr/>
      </vt:variant>
      <vt:variant>
        <vt:i4>4587579</vt:i4>
      </vt:variant>
      <vt:variant>
        <vt:i4>882</vt:i4>
      </vt:variant>
      <vt:variant>
        <vt:i4>0</vt:i4>
      </vt:variant>
      <vt:variant>
        <vt:i4>5</vt:i4>
      </vt:variant>
      <vt:variant>
        <vt:lpwstr>https://leginfo.legislature.ca.gov/faces/billTextClient.xhtml?bill_id=201720180SB1035</vt:lpwstr>
      </vt:variant>
      <vt:variant>
        <vt:lpwstr/>
      </vt:variant>
      <vt:variant>
        <vt:i4>4325436</vt:i4>
      </vt:variant>
      <vt:variant>
        <vt:i4>879</vt:i4>
      </vt:variant>
      <vt:variant>
        <vt:i4>0</vt:i4>
      </vt:variant>
      <vt:variant>
        <vt:i4>5</vt:i4>
      </vt:variant>
      <vt:variant>
        <vt:lpwstr>https://leginfo.legislature.ca.gov/faces/billTextClient.xhtml?bill_id=201520160SB379</vt:lpwstr>
      </vt:variant>
      <vt:variant>
        <vt:lpwstr/>
      </vt:variant>
      <vt:variant>
        <vt:i4>131104</vt:i4>
      </vt:variant>
      <vt:variant>
        <vt:i4>876</vt:i4>
      </vt:variant>
      <vt:variant>
        <vt:i4>0</vt:i4>
      </vt:variant>
      <vt:variant>
        <vt:i4>5</vt:i4>
      </vt:variant>
      <vt:variant>
        <vt:lpwstr>https://www.caloes.ca.gov/wp-content/uploads/Hazard-Mitigation/Documents/AB-2140-fact-sheet_11.20.24-update.pdf</vt:lpwstr>
      </vt:variant>
      <vt:variant>
        <vt:lpwstr/>
      </vt:variant>
      <vt:variant>
        <vt:i4>7733316</vt:i4>
      </vt:variant>
      <vt:variant>
        <vt:i4>873</vt:i4>
      </vt:variant>
      <vt:variant>
        <vt:i4>0</vt:i4>
      </vt:variant>
      <vt:variant>
        <vt:i4>5</vt:i4>
      </vt:variant>
      <vt:variant>
        <vt:lpwstr>https://leginfo.legislature.ca.gov/faces/billNavClient.xhtml?bill_id=200520060AB2140</vt:lpwstr>
      </vt:variant>
      <vt:variant>
        <vt:lpwstr/>
      </vt:variant>
      <vt:variant>
        <vt:i4>4587579</vt:i4>
      </vt:variant>
      <vt:variant>
        <vt:i4>870</vt:i4>
      </vt:variant>
      <vt:variant>
        <vt:i4>0</vt:i4>
      </vt:variant>
      <vt:variant>
        <vt:i4>5</vt:i4>
      </vt:variant>
      <vt:variant>
        <vt:lpwstr>https://leginfo.legislature.ca.gov/faces/billTextClient.xhtml?bill_id=201720180SB1035</vt:lpwstr>
      </vt:variant>
      <vt:variant>
        <vt:lpwstr/>
      </vt:variant>
      <vt:variant>
        <vt:i4>4325436</vt:i4>
      </vt:variant>
      <vt:variant>
        <vt:i4>867</vt:i4>
      </vt:variant>
      <vt:variant>
        <vt:i4>0</vt:i4>
      </vt:variant>
      <vt:variant>
        <vt:i4>5</vt:i4>
      </vt:variant>
      <vt:variant>
        <vt:lpwstr>https://leginfo.legislature.ca.gov/faces/billTextClient.xhtml?bill_id=201520160SB379</vt:lpwstr>
      </vt:variant>
      <vt:variant>
        <vt:lpwstr/>
      </vt:variant>
      <vt:variant>
        <vt:i4>4128868</vt:i4>
      </vt:variant>
      <vt:variant>
        <vt:i4>864</vt:i4>
      </vt:variant>
      <vt:variant>
        <vt:i4>0</vt:i4>
      </vt:variant>
      <vt:variant>
        <vt:i4>5</vt:i4>
      </vt:variant>
      <vt:variant>
        <vt:lpwstr>https://lci.ca.gov/docs/OPR_COMPLETE_7.31.17.pdf</vt:lpwstr>
      </vt:variant>
      <vt:variant>
        <vt:lpwstr/>
      </vt:variant>
      <vt:variant>
        <vt:i4>6225981</vt:i4>
      </vt:variant>
      <vt:variant>
        <vt:i4>861</vt:i4>
      </vt:variant>
      <vt:variant>
        <vt:i4>0</vt:i4>
      </vt:variant>
      <vt:variant>
        <vt:i4>5</vt:i4>
      </vt:variant>
      <vt:variant>
        <vt:lpwstr>https://leginfo.legislature.ca.gov/faces/codes_displaySection.xhtml?sectionNum=65302.&amp;lawCode=GOV</vt:lpwstr>
      </vt:variant>
      <vt:variant>
        <vt:lpwstr/>
      </vt:variant>
      <vt:variant>
        <vt:i4>6160470</vt:i4>
      </vt:variant>
      <vt:variant>
        <vt:i4>858</vt:i4>
      </vt:variant>
      <vt:variant>
        <vt:i4>0</vt:i4>
      </vt:variant>
      <vt:variant>
        <vt:i4>5</vt:i4>
      </vt:variant>
      <vt:variant>
        <vt:lpwstr>https://www.caloes.ca.gov/wp-content/uploads/Hazard-Mitigation/Documents/FEMA-Tribal-Mitigation-Plan-Review-Guide-12.05.2017.pdf</vt:lpwstr>
      </vt:variant>
      <vt:variant>
        <vt:lpwstr/>
      </vt:variant>
      <vt:variant>
        <vt:i4>2162806</vt:i4>
      </vt:variant>
      <vt:variant>
        <vt:i4>855</vt:i4>
      </vt:variant>
      <vt:variant>
        <vt:i4>0</vt:i4>
      </vt:variant>
      <vt:variant>
        <vt:i4>5</vt:i4>
      </vt:variant>
      <vt:variant>
        <vt:lpwstr>https://www.ecfr.gov/current/title-44/chapter-I/subchapter-D/part-201/section-201.7</vt:lpwstr>
      </vt:variant>
      <vt:variant>
        <vt:lpwstr/>
      </vt:variant>
      <vt:variant>
        <vt:i4>131104</vt:i4>
      </vt:variant>
      <vt:variant>
        <vt:i4>852</vt:i4>
      </vt:variant>
      <vt:variant>
        <vt:i4>0</vt:i4>
      </vt:variant>
      <vt:variant>
        <vt:i4>5</vt:i4>
      </vt:variant>
      <vt:variant>
        <vt:lpwstr>https://www.caloes.ca.gov/wp-content/uploads/Hazard-Mitigation/Documents/AB-2140-fact-sheet_11.20.24-update.pdf</vt:lpwstr>
      </vt:variant>
      <vt:variant>
        <vt:lpwstr/>
      </vt:variant>
      <vt:variant>
        <vt:i4>7733316</vt:i4>
      </vt:variant>
      <vt:variant>
        <vt:i4>849</vt:i4>
      </vt:variant>
      <vt:variant>
        <vt:i4>0</vt:i4>
      </vt:variant>
      <vt:variant>
        <vt:i4>5</vt:i4>
      </vt:variant>
      <vt:variant>
        <vt:lpwstr>https://leginfo.legislature.ca.gov/faces/billNavClient.xhtml?bill_id=200520060AB2140</vt:lpwstr>
      </vt:variant>
      <vt:variant>
        <vt:lpwstr/>
      </vt:variant>
      <vt:variant>
        <vt:i4>6225981</vt:i4>
      </vt:variant>
      <vt:variant>
        <vt:i4>846</vt:i4>
      </vt:variant>
      <vt:variant>
        <vt:i4>0</vt:i4>
      </vt:variant>
      <vt:variant>
        <vt:i4>5</vt:i4>
      </vt:variant>
      <vt:variant>
        <vt:lpwstr>https://leginfo.legislature.ca.gov/faces/codes_displaySection.xhtml?sectionNum=65302.&amp;lawCode=GOV</vt:lpwstr>
      </vt:variant>
      <vt:variant>
        <vt:lpwstr/>
      </vt:variant>
      <vt:variant>
        <vt:i4>262164</vt:i4>
      </vt:variant>
      <vt:variant>
        <vt:i4>843</vt:i4>
      </vt:variant>
      <vt:variant>
        <vt:i4>0</vt:i4>
      </vt:variant>
      <vt:variant>
        <vt:i4>5</vt:i4>
      </vt:variant>
      <vt:variant>
        <vt:lpwstr>https://www.caloes.ca.gov/wp-content/uploads/Hazard-Mitigation/Documents/2025-FEMA-Local-Mitigation-Planning-Policy-Guide.pdf</vt:lpwstr>
      </vt:variant>
      <vt:variant>
        <vt:lpwstr/>
      </vt:variant>
      <vt:variant>
        <vt:i4>2162806</vt:i4>
      </vt:variant>
      <vt:variant>
        <vt:i4>840</vt:i4>
      </vt:variant>
      <vt:variant>
        <vt:i4>0</vt:i4>
      </vt:variant>
      <vt:variant>
        <vt:i4>5</vt:i4>
      </vt:variant>
      <vt:variant>
        <vt:lpwstr>https://www.ecfr.gov/current/title-44/chapter-I/subchapter-D/part-201/section-201.6</vt:lpwstr>
      </vt:variant>
      <vt:variant>
        <vt:lpwstr/>
      </vt:variant>
      <vt:variant>
        <vt:i4>7471198</vt:i4>
      </vt:variant>
      <vt:variant>
        <vt:i4>831</vt:i4>
      </vt:variant>
      <vt:variant>
        <vt:i4>0</vt:i4>
      </vt:variant>
      <vt:variant>
        <vt:i4>5</vt:i4>
      </vt:variant>
      <vt:variant>
        <vt:lpwstr>https://leginfo.legislature.ca.gov/faces/billNavClient.xhtml?bill_id=201720180SB1035</vt:lpwstr>
      </vt:variant>
      <vt:variant>
        <vt:lpwstr/>
      </vt:variant>
      <vt:variant>
        <vt:i4>6225981</vt:i4>
      </vt:variant>
      <vt:variant>
        <vt:i4>828</vt:i4>
      </vt:variant>
      <vt:variant>
        <vt:i4>0</vt:i4>
      </vt:variant>
      <vt:variant>
        <vt:i4>5</vt:i4>
      </vt:variant>
      <vt:variant>
        <vt:lpwstr>https://leginfo.legislature.ca.gov/faces/codes_displaySection.xhtml?sectionNum=65302.&amp;lawCode=GOV</vt:lpwstr>
      </vt:variant>
      <vt:variant>
        <vt:lpwstr/>
      </vt:variant>
      <vt:variant>
        <vt:i4>6225981</vt:i4>
      </vt:variant>
      <vt:variant>
        <vt:i4>825</vt:i4>
      </vt:variant>
      <vt:variant>
        <vt:i4>0</vt:i4>
      </vt:variant>
      <vt:variant>
        <vt:i4>5</vt:i4>
      </vt:variant>
      <vt:variant>
        <vt:lpwstr>https://leginfo.legislature.ca.gov/faces/codes_displaySection.xhtml?sectionNum=65302.&amp;lawCode=GOV</vt:lpwstr>
      </vt:variant>
      <vt:variant>
        <vt:lpwstr/>
      </vt:variant>
      <vt:variant>
        <vt:i4>4325436</vt:i4>
      </vt:variant>
      <vt:variant>
        <vt:i4>822</vt:i4>
      </vt:variant>
      <vt:variant>
        <vt:i4>0</vt:i4>
      </vt:variant>
      <vt:variant>
        <vt:i4>5</vt:i4>
      </vt:variant>
      <vt:variant>
        <vt:lpwstr>https://leginfo.legislature.ca.gov/faces/billTextClient.xhtml?bill_id=201520160SB379</vt:lpwstr>
      </vt:variant>
      <vt:variant>
        <vt:lpwstr/>
      </vt:variant>
      <vt:variant>
        <vt:i4>1835070</vt:i4>
      </vt:variant>
      <vt:variant>
        <vt:i4>813</vt:i4>
      </vt:variant>
      <vt:variant>
        <vt:i4>0</vt:i4>
      </vt:variant>
      <vt:variant>
        <vt:i4>5</vt:i4>
      </vt:variant>
      <vt:variant>
        <vt:lpwstr/>
      </vt:variant>
      <vt:variant>
        <vt:lpwstr>_Toc235190095</vt:lpwstr>
      </vt:variant>
      <vt:variant>
        <vt:i4>1900606</vt:i4>
      </vt:variant>
      <vt:variant>
        <vt:i4>810</vt:i4>
      </vt:variant>
      <vt:variant>
        <vt:i4>0</vt:i4>
      </vt:variant>
      <vt:variant>
        <vt:i4>5</vt:i4>
      </vt:variant>
      <vt:variant>
        <vt:lpwstr/>
      </vt:variant>
      <vt:variant>
        <vt:lpwstr>_Toc235190081</vt:lpwstr>
      </vt:variant>
      <vt:variant>
        <vt:i4>1048638</vt:i4>
      </vt:variant>
      <vt:variant>
        <vt:i4>807</vt:i4>
      </vt:variant>
      <vt:variant>
        <vt:i4>0</vt:i4>
      </vt:variant>
      <vt:variant>
        <vt:i4>5</vt:i4>
      </vt:variant>
      <vt:variant>
        <vt:lpwstr/>
      </vt:variant>
      <vt:variant>
        <vt:lpwstr>_Toc235190059</vt:lpwstr>
      </vt:variant>
      <vt:variant>
        <vt:i4>1114174</vt:i4>
      </vt:variant>
      <vt:variant>
        <vt:i4>804</vt:i4>
      </vt:variant>
      <vt:variant>
        <vt:i4>0</vt:i4>
      </vt:variant>
      <vt:variant>
        <vt:i4>5</vt:i4>
      </vt:variant>
      <vt:variant>
        <vt:lpwstr/>
      </vt:variant>
      <vt:variant>
        <vt:lpwstr>_Toc235190045</vt:lpwstr>
      </vt:variant>
      <vt:variant>
        <vt:i4>5308418</vt:i4>
      </vt:variant>
      <vt:variant>
        <vt:i4>795</vt:i4>
      </vt:variant>
      <vt:variant>
        <vt:i4>0</vt:i4>
      </vt:variant>
      <vt:variant>
        <vt:i4>5</vt:i4>
      </vt:variant>
      <vt:variant>
        <vt:lpwstr>https://climateresilience.ca.gov/</vt:lpwstr>
      </vt:variant>
      <vt:variant>
        <vt:lpwstr/>
      </vt:variant>
      <vt:variant>
        <vt:i4>4128868</vt:i4>
      </vt:variant>
      <vt:variant>
        <vt:i4>792</vt:i4>
      </vt:variant>
      <vt:variant>
        <vt:i4>0</vt:i4>
      </vt:variant>
      <vt:variant>
        <vt:i4>5</vt:i4>
      </vt:variant>
      <vt:variant>
        <vt:lpwstr>https://lci.ca.gov/docs/OPR_COMPLETE_7.31.17.pdf</vt:lpwstr>
      </vt:variant>
      <vt:variant>
        <vt:lpwstr/>
      </vt:variant>
      <vt:variant>
        <vt:i4>4456527</vt:i4>
      </vt:variant>
      <vt:variant>
        <vt:i4>789</vt:i4>
      </vt:variant>
      <vt:variant>
        <vt:i4>0</vt:i4>
      </vt:variant>
      <vt:variant>
        <vt:i4>5</vt:i4>
      </vt:variant>
      <vt:variant>
        <vt:lpwstr>https://www.caloes.ca.gov/wp-content/uploads/Hazard-Mitigation/Documents/FEMA-Tribal-Mitigation-Planning-Handbook-05.2025.pdf</vt:lpwstr>
      </vt:variant>
      <vt:variant>
        <vt:lpwstr/>
      </vt:variant>
      <vt:variant>
        <vt:i4>3866739</vt:i4>
      </vt:variant>
      <vt:variant>
        <vt:i4>786</vt:i4>
      </vt:variant>
      <vt:variant>
        <vt:i4>0</vt:i4>
      </vt:variant>
      <vt:variant>
        <vt:i4>5</vt:i4>
      </vt:variant>
      <vt:variant>
        <vt:lpwstr>https://www.caloes.ca.gov/wp-content/uploads/Hazard-Mitigation/Documents/FEMA-Local-Mitigation-Planning-Handbook-06.12.2025.pdf</vt:lpwstr>
      </vt:variant>
      <vt:variant>
        <vt:lpwstr/>
      </vt:variant>
      <vt:variant>
        <vt:i4>3801139</vt:i4>
      </vt:variant>
      <vt:variant>
        <vt:i4>783</vt:i4>
      </vt:variant>
      <vt:variant>
        <vt:i4>0</vt:i4>
      </vt:variant>
      <vt:variant>
        <vt:i4>5</vt:i4>
      </vt:variant>
      <vt:variant>
        <vt:lpwstr>https://cal-adapt.org/</vt:lpwstr>
      </vt:variant>
      <vt:variant>
        <vt:lpwstr/>
      </vt:variant>
      <vt:variant>
        <vt:i4>6357089</vt:i4>
      </vt:variant>
      <vt:variant>
        <vt:i4>780</vt:i4>
      </vt:variant>
      <vt:variant>
        <vt:i4>0</vt:i4>
      </vt:variant>
      <vt:variant>
        <vt:i4>5</vt:i4>
      </vt:variant>
      <vt:variant>
        <vt:lpwstr>https://vcp.lci.ca.gov/</vt:lpwstr>
      </vt:variant>
      <vt:variant>
        <vt:lpwstr/>
      </vt:variant>
      <vt:variant>
        <vt:i4>786438</vt:i4>
      </vt:variant>
      <vt:variant>
        <vt:i4>777</vt:i4>
      </vt:variant>
      <vt:variant>
        <vt:i4>0</vt:i4>
      </vt:variant>
      <vt:variant>
        <vt:i4>5</vt:i4>
      </vt:variant>
      <vt:variant>
        <vt:lpwstr>https://www.caloes.ca.gov/office-of-the-director/operations/recovery-directorate/hazard-mitigation/state-mitigation-planning/</vt:lpwstr>
      </vt:variant>
      <vt:variant>
        <vt:lpwstr/>
      </vt:variant>
      <vt:variant>
        <vt:i4>1638400</vt:i4>
      </vt:variant>
      <vt:variant>
        <vt:i4>774</vt:i4>
      </vt:variant>
      <vt:variant>
        <vt:i4>0</vt:i4>
      </vt:variant>
      <vt:variant>
        <vt:i4>5</vt:i4>
      </vt:variant>
      <vt:variant>
        <vt:lpwstr>https://lci.ca.gov/climate/icarp/climate-assessment/</vt:lpwstr>
      </vt:variant>
      <vt:variant>
        <vt:lpwstr/>
      </vt:variant>
      <vt:variant>
        <vt:i4>655445</vt:i4>
      </vt:variant>
      <vt:variant>
        <vt:i4>753</vt:i4>
      </vt:variant>
      <vt:variant>
        <vt:i4>0</vt:i4>
      </vt:variant>
      <vt:variant>
        <vt:i4>5</vt:i4>
      </vt:variant>
      <vt:variant>
        <vt:lpwstr>https://resilientca.org/</vt:lpwstr>
      </vt:variant>
      <vt:variant>
        <vt:lpwstr/>
      </vt:variant>
      <vt:variant>
        <vt:i4>5439551</vt:i4>
      </vt:variant>
      <vt:variant>
        <vt:i4>750</vt:i4>
      </vt:variant>
      <vt:variant>
        <vt:i4>0</vt:i4>
      </vt:variant>
      <vt:variant>
        <vt:i4>5</vt:i4>
      </vt:variant>
      <vt:variant>
        <vt:lpwstr>https://leginfo.legislature.ca.gov/faces/billTextClient.xhtml?bill_id=201520160AB1482</vt:lpwstr>
      </vt:variant>
      <vt:variant>
        <vt:lpwstr/>
      </vt:variant>
      <vt:variant>
        <vt:i4>5636178</vt:i4>
      </vt:variant>
      <vt:variant>
        <vt:i4>747</vt:i4>
      </vt:variant>
      <vt:variant>
        <vt:i4>0</vt:i4>
      </vt:variant>
      <vt:variant>
        <vt:i4>5</vt:i4>
      </vt:variant>
      <vt:variant>
        <vt:lpwstr>https://vcp.lci.ca.gov/pages/resilience-resource-springboard</vt:lpwstr>
      </vt:variant>
      <vt:variant>
        <vt:lpwstr/>
      </vt:variant>
      <vt:variant>
        <vt:i4>6357089</vt:i4>
      </vt:variant>
      <vt:variant>
        <vt:i4>738</vt:i4>
      </vt:variant>
      <vt:variant>
        <vt:i4>0</vt:i4>
      </vt:variant>
      <vt:variant>
        <vt:i4>5</vt:i4>
      </vt:variant>
      <vt:variant>
        <vt:lpwstr>https://vcp.lci.ca.gov/</vt:lpwstr>
      </vt:variant>
      <vt:variant>
        <vt:lpwstr/>
      </vt:variant>
      <vt:variant>
        <vt:i4>655445</vt:i4>
      </vt:variant>
      <vt:variant>
        <vt:i4>735</vt:i4>
      </vt:variant>
      <vt:variant>
        <vt:i4>0</vt:i4>
      </vt:variant>
      <vt:variant>
        <vt:i4>5</vt:i4>
      </vt:variant>
      <vt:variant>
        <vt:lpwstr>https://resilientca.org/</vt:lpwstr>
      </vt:variant>
      <vt:variant>
        <vt:lpwstr/>
      </vt:variant>
      <vt:variant>
        <vt:i4>1638400</vt:i4>
      </vt:variant>
      <vt:variant>
        <vt:i4>732</vt:i4>
      </vt:variant>
      <vt:variant>
        <vt:i4>0</vt:i4>
      </vt:variant>
      <vt:variant>
        <vt:i4>5</vt:i4>
      </vt:variant>
      <vt:variant>
        <vt:lpwstr>https://lci.ca.gov/climate/icarp/climate-assessment/</vt:lpwstr>
      </vt:variant>
      <vt:variant>
        <vt:lpwstr/>
      </vt:variant>
      <vt:variant>
        <vt:i4>786438</vt:i4>
      </vt:variant>
      <vt:variant>
        <vt:i4>729</vt:i4>
      </vt:variant>
      <vt:variant>
        <vt:i4>0</vt:i4>
      </vt:variant>
      <vt:variant>
        <vt:i4>5</vt:i4>
      </vt:variant>
      <vt:variant>
        <vt:lpwstr>https://www.caloes.ca.gov/office-of-the-director/operations/recovery-directorate/hazard-mitigation/state-mitigation-planning/</vt:lpwstr>
      </vt:variant>
      <vt:variant>
        <vt:lpwstr/>
      </vt:variant>
      <vt:variant>
        <vt:i4>4128868</vt:i4>
      </vt:variant>
      <vt:variant>
        <vt:i4>726</vt:i4>
      </vt:variant>
      <vt:variant>
        <vt:i4>0</vt:i4>
      </vt:variant>
      <vt:variant>
        <vt:i4>5</vt:i4>
      </vt:variant>
      <vt:variant>
        <vt:lpwstr>https://lci.ca.gov/docs/OPR_COMPLETE_7.31.17.pdf</vt:lpwstr>
      </vt:variant>
      <vt:variant>
        <vt:lpwstr/>
      </vt:variant>
      <vt:variant>
        <vt:i4>5308418</vt:i4>
      </vt:variant>
      <vt:variant>
        <vt:i4>723</vt:i4>
      </vt:variant>
      <vt:variant>
        <vt:i4>0</vt:i4>
      </vt:variant>
      <vt:variant>
        <vt:i4>5</vt:i4>
      </vt:variant>
      <vt:variant>
        <vt:lpwstr>https://climateresilience.ca.gov/</vt:lpwstr>
      </vt:variant>
      <vt:variant>
        <vt:lpwstr/>
      </vt:variant>
      <vt:variant>
        <vt:i4>1638448</vt:i4>
      </vt:variant>
      <vt:variant>
        <vt:i4>716</vt:i4>
      </vt:variant>
      <vt:variant>
        <vt:i4>0</vt:i4>
      </vt:variant>
      <vt:variant>
        <vt:i4>5</vt:i4>
      </vt:variant>
      <vt:variant>
        <vt:lpwstr/>
      </vt:variant>
      <vt:variant>
        <vt:lpwstr>_Toc235802772</vt:lpwstr>
      </vt:variant>
      <vt:variant>
        <vt:i4>1638448</vt:i4>
      </vt:variant>
      <vt:variant>
        <vt:i4>710</vt:i4>
      </vt:variant>
      <vt:variant>
        <vt:i4>0</vt:i4>
      </vt:variant>
      <vt:variant>
        <vt:i4>5</vt:i4>
      </vt:variant>
      <vt:variant>
        <vt:lpwstr/>
      </vt:variant>
      <vt:variant>
        <vt:lpwstr>_Toc235802771</vt:lpwstr>
      </vt:variant>
      <vt:variant>
        <vt:i4>1638448</vt:i4>
      </vt:variant>
      <vt:variant>
        <vt:i4>704</vt:i4>
      </vt:variant>
      <vt:variant>
        <vt:i4>0</vt:i4>
      </vt:variant>
      <vt:variant>
        <vt:i4>5</vt:i4>
      </vt:variant>
      <vt:variant>
        <vt:lpwstr/>
      </vt:variant>
      <vt:variant>
        <vt:lpwstr>_Toc235802770</vt:lpwstr>
      </vt:variant>
      <vt:variant>
        <vt:i4>1572912</vt:i4>
      </vt:variant>
      <vt:variant>
        <vt:i4>698</vt:i4>
      </vt:variant>
      <vt:variant>
        <vt:i4>0</vt:i4>
      </vt:variant>
      <vt:variant>
        <vt:i4>5</vt:i4>
      </vt:variant>
      <vt:variant>
        <vt:lpwstr/>
      </vt:variant>
      <vt:variant>
        <vt:lpwstr>_Toc235802769</vt:lpwstr>
      </vt:variant>
      <vt:variant>
        <vt:i4>1572912</vt:i4>
      </vt:variant>
      <vt:variant>
        <vt:i4>692</vt:i4>
      </vt:variant>
      <vt:variant>
        <vt:i4>0</vt:i4>
      </vt:variant>
      <vt:variant>
        <vt:i4>5</vt:i4>
      </vt:variant>
      <vt:variant>
        <vt:lpwstr/>
      </vt:variant>
      <vt:variant>
        <vt:lpwstr>_Toc235802768</vt:lpwstr>
      </vt:variant>
      <vt:variant>
        <vt:i4>1572912</vt:i4>
      </vt:variant>
      <vt:variant>
        <vt:i4>686</vt:i4>
      </vt:variant>
      <vt:variant>
        <vt:i4>0</vt:i4>
      </vt:variant>
      <vt:variant>
        <vt:i4>5</vt:i4>
      </vt:variant>
      <vt:variant>
        <vt:lpwstr/>
      </vt:variant>
      <vt:variant>
        <vt:lpwstr>_Toc235802767</vt:lpwstr>
      </vt:variant>
      <vt:variant>
        <vt:i4>1572912</vt:i4>
      </vt:variant>
      <vt:variant>
        <vt:i4>680</vt:i4>
      </vt:variant>
      <vt:variant>
        <vt:i4>0</vt:i4>
      </vt:variant>
      <vt:variant>
        <vt:i4>5</vt:i4>
      </vt:variant>
      <vt:variant>
        <vt:lpwstr/>
      </vt:variant>
      <vt:variant>
        <vt:lpwstr>_Toc235802766</vt:lpwstr>
      </vt:variant>
      <vt:variant>
        <vt:i4>1572912</vt:i4>
      </vt:variant>
      <vt:variant>
        <vt:i4>674</vt:i4>
      </vt:variant>
      <vt:variant>
        <vt:i4>0</vt:i4>
      </vt:variant>
      <vt:variant>
        <vt:i4>5</vt:i4>
      </vt:variant>
      <vt:variant>
        <vt:lpwstr/>
      </vt:variant>
      <vt:variant>
        <vt:lpwstr>_Toc235802765</vt:lpwstr>
      </vt:variant>
      <vt:variant>
        <vt:i4>1572912</vt:i4>
      </vt:variant>
      <vt:variant>
        <vt:i4>668</vt:i4>
      </vt:variant>
      <vt:variant>
        <vt:i4>0</vt:i4>
      </vt:variant>
      <vt:variant>
        <vt:i4>5</vt:i4>
      </vt:variant>
      <vt:variant>
        <vt:lpwstr/>
      </vt:variant>
      <vt:variant>
        <vt:lpwstr>_Toc235802764</vt:lpwstr>
      </vt:variant>
      <vt:variant>
        <vt:i4>1572912</vt:i4>
      </vt:variant>
      <vt:variant>
        <vt:i4>662</vt:i4>
      </vt:variant>
      <vt:variant>
        <vt:i4>0</vt:i4>
      </vt:variant>
      <vt:variant>
        <vt:i4>5</vt:i4>
      </vt:variant>
      <vt:variant>
        <vt:lpwstr/>
      </vt:variant>
      <vt:variant>
        <vt:lpwstr>_Toc235802763</vt:lpwstr>
      </vt:variant>
      <vt:variant>
        <vt:i4>1572912</vt:i4>
      </vt:variant>
      <vt:variant>
        <vt:i4>656</vt:i4>
      </vt:variant>
      <vt:variant>
        <vt:i4>0</vt:i4>
      </vt:variant>
      <vt:variant>
        <vt:i4>5</vt:i4>
      </vt:variant>
      <vt:variant>
        <vt:lpwstr/>
      </vt:variant>
      <vt:variant>
        <vt:lpwstr>_Toc235802762</vt:lpwstr>
      </vt:variant>
      <vt:variant>
        <vt:i4>1572912</vt:i4>
      </vt:variant>
      <vt:variant>
        <vt:i4>650</vt:i4>
      </vt:variant>
      <vt:variant>
        <vt:i4>0</vt:i4>
      </vt:variant>
      <vt:variant>
        <vt:i4>5</vt:i4>
      </vt:variant>
      <vt:variant>
        <vt:lpwstr/>
      </vt:variant>
      <vt:variant>
        <vt:lpwstr>_Toc235802761</vt:lpwstr>
      </vt:variant>
      <vt:variant>
        <vt:i4>1572912</vt:i4>
      </vt:variant>
      <vt:variant>
        <vt:i4>644</vt:i4>
      </vt:variant>
      <vt:variant>
        <vt:i4>0</vt:i4>
      </vt:variant>
      <vt:variant>
        <vt:i4>5</vt:i4>
      </vt:variant>
      <vt:variant>
        <vt:lpwstr/>
      </vt:variant>
      <vt:variant>
        <vt:lpwstr>_Toc235802760</vt:lpwstr>
      </vt:variant>
      <vt:variant>
        <vt:i4>1769520</vt:i4>
      </vt:variant>
      <vt:variant>
        <vt:i4>638</vt:i4>
      </vt:variant>
      <vt:variant>
        <vt:i4>0</vt:i4>
      </vt:variant>
      <vt:variant>
        <vt:i4>5</vt:i4>
      </vt:variant>
      <vt:variant>
        <vt:lpwstr/>
      </vt:variant>
      <vt:variant>
        <vt:lpwstr>_Toc235802759</vt:lpwstr>
      </vt:variant>
      <vt:variant>
        <vt:i4>1769520</vt:i4>
      </vt:variant>
      <vt:variant>
        <vt:i4>632</vt:i4>
      </vt:variant>
      <vt:variant>
        <vt:i4>0</vt:i4>
      </vt:variant>
      <vt:variant>
        <vt:i4>5</vt:i4>
      </vt:variant>
      <vt:variant>
        <vt:lpwstr/>
      </vt:variant>
      <vt:variant>
        <vt:lpwstr>_Toc235802758</vt:lpwstr>
      </vt:variant>
      <vt:variant>
        <vt:i4>1769520</vt:i4>
      </vt:variant>
      <vt:variant>
        <vt:i4>626</vt:i4>
      </vt:variant>
      <vt:variant>
        <vt:i4>0</vt:i4>
      </vt:variant>
      <vt:variant>
        <vt:i4>5</vt:i4>
      </vt:variant>
      <vt:variant>
        <vt:lpwstr/>
      </vt:variant>
      <vt:variant>
        <vt:lpwstr>_Toc235802757</vt:lpwstr>
      </vt:variant>
      <vt:variant>
        <vt:i4>1769520</vt:i4>
      </vt:variant>
      <vt:variant>
        <vt:i4>620</vt:i4>
      </vt:variant>
      <vt:variant>
        <vt:i4>0</vt:i4>
      </vt:variant>
      <vt:variant>
        <vt:i4>5</vt:i4>
      </vt:variant>
      <vt:variant>
        <vt:lpwstr/>
      </vt:variant>
      <vt:variant>
        <vt:lpwstr>_Toc235802756</vt:lpwstr>
      </vt:variant>
      <vt:variant>
        <vt:i4>1769520</vt:i4>
      </vt:variant>
      <vt:variant>
        <vt:i4>614</vt:i4>
      </vt:variant>
      <vt:variant>
        <vt:i4>0</vt:i4>
      </vt:variant>
      <vt:variant>
        <vt:i4>5</vt:i4>
      </vt:variant>
      <vt:variant>
        <vt:lpwstr/>
      </vt:variant>
      <vt:variant>
        <vt:lpwstr>_Toc235802755</vt:lpwstr>
      </vt:variant>
      <vt:variant>
        <vt:i4>1769520</vt:i4>
      </vt:variant>
      <vt:variant>
        <vt:i4>608</vt:i4>
      </vt:variant>
      <vt:variant>
        <vt:i4>0</vt:i4>
      </vt:variant>
      <vt:variant>
        <vt:i4>5</vt:i4>
      </vt:variant>
      <vt:variant>
        <vt:lpwstr/>
      </vt:variant>
      <vt:variant>
        <vt:lpwstr>_Toc235802754</vt:lpwstr>
      </vt:variant>
      <vt:variant>
        <vt:i4>1769520</vt:i4>
      </vt:variant>
      <vt:variant>
        <vt:i4>602</vt:i4>
      </vt:variant>
      <vt:variant>
        <vt:i4>0</vt:i4>
      </vt:variant>
      <vt:variant>
        <vt:i4>5</vt:i4>
      </vt:variant>
      <vt:variant>
        <vt:lpwstr/>
      </vt:variant>
      <vt:variant>
        <vt:lpwstr>_Toc235802753</vt:lpwstr>
      </vt:variant>
      <vt:variant>
        <vt:i4>1769520</vt:i4>
      </vt:variant>
      <vt:variant>
        <vt:i4>596</vt:i4>
      </vt:variant>
      <vt:variant>
        <vt:i4>0</vt:i4>
      </vt:variant>
      <vt:variant>
        <vt:i4>5</vt:i4>
      </vt:variant>
      <vt:variant>
        <vt:lpwstr/>
      </vt:variant>
      <vt:variant>
        <vt:lpwstr>_Toc235802752</vt:lpwstr>
      </vt:variant>
      <vt:variant>
        <vt:i4>1769520</vt:i4>
      </vt:variant>
      <vt:variant>
        <vt:i4>590</vt:i4>
      </vt:variant>
      <vt:variant>
        <vt:i4>0</vt:i4>
      </vt:variant>
      <vt:variant>
        <vt:i4>5</vt:i4>
      </vt:variant>
      <vt:variant>
        <vt:lpwstr/>
      </vt:variant>
      <vt:variant>
        <vt:lpwstr>_Toc235802751</vt:lpwstr>
      </vt:variant>
      <vt:variant>
        <vt:i4>1769520</vt:i4>
      </vt:variant>
      <vt:variant>
        <vt:i4>584</vt:i4>
      </vt:variant>
      <vt:variant>
        <vt:i4>0</vt:i4>
      </vt:variant>
      <vt:variant>
        <vt:i4>5</vt:i4>
      </vt:variant>
      <vt:variant>
        <vt:lpwstr/>
      </vt:variant>
      <vt:variant>
        <vt:lpwstr>_Toc235802750</vt:lpwstr>
      </vt:variant>
      <vt:variant>
        <vt:i4>1703984</vt:i4>
      </vt:variant>
      <vt:variant>
        <vt:i4>578</vt:i4>
      </vt:variant>
      <vt:variant>
        <vt:i4>0</vt:i4>
      </vt:variant>
      <vt:variant>
        <vt:i4>5</vt:i4>
      </vt:variant>
      <vt:variant>
        <vt:lpwstr/>
      </vt:variant>
      <vt:variant>
        <vt:lpwstr>_Toc235802749</vt:lpwstr>
      </vt:variant>
      <vt:variant>
        <vt:i4>1703984</vt:i4>
      </vt:variant>
      <vt:variant>
        <vt:i4>572</vt:i4>
      </vt:variant>
      <vt:variant>
        <vt:i4>0</vt:i4>
      </vt:variant>
      <vt:variant>
        <vt:i4>5</vt:i4>
      </vt:variant>
      <vt:variant>
        <vt:lpwstr/>
      </vt:variant>
      <vt:variant>
        <vt:lpwstr>_Toc235802748</vt:lpwstr>
      </vt:variant>
      <vt:variant>
        <vt:i4>1703984</vt:i4>
      </vt:variant>
      <vt:variant>
        <vt:i4>566</vt:i4>
      </vt:variant>
      <vt:variant>
        <vt:i4>0</vt:i4>
      </vt:variant>
      <vt:variant>
        <vt:i4>5</vt:i4>
      </vt:variant>
      <vt:variant>
        <vt:lpwstr/>
      </vt:variant>
      <vt:variant>
        <vt:lpwstr>_Toc235802747</vt:lpwstr>
      </vt:variant>
      <vt:variant>
        <vt:i4>1703984</vt:i4>
      </vt:variant>
      <vt:variant>
        <vt:i4>560</vt:i4>
      </vt:variant>
      <vt:variant>
        <vt:i4>0</vt:i4>
      </vt:variant>
      <vt:variant>
        <vt:i4>5</vt:i4>
      </vt:variant>
      <vt:variant>
        <vt:lpwstr/>
      </vt:variant>
      <vt:variant>
        <vt:lpwstr>_Toc235802746</vt:lpwstr>
      </vt:variant>
      <vt:variant>
        <vt:i4>1703984</vt:i4>
      </vt:variant>
      <vt:variant>
        <vt:i4>554</vt:i4>
      </vt:variant>
      <vt:variant>
        <vt:i4>0</vt:i4>
      </vt:variant>
      <vt:variant>
        <vt:i4>5</vt:i4>
      </vt:variant>
      <vt:variant>
        <vt:lpwstr/>
      </vt:variant>
      <vt:variant>
        <vt:lpwstr>_Toc235802745</vt:lpwstr>
      </vt:variant>
      <vt:variant>
        <vt:i4>1703984</vt:i4>
      </vt:variant>
      <vt:variant>
        <vt:i4>548</vt:i4>
      </vt:variant>
      <vt:variant>
        <vt:i4>0</vt:i4>
      </vt:variant>
      <vt:variant>
        <vt:i4>5</vt:i4>
      </vt:variant>
      <vt:variant>
        <vt:lpwstr/>
      </vt:variant>
      <vt:variant>
        <vt:lpwstr>_Toc235802744</vt:lpwstr>
      </vt:variant>
      <vt:variant>
        <vt:i4>1703984</vt:i4>
      </vt:variant>
      <vt:variant>
        <vt:i4>542</vt:i4>
      </vt:variant>
      <vt:variant>
        <vt:i4>0</vt:i4>
      </vt:variant>
      <vt:variant>
        <vt:i4>5</vt:i4>
      </vt:variant>
      <vt:variant>
        <vt:lpwstr/>
      </vt:variant>
      <vt:variant>
        <vt:lpwstr>_Toc235802743</vt:lpwstr>
      </vt:variant>
      <vt:variant>
        <vt:i4>1703984</vt:i4>
      </vt:variant>
      <vt:variant>
        <vt:i4>536</vt:i4>
      </vt:variant>
      <vt:variant>
        <vt:i4>0</vt:i4>
      </vt:variant>
      <vt:variant>
        <vt:i4>5</vt:i4>
      </vt:variant>
      <vt:variant>
        <vt:lpwstr/>
      </vt:variant>
      <vt:variant>
        <vt:lpwstr>_Toc235802742</vt:lpwstr>
      </vt:variant>
      <vt:variant>
        <vt:i4>1703984</vt:i4>
      </vt:variant>
      <vt:variant>
        <vt:i4>530</vt:i4>
      </vt:variant>
      <vt:variant>
        <vt:i4>0</vt:i4>
      </vt:variant>
      <vt:variant>
        <vt:i4>5</vt:i4>
      </vt:variant>
      <vt:variant>
        <vt:lpwstr/>
      </vt:variant>
      <vt:variant>
        <vt:lpwstr>_Toc235802741</vt:lpwstr>
      </vt:variant>
      <vt:variant>
        <vt:i4>1703984</vt:i4>
      </vt:variant>
      <vt:variant>
        <vt:i4>524</vt:i4>
      </vt:variant>
      <vt:variant>
        <vt:i4>0</vt:i4>
      </vt:variant>
      <vt:variant>
        <vt:i4>5</vt:i4>
      </vt:variant>
      <vt:variant>
        <vt:lpwstr/>
      </vt:variant>
      <vt:variant>
        <vt:lpwstr>_Toc235802740</vt:lpwstr>
      </vt:variant>
      <vt:variant>
        <vt:i4>1900592</vt:i4>
      </vt:variant>
      <vt:variant>
        <vt:i4>518</vt:i4>
      </vt:variant>
      <vt:variant>
        <vt:i4>0</vt:i4>
      </vt:variant>
      <vt:variant>
        <vt:i4>5</vt:i4>
      </vt:variant>
      <vt:variant>
        <vt:lpwstr/>
      </vt:variant>
      <vt:variant>
        <vt:lpwstr>_Toc235802739</vt:lpwstr>
      </vt:variant>
      <vt:variant>
        <vt:i4>1900592</vt:i4>
      </vt:variant>
      <vt:variant>
        <vt:i4>512</vt:i4>
      </vt:variant>
      <vt:variant>
        <vt:i4>0</vt:i4>
      </vt:variant>
      <vt:variant>
        <vt:i4>5</vt:i4>
      </vt:variant>
      <vt:variant>
        <vt:lpwstr/>
      </vt:variant>
      <vt:variant>
        <vt:lpwstr>_Toc235802738</vt:lpwstr>
      </vt:variant>
      <vt:variant>
        <vt:i4>1900592</vt:i4>
      </vt:variant>
      <vt:variant>
        <vt:i4>506</vt:i4>
      </vt:variant>
      <vt:variant>
        <vt:i4>0</vt:i4>
      </vt:variant>
      <vt:variant>
        <vt:i4>5</vt:i4>
      </vt:variant>
      <vt:variant>
        <vt:lpwstr/>
      </vt:variant>
      <vt:variant>
        <vt:lpwstr>_Toc235802737</vt:lpwstr>
      </vt:variant>
      <vt:variant>
        <vt:i4>1900592</vt:i4>
      </vt:variant>
      <vt:variant>
        <vt:i4>500</vt:i4>
      </vt:variant>
      <vt:variant>
        <vt:i4>0</vt:i4>
      </vt:variant>
      <vt:variant>
        <vt:i4>5</vt:i4>
      </vt:variant>
      <vt:variant>
        <vt:lpwstr/>
      </vt:variant>
      <vt:variant>
        <vt:lpwstr>_Toc235802736</vt:lpwstr>
      </vt:variant>
      <vt:variant>
        <vt:i4>1900592</vt:i4>
      </vt:variant>
      <vt:variant>
        <vt:i4>494</vt:i4>
      </vt:variant>
      <vt:variant>
        <vt:i4>0</vt:i4>
      </vt:variant>
      <vt:variant>
        <vt:i4>5</vt:i4>
      </vt:variant>
      <vt:variant>
        <vt:lpwstr/>
      </vt:variant>
      <vt:variant>
        <vt:lpwstr>_Toc235802735</vt:lpwstr>
      </vt:variant>
      <vt:variant>
        <vt:i4>1900592</vt:i4>
      </vt:variant>
      <vt:variant>
        <vt:i4>488</vt:i4>
      </vt:variant>
      <vt:variant>
        <vt:i4>0</vt:i4>
      </vt:variant>
      <vt:variant>
        <vt:i4>5</vt:i4>
      </vt:variant>
      <vt:variant>
        <vt:lpwstr/>
      </vt:variant>
      <vt:variant>
        <vt:lpwstr>_Toc235802734</vt:lpwstr>
      </vt:variant>
      <vt:variant>
        <vt:i4>1900592</vt:i4>
      </vt:variant>
      <vt:variant>
        <vt:i4>482</vt:i4>
      </vt:variant>
      <vt:variant>
        <vt:i4>0</vt:i4>
      </vt:variant>
      <vt:variant>
        <vt:i4>5</vt:i4>
      </vt:variant>
      <vt:variant>
        <vt:lpwstr/>
      </vt:variant>
      <vt:variant>
        <vt:lpwstr>_Toc235802733</vt:lpwstr>
      </vt:variant>
      <vt:variant>
        <vt:i4>1900592</vt:i4>
      </vt:variant>
      <vt:variant>
        <vt:i4>476</vt:i4>
      </vt:variant>
      <vt:variant>
        <vt:i4>0</vt:i4>
      </vt:variant>
      <vt:variant>
        <vt:i4>5</vt:i4>
      </vt:variant>
      <vt:variant>
        <vt:lpwstr/>
      </vt:variant>
      <vt:variant>
        <vt:lpwstr>_Toc235802732</vt:lpwstr>
      </vt:variant>
      <vt:variant>
        <vt:i4>1900592</vt:i4>
      </vt:variant>
      <vt:variant>
        <vt:i4>470</vt:i4>
      </vt:variant>
      <vt:variant>
        <vt:i4>0</vt:i4>
      </vt:variant>
      <vt:variant>
        <vt:i4>5</vt:i4>
      </vt:variant>
      <vt:variant>
        <vt:lpwstr/>
      </vt:variant>
      <vt:variant>
        <vt:lpwstr>_Toc235802731</vt:lpwstr>
      </vt:variant>
      <vt:variant>
        <vt:i4>1900592</vt:i4>
      </vt:variant>
      <vt:variant>
        <vt:i4>464</vt:i4>
      </vt:variant>
      <vt:variant>
        <vt:i4>0</vt:i4>
      </vt:variant>
      <vt:variant>
        <vt:i4>5</vt:i4>
      </vt:variant>
      <vt:variant>
        <vt:lpwstr/>
      </vt:variant>
      <vt:variant>
        <vt:lpwstr>_Toc235802730</vt:lpwstr>
      </vt:variant>
      <vt:variant>
        <vt:i4>1835056</vt:i4>
      </vt:variant>
      <vt:variant>
        <vt:i4>458</vt:i4>
      </vt:variant>
      <vt:variant>
        <vt:i4>0</vt:i4>
      </vt:variant>
      <vt:variant>
        <vt:i4>5</vt:i4>
      </vt:variant>
      <vt:variant>
        <vt:lpwstr/>
      </vt:variant>
      <vt:variant>
        <vt:lpwstr>_Toc235802729</vt:lpwstr>
      </vt:variant>
      <vt:variant>
        <vt:i4>1835056</vt:i4>
      </vt:variant>
      <vt:variant>
        <vt:i4>452</vt:i4>
      </vt:variant>
      <vt:variant>
        <vt:i4>0</vt:i4>
      </vt:variant>
      <vt:variant>
        <vt:i4>5</vt:i4>
      </vt:variant>
      <vt:variant>
        <vt:lpwstr/>
      </vt:variant>
      <vt:variant>
        <vt:lpwstr>_Toc235802728</vt:lpwstr>
      </vt:variant>
      <vt:variant>
        <vt:i4>1835056</vt:i4>
      </vt:variant>
      <vt:variant>
        <vt:i4>446</vt:i4>
      </vt:variant>
      <vt:variant>
        <vt:i4>0</vt:i4>
      </vt:variant>
      <vt:variant>
        <vt:i4>5</vt:i4>
      </vt:variant>
      <vt:variant>
        <vt:lpwstr/>
      </vt:variant>
      <vt:variant>
        <vt:lpwstr>_Toc235802727</vt:lpwstr>
      </vt:variant>
      <vt:variant>
        <vt:i4>1835056</vt:i4>
      </vt:variant>
      <vt:variant>
        <vt:i4>440</vt:i4>
      </vt:variant>
      <vt:variant>
        <vt:i4>0</vt:i4>
      </vt:variant>
      <vt:variant>
        <vt:i4>5</vt:i4>
      </vt:variant>
      <vt:variant>
        <vt:lpwstr/>
      </vt:variant>
      <vt:variant>
        <vt:lpwstr>_Toc235802726</vt:lpwstr>
      </vt:variant>
      <vt:variant>
        <vt:i4>1835056</vt:i4>
      </vt:variant>
      <vt:variant>
        <vt:i4>434</vt:i4>
      </vt:variant>
      <vt:variant>
        <vt:i4>0</vt:i4>
      </vt:variant>
      <vt:variant>
        <vt:i4>5</vt:i4>
      </vt:variant>
      <vt:variant>
        <vt:lpwstr/>
      </vt:variant>
      <vt:variant>
        <vt:lpwstr>_Toc235802725</vt:lpwstr>
      </vt:variant>
      <vt:variant>
        <vt:i4>1835056</vt:i4>
      </vt:variant>
      <vt:variant>
        <vt:i4>428</vt:i4>
      </vt:variant>
      <vt:variant>
        <vt:i4>0</vt:i4>
      </vt:variant>
      <vt:variant>
        <vt:i4>5</vt:i4>
      </vt:variant>
      <vt:variant>
        <vt:lpwstr/>
      </vt:variant>
      <vt:variant>
        <vt:lpwstr>_Toc235802724</vt:lpwstr>
      </vt:variant>
      <vt:variant>
        <vt:i4>1835056</vt:i4>
      </vt:variant>
      <vt:variant>
        <vt:i4>422</vt:i4>
      </vt:variant>
      <vt:variant>
        <vt:i4>0</vt:i4>
      </vt:variant>
      <vt:variant>
        <vt:i4>5</vt:i4>
      </vt:variant>
      <vt:variant>
        <vt:lpwstr/>
      </vt:variant>
      <vt:variant>
        <vt:lpwstr>_Toc235802723</vt:lpwstr>
      </vt:variant>
      <vt:variant>
        <vt:i4>1835056</vt:i4>
      </vt:variant>
      <vt:variant>
        <vt:i4>416</vt:i4>
      </vt:variant>
      <vt:variant>
        <vt:i4>0</vt:i4>
      </vt:variant>
      <vt:variant>
        <vt:i4>5</vt:i4>
      </vt:variant>
      <vt:variant>
        <vt:lpwstr/>
      </vt:variant>
      <vt:variant>
        <vt:lpwstr>_Toc235802722</vt:lpwstr>
      </vt:variant>
      <vt:variant>
        <vt:i4>1835056</vt:i4>
      </vt:variant>
      <vt:variant>
        <vt:i4>410</vt:i4>
      </vt:variant>
      <vt:variant>
        <vt:i4>0</vt:i4>
      </vt:variant>
      <vt:variant>
        <vt:i4>5</vt:i4>
      </vt:variant>
      <vt:variant>
        <vt:lpwstr/>
      </vt:variant>
      <vt:variant>
        <vt:lpwstr>_Toc235802721</vt:lpwstr>
      </vt:variant>
      <vt:variant>
        <vt:i4>1835056</vt:i4>
      </vt:variant>
      <vt:variant>
        <vt:i4>404</vt:i4>
      </vt:variant>
      <vt:variant>
        <vt:i4>0</vt:i4>
      </vt:variant>
      <vt:variant>
        <vt:i4>5</vt:i4>
      </vt:variant>
      <vt:variant>
        <vt:lpwstr/>
      </vt:variant>
      <vt:variant>
        <vt:lpwstr>_Toc235802720</vt:lpwstr>
      </vt:variant>
      <vt:variant>
        <vt:i4>2031664</vt:i4>
      </vt:variant>
      <vt:variant>
        <vt:i4>398</vt:i4>
      </vt:variant>
      <vt:variant>
        <vt:i4>0</vt:i4>
      </vt:variant>
      <vt:variant>
        <vt:i4>5</vt:i4>
      </vt:variant>
      <vt:variant>
        <vt:lpwstr/>
      </vt:variant>
      <vt:variant>
        <vt:lpwstr>_Toc235802719</vt:lpwstr>
      </vt:variant>
      <vt:variant>
        <vt:i4>2031664</vt:i4>
      </vt:variant>
      <vt:variant>
        <vt:i4>392</vt:i4>
      </vt:variant>
      <vt:variant>
        <vt:i4>0</vt:i4>
      </vt:variant>
      <vt:variant>
        <vt:i4>5</vt:i4>
      </vt:variant>
      <vt:variant>
        <vt:lpwstr/>
      </vt:variant>
      <vt:variant>
        <vt:lpwstr>_Toc235802718</vt:lpwstr>
      </vt:variant>
      <vt:variant>
        <vt:i4>2031664</vt:i4>
      </vt:variant>
      <vt:variant>
        <vt:i4>386</vt:i4>
      </vt:variant>
      <vt:variant>
        <vt:i4>0</vt:i4>
      </vt:variant>
      <vt:variant>
        <vt:i4>5</vt:i4>
      </vt:variant>
      <vt:variant>
        <vt:lpwstr/>
      </vt:variant>
      <vt:variant>
        <vt:lpwstr>_Toc235802717</vt:lpwstr>
      </vt:variant>
      <vt:variant>
        <vt:i4>2031664</vt:i4>
      </vt:variant>
      <vt:variant>
        <vt:i4>380</vt:i4>
      </vt:variant>
      <vt:variant>
        <vt:i4>0</vt:i4>
      </vt:variant>
      <vt:variant>
        <vt:i4>5</vt:i4>
      </vt:variant>
      <vt:variant>
        <vt:lpwstr/>
      </vt:variant>
      <vt:variant>
        <vt:lpwstr>_Toc235802716</vt:lpwstr>
      </vt:variant>
      <vt:variant>
        <vt:i4>2031664</vt:i4>
      </vt:variant>
      <vt:variant>
        <vt:i4>374</vt:i4>
      </vt:variant>
      <vt:variant>
        <vt:i4>0</vt:i4>
      </vt:variant>
      <vt:variant>
        <vt:i4>5</vt:i4>
      </vt:variant>
      <vt:variant>
        <vt:lpwstr/>
      </vt:variant>
      <vt:variant>
        <vt:lpwstr>_Toc235802715</vt:lpwstr>
      </vt:variant>
      <vt:variant>
        <vt:i4>2031664</vt:i4>
      </vt:variant>
      <vt:variant>
        <vt:i4>368</vt:i4>
      </vt:variant>
      <vt:variant>
        <vt:i4>0</vt:i4>
      </vt:variant>
      <vt:variant>
        <vt:i4>5</vt:i4>
      </vt:variant>
      <vt:variant>
        <vt:lpwstr/>
      </vt:variant>
      <vt:variant>
        <vt:lpwstr>_Toc235802714</vt:lpwstr>
      </vt:variant>
      <vt:variant>
        <vt:i4>2031664</vt:i4>
      </vt:variant>
      <vt:variant>
        <vt:i4>362</vt:i4>
      </vt:variant>
      <vt:variant>
        <vt:i4>0</vt:i4>
      </vt:variant>
      <vt:variant>
        <vt:i4>5</vt:i4>
      </vt:variant>
      <vt:variant>
        <vt:lpwstr/>
      </vt:variant>
      <vt:variant>
        <vt:lpwstr>_Toc235802713</vt:lpwstr>
      </vt:variant>
      <vt:variant>
        <vt:i4>2031664</vt:i4>
      </vt:variant>
      <vt:variant>
        <vt:i4>356</vt:i4>
      </vt:variant>
      <vt:variant>
        <vt:i4>0</vt:i4>
      </vt:variant>
      <vt:variant>
        <vt:i4>5</vt:i4>
      </vt:variant>
      <vt:variant>
        <vt:lpwstr/>
      </vt:variant>
      <vt:variant>
        <vt:lpwstr>_Toc235802712</vt:lpwstr>
      </vt:variant>
      <vt:variant>
        <vt:i4>2031664</vt:i4>
      </vt:variant>
      <vt:variant>
        <vt:i4>350</vt:i4>
      </vt:variant>
      <vt:variant>
        <vt:i4>0</vt:i4>
      </vt:variant>
      <vt:variant>
        <vt:i4>5</vt:i4>
      </vt:variant>
      <vt:variant>
        <vt:lpwstr/>
      </vt:variant>
      <vt:variant>
        <vt:lpwstr>_Toc235802711</vt:lpwstr>
      </vt:variant>
      <vt:variant>
        <vt:i4>2031664</vt:i4>
      </vt:variant>
      <vt:variant>
        <vt:i4>344</vt:i4>
      </vt:variant>
      <vt:variant>
        <vt:i4>0</vt:i4>
      </vt:variant>
      <vt:variant>
        <vt:i4>5</vt:i4>
      </vt:variant>
      <vt:variant>
        <vt:lpwstr/>
      </vt:variant>
      <vt:variant>
        <vt:lpwstr>_Toc235802710</vt:lpwstr>
      </vt:variant>
      <vt:variant>
        <vt:i4>1966128</vt:i4>
      </vt:variant>
      <vt:variant>
        <vt:i4>338</vt:i4>
      </vt:variant>
      <vt:variant>
        <vt:i4>0</vt:i4>
      </vt:variant>
      <vt:variant>
        <vt:i4>5</vt:i4>
      </vt:variant>
      <vt:variant>
        <vt:lpwstr/>
      </vt:variant>
      <vt:variant>
        <vt:lpwstr>_Toc235802709</vt:lpwstr>
      </vt:variant>
      <vt:variant>
        <vt:i4>1966128</vt:i4>
      </vt:variant>
      <vt:variant>
        <vt:i4>332</vt:i4>
      </vt:variant>
      <vt:variant>
        <vt:i4>0</vt:i4>
      </vt:variant>
      <vt:variant>
        <vt:i4>5</vt:i4>
      </vt:variant>
      <vt:variant>
        <vt:lpwstr/>
      </vt:variant>
      <vt:variant>
        <vt:lpwstr>_Toc235802708</vt:lpwstr>
      </vt:variant>
      <vt:variant>
        <vt:i4>1966128</vt:i4>
      </vt:variant>
      <vt:variant>
        <vt:i4>326</vt:i4>
      </vt:variant>
      <vt:variant>
        <vt:i4>0</vt:i4>
      </vt:variant>
      <vt:variant>
        <vt:i4>5</vt:i4>
      </vt:variant>
      <vt:variant>
        <vt:lpwstr/>
      </vt:variant>
      <vt:variant>
        <vt:lpwstr>_Toc235802707</vt:lpwstr>
      </vt:variant>
      <vt:variant>
        <vt:i4>1966128</vt:i4>
      </vt:variant>
      <vt:variant>
        <vt:i4>320</vt:i4>
      </vt:variant>
      <vt:variant>
        <vt:i4>0</vt:i4>
      </vt:variant>
      <vt:variant>
        <vt:i4>5</vt:i4>
      </vt:variant>
      <vt:variant>
        <vt:lpwstr/>
      </vt:variant>
      <vt:variant>
        <vt:lpwstr>_Toc235802706</vt:lpwstr>
      </vt:variant>
      <vt:variant>
        <vt:i4>1966128</vt:i4>
      </vt:variant>
      <vt:variant>
        <vt:i4>314</vt:i4>
      </vt:variant>
      <vt:variant>
        <vt:i4>0</vt:i4>
      </vt:variant>
      <vt:variant>
        <vt:i4>5</vt:i4>
      </vt:variant>
      <vt:variant>
        <vt:lpwstr/>
      </vt:variant>
      <vt:variant>
        <vt:lpwstr>_Toc235802705</vt:lpwstr>
      </vt:variant>
      <vt:variant>
        <vt:i4>1966128</vt:i4>
      </vt:variant>
      <vt:variant>
        <vt:i4>308</vt:i4>
      </vt:variant>
      <vt:variant>
        <vt:i4>0</vt:i4>
      </vt:variant>
      <vt:variant>
        <vt:i4>5</vt:i4>
      </vt:variant>
      <vt:variant>
        <vt:lpwstr/>
      </vt:variant>
      <vt:variant>
        <vt:lpwstr>_Toc235802704</vt:lpwstr>
      </vt:variant>
      <vt:variant>
        <vt:i4>1966128</vt:i4>
      </vt:variant>
      <vt:variant>
        <vt:i4>302</vt:i4>
      </vt:variant>
      <vt:variant>
        <vt:i4>0</vt:i4>
      </vt:variant>
      <vt:variant>
        <vt:i4>5</vt:i4>
      </vt:variant>
      <vt:variant>
        <vt:lpwstr/>
      </vt:variant>
      <vt:variant>
        <vt:lpwstr>_Toc235802703</vt:lpwstr>
      </vt:variant>
      <vt:variant>
        <vt:i4>1966128</vt:i4>
      </vt:variant>
      <vt:variant>
        <vt:i4>296</vt:i4>
      </vt:variant>
      <vt:variant>
        <vt:i4>0</vt:i4>
      </vt:variant>
      <vt:variant>
        <vt:i4>5</vt:i4>
      </vt:variant>
      <vt:variant>
        <vt:lpwstr/>
      </vt:variant>
      <vt:variant>
        <vt:lpwstr>_Toc235802702</vt:lpwstr>
      </vt:variant>
      <vt:variant>
        <vt:i4>1966128</vt:i4>
      </vt:variant>
      <vt:variant>
        <vt:i4>290</vt:i4>
      </vt:variant>
      <vt:variant>
        <vt:i4>0</vt:i4>
      </vt:variant>
      <vt:variant>
        <vt:i4>5</vt:i4>
      </vt:variant>
      <vt:variant>
        <vt:lpwstr/>
      </vt:variant>
      <vt:variant>
        <vt:lpwstr>_Toc235802701</vt:lpwstr>
      </vt:variant>
      <vt:variant>
        <vt:i4>1966128</vt:i4>
      </vt:variant>
      <vt:variant>
        <vt:i4>284</vt:i4>
      </vt:variant>
      <vt:variant>
        <vt:i4>0</vt:i4>
      </vt:variant>
      <vt:variant>
        <vt:i4>5</vt:i4>
      </vt:variant>
      <vt:variant>
        <vt:lpwstr/>
      </vt:variant>
      <vt:variant>
        <vt:lpwstr>_Toc235802700</vt:lpwstr>
      </vt:variant>
      <vt:variant>
        <vt:i4>1507377</vt:i4>
      </vt:variant>
      <vt:variant>
        <vt:i4>278</vt:i4>
      </vt:variant>
      <vt:variant>
        <vt:i4>0</vt:i4>
      </vt:variant>
      <vt:variant>
        <vt:i4>5</vt:i4>
      </vt:variant>
      <vt:variant>
        <vt:lpwstr/>
      </vt:variant>
      <vt:variant>
        <vt:lpwstr>_Toc235802699</vt:lpwstr>
      </vt:variant>
      <vt:variant>
        <vt:i4>1507377</vt:i4>
      </vt:variant>
      <vt:variant>
        <vt:i4>272</vt:i4>
      </vt:variant>
      <vt:variant>
        <vt:i4>0</vt:i4>
      </vt:variant>
      <vt:variant>
        <vt:i4>5</vt:i4>
      </vt:variant>
      <vt:variant>
        <vt:lpwstr/>
      </vt:variant>
      <vt:variant>
        <vt:lpwstr>_Toc235802698</vt:lpwstr>
      </vt:variant>
      <vt:variant>
        <vt:i4>1507377</vt:i4>
      </vt:variant>
      <vt:variant>
        <vt:i4>266</vt:i4>
      </vt:variant>
      <vt:variant>
        <vt:i4>0</vt:i4>
      </vt:variant>
      <vt:variant>
        <vt:i4>5</vt:i4>
      </vt:variant>
      <vt:variant>
        <vt:lpwstr/>
      </vt:variant>
      <vt:variant>
        <vt:lpwstr>_Toc235802697</vt:lpwstr>
      </vt:variant>
      <vt:variant>
        <vt:i4>1507377</vt:i4>
      </vt:variant>
      <vt:variant>
        <vt:i4>260</vt:i4>
      </vt:variant>
      <vt:variant>
        <vt:i4>0</vt:i4>
      </vt:variant>
      <vt:variant>
        <vt:i4>5</vt:i4>
      </vt:variant>
      <vt:variant>
        <vt:lpwstr/>
      </vt:variant>
      <vt:variant>
        <vt:lpwstr>_Toc235802696</vt:lpwstr>
      </vt:variant>
      <vt:variant>
        <vt:i4>1507377</vt:i4>
      </vt:variant>
      <vt:variant>
        <vt:i4>254</vt:i4>
      </vt:variant>
      <vt:variant>
        <vt:i4>0</vt:i4>
      </vt:variant>
      <vt:variant>
        <vt:i4>5</vt:i4>
      </vt:variant>
      <vt:variant>
        <vt:lpwstr/>
      </vt:variant>
      <vt:variant>
        <vt:lpwstr>_Toc235802695</vt:lpwstr>
      </vt:variant>
      <vt:variant>
        <vt:i4>1507377</vt:i4>
      </vt:variant>
      <vt:variant>
        <vt:i4>248</vt:i4>
      </vt:variant>
      <vt:variant>
        <vt:i4>0</vt:i4>
      </vt:variant>
      <vt:variant>
        <vt:i4>5</vt:i4>
      </vt:variant>
      <vt:variant>
        <vt:lpwstr/>
      </vt:variant>
      <vt:variant>
        <vt:lpwstr>_Toc235802694</vt:lpwstr>
      </vt:variant>
      <vt:variant>
        <vt:i4>1507377</vt:i4>
      </vt:variant>
      <vt:variant>
        <vt:i4>242</vt:i4>
      </vt:variant>
      <vt:variant>
        <vt:i4>0</vt:i4>
      </vt:variant>
      <vt:variant>
        <vt:i4>5</vt:i4>
      </vt:variant>
      <vt:variant>
        <vt:lpwstr/>
      </vt:variant>
      <vt:variant>
        <vt:lpwstr>_Toc235802693</vt:lpwstr>
      </vt:variant>
      <vt:variant>
        <vt:i4>1507377</vt:i4>
      </vt:variant>
      <vt:variant>
        <vt:i4>236</vt:i4>
      </vt:variant>
      <vt:variant>
        <vt:i4>0</vt:i4>
      </vt:variant>
      <vt:variant>
        <vt:i4>5</vt:i4>
      </vt:variant>
      <vt:variant>
        <vt:lpwstr/>
      </vt:variant>
      <vt:variant>
        <vt:lpwstr>_Toc235802692</vt:lpwstr>
      </vt:variant>
      <vt:variant>
        <vt:i4>1507377</vt:i4>
      </vt:variant>
      <vt:variant>
        <vt:i4>230</vt:i4>
      </vt:variant>
      <vt:variant>
        <vt:i4>0</vt:i4>
      </vt:variant>
      <vt:variant>
        <vt:i4>5</vt:i4>
      </vt:variant>
      <vt:variant>
        <vt:lpwstr/>
      </vt:variant>
      <vt:variant>
        <vt:lpwstr>_Toc235802691</vt:lpwstr>
      </vt:variant>
      <vt:variant>
        <vt:i4>1507377</vt:i4>
      </vt:variant>
      <vt:variant>
        <vt:i4>224</vt:i4>
      </vt:variant>
      <vt:variant>
        <vt:i4>0</vt:i4>
      </vt:variant>
      <vt:variant>
        <vt:i4>5</vt:i4>
      </vt:variant>
      <vt:variant>
        <vt:lpwstr/>
      </vt:variant>
      <vt:variant>
        <vt:lpwstr>_Toc235802690</vt:lpwstr>
      </vt:variant>
      <vt:variant>
        <vt:i4>1441841</vt:i4>
      </vt:variant>
      <vt:variant>
        <vt:i4>218</vt:i4>
      </vt:variant>
      <vt:variant>
        <vt:i4>0</vt:i4>
      </vt:variant>
      <vt:variant>
        <vt:i4>5</vt:i4>
      </vt:variant>
      <vt:variant>
        <vt:lpwstr/>
      </vt:variant>
      <vt:variant>
        <vt:lpwstr>_Toc235802689</vt:lpwstr>
      </vt:variant>
      <vt:variant>
        <vt:i4>1441841</vt:i4>
      </vt:variant>
      <vt:variant>
        <vt:i4>212</vt:i4>
      </vt:variant>
      <vt:variant>
        <vt:i4>0</vt:i4>
      </vt:variant>
      <vt:variant>
        <vt:i4>5</vt:i4>
      </vt:variant>
      <vt:variant>
        <vt:lpwstr/>
      </vt:variant>
      <vt:variant>
        <vt:lpwstr>_Toc235802688</vt:lpwstr>
      </vt:variant>
      <vt:variant>
        <vt:i4>1441841</vt:i4>
      </vt:variant>
      <vt:variant>
        <vt:i4>206</vt:i4>
      </vt:variant>
      <vt:variant>
        <vt:i4>0</vt:i4>
      </vt:variant>
      <vt:variant>
        <vt:i4>5</vt:i4>
      </vt:variant>
      <vt:variant>
        <vt:lpwstr/>
      </vt:variant>
      <vt:variant>
        <vt:lpwstr>_Toc235802687</vt:lpwstr>
      </vt:variant>
      <vt:variant>
        <vt:i4>1441841</vt:i4>
      </vt:variant>
      <vt:variant>
        <vt:i4>200</vt:i4>
      </vt:variant>
      <vt:variant>
        <vt:i4>0</vt:i4>
      </vt:variant>
      <vt:variant>
        <vt:i4>5</vt:i4>
      </vt:variant>
      <vt:variant>
        <vt:lpwstr/>
      </vt:variant>
      <vt:variant>
        <vt:lpwstr>_Toc235802686</vt:lpwstr>
      </vt:variant>
      <vt:variant>
        <vt:i4>1441841</vt:i4>
      </vt:variant>
      <vt:variant>
        <vt:i4>194</vt:i4>
      </vt:variant>
      <vt:variant>
        <vt:i4>0</vt:i4>
      </vt:variant>
      <vt:variant>
        <vt:i4>5</vt:i4>
      </vt:variant>
      <vt:variant>
        <vt:lpwstr/>
      </vt:variant>
      <vt:variant>
        <vt:lpwstr>_Toc235802685</vt:lpwstr>
      </vt:variant>
      <vt:variant>
        <vt:i4>1441841</vt:i4>
      </vt:variant>
      <vt:variant>
        <vt:i4>188</vt:i4>
      </vt:variant>
      <vt:variant>
        <vt:i4>0</vt:i4>
      </vt:variant>
      <vt:variant>
        <vt:i4>5</vt:i4>
      </vt:variant>
      <vt:variant>
        <vt:lpwstr/>
      </vt:variant>
      <vt:variant>
        <vt:lpwstr>_Toc235802684</vt:lpwstr>
      </vt:variant>
      <vt:variant>
        <vt:i4>1441841</vt:i4>
      </vt:variant>
      <vt:variant>
        <vt:i4>182</vt:i4>
      </vt:variant>
      <vt:variant>
        <vt:i4>0</vt:i4>
      </vt:variant>
      <vt:variant>
        <vt:i4>5</vt:i4>
      </vt:variant>
      <vt:variant>
        <vt:lpwstr/>
      </vt:variant>
      <vt:variant>
        <vt:lpwstr>_Toc235802683</vt:lpwstr>
      </vt:variant>
      <vt:variant>
        <vt:i4>1441841</vt:i4>
      </vt:variant>
      <vt:variant>
        <vt:i4>176</vt:i4>
      </vt:variant>
      <vt:variant>
        <vt:i4>0</vt:i4>
      </vt:variant>
      <vt:variant>
        <vt:i4>5</vt:i4>
      </vt:variant>
      <vt:variant>
        <vt:lpwstr/>
      </vt:variant>
      <vt:variant>
        <vt:lpwstr>_Toc235802682</vt:lpwstr>
      </vt:variant>
      <vt:variant>
        <vt:i4>1441841</vt:i4>
      </vt:variant>
      <vt:variant>
        <vt:i4>170</vt:i4>
      </vt:variant>
      <vt:variant>
        <vt:i4>0</vt:i4>
      </vt:variant>
      <vt:variant>
        <vt:i4>5</vt:i4>
      </vt:variant>
      <vt:variant>
        <vt:lpwstr/>
      </vt:variant>
      <vt:variant>
        <vt:lpwstr>_Toc235802681</vt:lpwstr>
      </vt:variant>
      <vt:variant>
        <vt:i4>1441841</vt:i4>
      </vt:variant>
      <vt:variant>
        <vt:i4>164</vt:i4>
      </vt:variant>
      <vt:variant>
        <vt:i4>0</vt:i4>
      </vt:variant>
      <vt:variant>
        <vt:i4>5</vt:i4>
      </vt:variant>
      <vt:variant>
        <vt:lpwstr/>
      </vt:variant>
      <vt:variant>
        <vt:lpwstr>_Toc235802680</vt:lpwstr>
      </vt:variant>
      <vt:variant>
        <vt:i4>1638449</vt:i4>
      </vt:variant>
      <vt:variant>
        <vt:i4>158</vt:i4>
      </vt:variant>
      <vt:variant>
        <vt:i4>0</vt:i4>
      </vt:variant>
      <vt:variant>
        <vt:i4>5</vt:i4>
      </vt:variant>
      <vt:variant>
        <vt:lpwstr/>
      </vt:variant>
      <vt:variant>
        <vt:lpwstr>_Toc235802679</vt:lpwstr>
      </vt:variant>
      <vt:variant>
        <vt:i4>1638449</vt:i4>
      </vt:variant>
      <vt:variant>
        <vt:i4>152</vt:i4>
      </vt:variant>
      <vt:variant>
        <vt:i4>0</vt:i4>
      </vt:variant>
      <vt:variant>
        <vt:i4>5</vt:i4>
      </vt:variant>
      <vt:variant>
        <vt:lpwstr/>
      </vt:variant>
      <vt:variant>
        <vt:lpwstr>_Toc235802678</vt:lpwstr>
      </vt:variant>
      <vt:variant>
        <vt:i4>1638449</vt:i4>
      </vt:variant>
      <vt:variant>
        <vt:i4>146</vt:i4>
      </vt:variant>
      <vt:variant>
        <vt:i4>0</vt:i4>
      </vt:variant>
      <vt:variant>
        <vt:i4>5</vt:i4>
      </vt:variant>
      <vt:variant>
        <vt:lpwstr/>
      </vt:variant>
      <vt:variant>
        <vt:lpwstr>_Toc235802677</vt:lpwstr>
      </vt:variant>
      <vt:variant>
        <vt:i4>1638449</vt:i4>
      </vt:variant>
      <vt:variant>
        <vt:i4>140</vt:i4>
      </vt:variant>
      <vt:variant>
        <vt:i4>0</vt:i4>
      </vt:variant>
      <vt:variant>
        <vt:i4>5</vt:i4>
      </vt:variant>
      <vt:variant>
        <vt:lpwstr/>
      </vt:variant>
      <vt:variant>
        <vt:lpwstr>_Toc235802676</vt:lpwstr>
      </vt:variant>
      <vt:variant>
        <vt:i4>1638449</vt:i4>
      </vt:variant>
      <vt:variant>
        <vt:i4>134</vt:i4>
      </vt:variant>
      <vt:variant>
        <vt:i4>0</vt:i4>
      </vt:variant>
      <vt:variant>
        <vt:i4>5</vt:i4>
      </vt:variant>
      <vt:variant>
        <vt:lpwstr/>
      </vt:variant>
      <vt:variant>
        <vt:lpwstr>_Toc235802675</vt:lpwstr>
      </vt:variant>
      <vt:variant>
        <vt:i4>1638449</vt:i4>
      </vt:variant>
      <vt:variant>
        <vt:i4>128</vt:i4>
      </vt:variant>
      <vt:variant>
        <vt:i4>0</vt:i4>
      </vt:variant>
      <vt:variant>
        <vt:i4>5</vt:i4>
      </vt:variant>
      <vt:variant>
        <vt:lpwstr/>
      </vt:variant>
      <vt:variant>
        <vt:lpwstr>_Toc235802674</vt:lpwstr>
      </vt:variant>
      <vt:variant>
        <vt:i4>1638449</vt:i4>
      </vt:variant>
      <vt:variant>
        <vt:i4>122</vt:i4>
      </vt:variant>
      <vt:variant>
        <vt:i4>0</vt:i4>
      </vt:variant>
      <vt:variant>
        <vt:i4>5</vt:i4>
      </vt:variant>
      <vt:variant>
        <vt:lpwstr/>
      </vt:variant>
      <vt:variant>
        <vt:lpwstr>_Toc235802673</vt:lpwstr>
      </vt:variant>
      <vt:variant>
        <vt:i4>1638449</vt:i4>
      </vt:variant>
      <vt:variant>
        <vt:i4>116</vt:i4>
      </vt:variant>
      <vt:variant>
        <vt:i4>0</vt:i4>
      </vt:variant>
      <vt:variant>
        <vt:i4>5</vt:i4>
      </vt:variant>
      <vt:variant>
        <vt:lpwstr/>
      </vt:variant>
      <vt:variant>
        <vt:lpwstr>_Toc235802672</vt:lpwstr>
      </vt:variant>
      <vt:variant>
        <vt:i4>1638449</vt:i4>
      </vt:variant>
      <vt:variant>
        <vt:i4>110</vt:i4>
      </vt:variant>
      <vt:variant>
        <vt:i4>0</vt:i4>
      </vt:variant>
      <vt:variant>
        <vt:i4>5</vt:i4>
      </vt:variant>
      <vt:variant>
        <vt:lpwstr/>
      </vt:variant>
      <vt:variant>
        <vt:lpwstr>_Toc235802671</vt:lpwstr>
      </vt:variant>
      <vt:variant>
        <vt:i4>1638449</vt:i4>
      </vt:variant>
      <vt:variant>
        <vt:i4>104</vt:i4>
      </vt:variant>
      <vt:variant>
        <vt:i4>0</vt:i4>
      </vt:variant>
      <vt:variant>
        <vt:i4>5</vt:i4>
      </vt:variant>
      <vt:variant>
        <vt:lpwstr/>
      </vt:variant>
      <vt:variant>
        <vt:lpwstr>_Toc235802670</vt:lpwstr>
      </vt:variant>
      <vt:variant>
        <vt:i4>1572913</vt:i4>
      </vt:variant>
      <vt:variant>
        <vt:i4>98</vt:i4>
      </vt:variant>
      <vt:variant>
        <vt:i4>0</vt:i4>
      </vt:variant>
      <vt:variant>
        <vt:i4>5</vt:i4>
      </vt:variant>
      <vt:variant>
        <vt:lpwstr/>
      </vt:variant>
      <vt:variant>
        <vt:lpwstr>_Toc235802669</vt:lpwstr>
      </vt:variant>
      <vt:variant>
        <vt:i4>1572913</vt:i4>
      </vt:variant>
      <vt:variant>
        <vt:i4>92</vt:i4>
      </vt:variant>
      <vt:variant>
        <vt:i4>0</vt:i4>
      </vt:variant>
      <vt:variant>
        <vt:i4>5</vt:i4>
      </vt:variant>
      <vt:variant>
        <vt:lpwstr/>
      </vt:variant>
      <vt:variant>
        <vt:lpwstr>_Toc235802668</vt:lpwstr>
      </vt:variant>
      <vt:variant>
        <vt:i4>1572913</vt:i4>
      </vt:variant>
      <vt:variant>
        <vt:i4>86</vt:i4>
      </vt:variant>
      <vt:variant>
        <vt:i4>0</vt:i4>
      </vt:variant>
      <vt:variant>
        <vt:i4>5</vt:i4>
      </vt:variant>
      <vt:variant>
        <vt:lpwstr/>
      </vt:variant>
      <vt:variant>
        <vt:lpwstr>_Toc235802667</vt:lpwstr>
      </vt:variant>
      <vt:variant>
        <vt:i4>1572913</vt:i4>
      </vt:variant>
      <vt:variant>
        <vt:i4>80</vt:i4>
      </vt:variant>
      <vt:variant>
        <vt:i4>0</vt:i4>
      </vt:variant>
      <vt:variant>
        <vt:i4>5</vt:i4>
      </vt:variant>
      <vt:variant>
        <vt:lpwstr/>
      </vt:variant>
      <vt:variant>
        <vt:lpwstr>_Toc235802666</vt:lpwstr>
      </vt:variant>
      <vt:variant>
        <vt:i4>1572913</vt:i4>
      </vt:variant>
      <vt:variant>
        <vt:i4>74</vt:i4>
      </vt:variant>
      <vt:variant>
        <vt:i4>0</vt:i4>
      </vt:variant>
      <vt:variant>
        <vt:i4>5</vt:i4>
      </vt:variant>
      <vt:variant>
        <vt:lpwstr/>
      </vt:variant>
      <vt:variant>
        <vt:lpwstr>_Toc235802665</vt:lpwstr>
      </vt:variant>
      <vt:variant>
        <vt:i4>1572913</vt:i4>
      </vt:variant>
      <vt:variant>
        <vt:i4>68</vt:i4>
      </vt:variant>
      <vt:variant>
        <vt:i4>0</vt:i4>
      </vt:variant>
      <vt:variant>
        <vt:i4>5</vt:i4>
      </vt:variant>
      <vt:variant>
        <vt:lpwstr/>
      </vt:variant>
      <vt:variant>
        <vt:lpwstr>_Toc235802664</vt:lpwstr>
      </vt:variant>
      <vt:variant>
        <vt:i4>1572913</vt:i4>
      </vt:variant>
      <vt:variant>
        <vt:i4>62</vt:i4>
      </vt:variant>
      <vt:variant>
        <vt:i4>0</vt:i4>
      </vt:variant>
      <vt:variant>
        <vt:i4>5</vt:i4>
      </vt:variant>
      <vt:variant>
        <vt:lpwstr/>
      </vt:variant>
      <vt:variant>
        <vt:lpwstr>_Toc235802663</vt:lpwstr>
      </vt:variant>
      <vt:variant>
        <vt:i4>1572913</vt:i4>
      </vt:variant>
      <vt:variant>
        <vt:i4>56</vt:i4>
      </vt:variant>
      <vt:variant>
        <vt:i4>0</vt:i4>
      </vt:variant>
      <vt:variant>
        <vt:i4>5</vt:i4>
      </vt:variant>
      <vt:variant>
        <vt:lpwstr/>
      </vt:variant>
      <vt:variant>
        <vt:lpwstr>_Toc235802662</vt:lpwstr>
      </vt:variant>
      <vt:variant>
        <vt:i4>1572913</vt:i4>
      </vt:variant>
      <vt:variant>
        <vt:i4>50</vt:i4>
      </vt:variant>
      <vt:variant>
        <vt:i4>0</vt:i4>
      </vt:variant>
      <vt:variant>
        <vt:i4>5</vt:i4>
      </vt:variant>
      <vt:variant>
        <vt:lpwstr/>
      </vt:variant>
      <vt:variant>
        <vt:lpwstr>_Toc235802661</vt:lpwstr>
      </vt:variant>
      <vt:variant>
        <vt:i4>1572913</vt:i4>
      </vt:variant>
      <vt:variant>
        <vt:i4>44</vt:i4>
      </vt:variant>
      <vt:variant>
        <vt:i4>0</vt:i4>
      </vt:variant>
      <vt:variant>
        <vt:i4>5</vt:i4>
      </vt:variant>
      <vt:variant>
        <vt:lpwstr/>
      </vt:variant>
      <vt:variant>
        <vt:lpwstr>_Toc235802660</vt:lpwstr>
      </vt:variant>
      <vt:variant>
        <vt:i4>1769521</vt:i4>
      </vt:variant>
      <vt:variant>
        <vt:i4>38</vt:i4>
      </vt:variant>
      <vt:variant>
        <vt:i4>0</vt:i4>
      </vt:variant>
      <vt:variant>
        <vt:i4>5</vt:i4>
      </vt:variant>
      <vt:variant>
        <vt:lpwstr/>
      </vt:variant>
      <vt:variant>
        <vt:lpwstr>_Toc235802659</vt:lpwstr>
      </vt:variant>
      <vt:variant>
        <vt:i4>1769521</vt:i4>
      </vt:variant>
      <vt:variant>
        <vt:i4>32</vt:i4>
      </vt:variant>
      <vt:variant>
        <vt:i4>0</vt:i4>
      </vt:variant>
      <vt:variant>
        <vt:i4>5</vt:i4>
      </vt:variant>
      <vt:variant>
        <vt:lpwstr/>
      </vt:variant>
      <vt:variant>
        <vt:lpwstr>_Toc235802658</vt:lpwstr>
      </vt:variant>
      <vt:variant>
        <vt:i4>1769521</vt:i4>
      </vt:variant>
      <vt:variant>
        <vt:i4>26</vt:i4>
      </vt:variant>
      <vt:variant>
        <vt:i4>0</vt:i4>
      </vt:variant>
      <vt:variant>
        <vt:i4>5</vt:i4>
      </vt:variant>
      <vt:variant>
        <vt:lpwstr/>
      </vt:variant>
      <vt:variant>
        <vt:lpwstr>_Toc235802657</vt:lpwstr>
      </vt:variant>
      <vt:variant>
        <vt:i4>1769521</vt:i4>
      </vt:variant>
      <vt:variant>
        <vt:i4>20</vt:i4>
      </vt:variant>
      <vt:variant>
        <vt:i4>0</vt:i4>
      </vt:variant>
      <vt:variant>
        <vt:i4>5</vt:i4>
      </vt:variant>
      <vt:variant>
        <vt:lpwstr/>
      </vt:variant>
      <vt:variant>
        <vt:lpwstr>_Toc235802656</vt:lpwstr>
      </vt:variant>
      <vt:variant>
        <vt:i4>1769521</vt:i4>
      </vt:variant>
      <vt:variant>
        <vt:i4>14</vt:i4>
      </vt:variant>
      <vt:variant>
        <vt:i4>0</vt:i4>
      </vt:variant>
      <vt:variant>
        <vt:i4>5</vt:i4>
      </vt:variant>
      <vt:variant>
        <vt:lpwstr/>
      </vt:variant>
      <vt:variant>
        <vt:lpwstr>_Toc235802655</vt:lpwstr>
      </vt:variant>
      <vt:variant>
        <vt:i4>5242917</vt:i4>
      </vt:variant>
      <vt:variant>
        <vt:i4>9</vt:i4>
      </vt:variant>
      <vt:variant>
        <vt:i4>0</vt:i4>
      </vt:variant>
      <vt:variant>
        <vt:i4>5</vt:i4>
      </vt:variant>
      <vt:variant>
        <vt:lpwstr>mailto:apg@caloes.ca.gov</vt:lpwstr>
      </vt:variant>
      <vt:variant>
        <vt:lpwstr/>
      </vt:variant>
      <vt:variant>
        <vt:i4>5242917</vt:i4>
      </vt:variant>
      <vt:variant>
        <vt:i4>6</vt:i4>
      </vt:variant>
      <vt:variant>
        <vt:i4>0</vt:i4>
      </vt:variant>
      <vt:variant>
        <vt:i4>5</vt:i4>
      </vt:variant>
      <vt:variant>
        <vt:lpwstr>mailto:apg@caloes.ca.gov</vt:lpwstr>
      </vt:variant>
      <vt:variant>
        <vt:lpwstr/>
      </vt:variant>
      <vt:variant>
        <vt:i4>7143548</vt:i4>
      </vt:variant>
      <vt:variant>
        <vt:i4>3</vt:i4>
      </vt:variant>
      <vt:variant>
        <vt:i4>0</vt:i4>
      </vt:variant>
      <vt:variant>
        <vt:i4>5</vt:i4>
      </vt:variant>
      <vt:variant>
        <vt:lpwstr>https://app.smartsheet.com/b/form/019f8b8825527f3584b021a664e5af45</vt:lpwstr>
      </vt:variant>
      <vt:variant>
        <vt:lpwstr/>
      </vt:variant>
      <vt:variant>
        <vt:i4>4391010</vt:i4>
      </vt:variant>
      <vt:variant>
        <vt:i4>0</vt:i4>
      </vt:variant>
      <vt:variant>
        <vt:i4>0</vt:i4>
      </vt:variant>
      <vt:variant>
        <vt:i4>5</vt:i4>
      </vt:variant>
      <vt:variant>
        <vt:lpwstr>https://leginfo.legislature.ca.gov/faces/billNavClient.xhtml?bill_id=201520160SB246</vt:lpwstr>
      </vt:variant>
      <vt:variant>
        <vt:lpwstr/>
      </vt:variant>
      <vt:variant>
        <vt:i4>2162806</vt:i4>
      </vt:variant>
      <vt:variant>
        <vt:i4>9</vt:i4>
      </vt:variant>
      <vt:variant>
        <vt:i4>0</vt:i4>
      </vt:variant>
      <vt:variant>
        <vt:i4>5</vt:i4>
      </vt:variant>
      <vt:variant>
        <vt:lpwstr>https://www.ecfr.gov/current/title-44/chapter-I/subchapter-D/part-201/section-201.6</vt:lpwstr>
      </vt:variant>
      <vt:variant>
        <vt:lpwstr/>
      </vt:variant>
      <vt:variant>
        <vt:i4>2162806</vt:i4>
      </vt:variant>
      <vt:variant>
        <vt:i4>6</vt:i4>
      </vt:variant>
      <vt:variant>
        <vt:i4>0</vt:i4>
      </vt:variant>
      <vt:variant>
        <vt:i4>5</vt:i4>
      </vt:variant>
      <vt:variant>
        <vt:lpwstr>https://www.ecfr.gov/current/title-44/chapter-I/subchapter-D/part-201/section-201.7</vt:lpwstr>
      </vt:variant>
      <vt:variant>
        <vt:lpwstr/>
      </vt:variant>
      <vt:variant>
        <vt:i4>7471151</vt:i4>
      </vt:variant>
      <vt:variant>
        <vt:i4>3</vt:i4>
      </vt:variant>
      <vt:variant>
        <vt:i4>0</vt:i4>
      </vt:variant>
      <vt:variant>
        <vt:i4>5</vt:i4>
      </vt:variant>
      <vt:variant>
        <vt:lpwstr>https://opr.ca.gov/docs/OPR_C8_final.pdf</vt:lpwstr>
      </vt:variant>
      <vt:variant>
        <vt:lpwstr/>
      </vt:variant>
      <vt:variant>
        <vt:i4>7077939</vt:i4>
      </vt:variant>
      <vt:variant>
        <vt:i4>0</vt:i4>
      </vt:variant>
      <vt:variant>
        <vt:i4>0</vt:i4>
      </vt:variant>
      <vt:variant>
        <vt:i4>5</vt:i4>
      </vt:variant>
      <vt:variant>
        <vt:lpwstr>https://casetext.com/regulation/california-code-of-regulations/title-14-natural-resources/division-6-resources-agency/chapter-3-guidelines-for-implementation-of-the-california-environmental-quality-act/article-12-special-situations/section-151835-tiering-and-streamlining-the-analysis-of-greenhouse-gas-emissions</vt:lpwstr>
      </vt:variant>
      <vt:variant>
        <vt:lpwstr/>
      </vt:variant>
      <vt:variant>
        <vt:i4>3276872</vt:i4>
      </vt:variant>
      <vt:variant>
        <vt:i4>6</vt:i4>
      </vt:variant>
      <vt:variant>
        <vt:i4>0</vt:i4>
      </vt:variant>
      <vt:variant>
        <vt:i4>5</vt:i4>
      </vt:variant>
      <vt:variant>
        <vt:lpwstr>mailto:BraucherA@caloes.ca.gov</vt:lpwstr>
      </vt:variant>
      <vt:variant>
        <vt:lpwstr/>
      </vt:variant>
      <vt:variant>
        <vt:i4>7143538</vt:i4>
      </vt:variant>
      <vt:variant>
        <vt:i4>3</vt:i4>
      </vt:variant>
      <vt:variant>
        <vt:i4>0</vt:i4>
      </vt:variant>
      <vt:variant>
        <vt:i4>5</vt:i4>
      </vt:variant>
      <vt:variant>
        <vt:lpwstr>https://nahc.ca.gov/wp-content/uploads/2019/04/SB-18-Tribal-Consultation-Guidelines.pdf</vt:lpwstr>
      </vt:variant>
      <vt:variant>
        <vt:lpwstr/>
      </vt:variant>
      <vt:variant>
        <vt:i4>4194381</vt:i4>
      </vt:variant>
      <vt:variant>
        <vt:i4>0</vt:i4>
      </vt:variant>
      <vt:variant>
        <vt:i4>0</vt:i4>
      </vt:variant>
      <vt:variant>
        <vt:i4>5</vt:i4>
      </vt:variant>
      <vt:variant>
        <vt:lpwstr>https://climateresilience.ca.gov/overview/docs/20250821-Adaptation_Strategy_FAQ.pdf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California Adaptation Planning Guide</dc:title>
  <dc:subject/>
  <dc:creator>Braucher, Annika@CalOES</dc:creator>
  <cp:keywords>climate adaptation; adaptation planning; resilience; California; Cal OES; public comment</cp:keywords>
  <dc:description/>
  <cp:lastModifiedBy>Braucher, Annika@CalOES</cp:lastModifiedBy>
  <cp:revision>2</cp:revision>
  <dcterms:created xsi:type="dcterms:W3CDTF">2026-07-27T22:54:00Z</dcterms:created>
  <dcterms:modified xsi:type="dcterms:W3CDTF">2026-07-27T22:54:00Z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0x0101006F6023137FF10A428CA1AE2529FE3350</vt:lpwstr>
  </property>
  <property fmtid="{D5CDD505-2E9C-101B-9397-08002B2CF9AE}" pid="3" name="MediaServiceImageTags">
    <vt:lpwstr/>
  </property>
  <property fmtid="{D5CDD505-2E9C-101B-9397-08002B2CF9AE}" pid="4" name="ClassificationContentMarkingFooterShapeIds">
    <vt:lpwstr>3419f785,6f894550,7cdcaed4,79b14865,6a03091,20ca5a1f,10c1dfce</vt:lpwstr>
  </property>
  <property fmtid="{D5CDD505-2E9C-101B-9397-08002B2CF9AE}" pid="5" name="ClassificationContentMarkingFooterFontProps">
    <vt:lpwstr>#000000,10,Aptos</vt:lpwstr>
  </property>
  <property fmtid="{D5CDD505-2E9C-101B-9397-08002B2CF9AE}" pid="6" name="ClassificationContentMarkingFooterText">
    <vt:lpwstr>LCI - Public</vt:lpwstr>
  </property>
  <property fmtid="{D5CDD505-2E9C-101B-9397-08002B2CF9AE}" pid="7" name="MSIP_Label_a8de3de1-ae51-4ada-b15b-0d0d0d881a11_Enabled">
    <vt:lpwstr>true</vt:lpwstr>
  </property>
  <property fmtid="{D5CDD505-2E9C-101B-9397-08002B2CF9AE}" pid="8" name="MSIP_Label_a8de3de1-ae51-4ada-b15b-0d0d0d881a11_SetDate">
    <vt:lpwstr>2026-04-21T22:10:17Z</vt:lpwstr>
  </property>
  <property fmtid="{D5CDD505-2E9C-101B-9397-08002B2CF9AE}" pid="9" name="MSIP_Label_a8de3de1-ae51-4ada-b15b-0d0d0d881a11_Method">
    <vt:lpwstr>Standard</vt:lpwstr>
  </property>
  <property fmtid="{D5CDD505-2E9C-101B-9397-08002B2CF9AE}" pid="10" name="MSIP_Label_a8de3de1-ae51-4ada-b15b-0d0d0d881a11_Name">
    <vt:lpwstr>LCI - Public</vt:lpwstr>
  </property>
  <property fmtid="{D5CDD505-2E9C-101B-9397-08002B2CF9AE}" pid="11" name="MSIP_Label_a8de3de1-ae51-4ada-b15b-0d0d0d881a11_SiteId">
    <vt:lpwstr>c95b6f53-4a14-42c5-ad9f-f5a2dd89a2a9</vt:lpwstr>
  </property>
  <property fmtid="{D5CDD505-2E9C-101B-9397-08002B2CF9AE}" pid="12" name="MSIP_Label_a8de3de1-ae51-4ada-b15b-0d0d0d881a11_ActionId">
    <vt:lpwstr>9b24a68e-0a19-443f-a079-8f7304194f79</vt:lpwstr>
  </property>
  <property fmtid="{D5CDD505-2E9C-101B-9397-08002B2CF9AE}" pid="13" name="MSIP_Label_a8de3de1-ae51-4ada-b15b-0d0d0d881a11_ContentBits">
    <vt:lpwstr>2</vt:lpwstr>
  </property>
  <property fmtid="{D5CDD505-2E9C-101B-9397-08002B2CF9AE}" pid="14" name="MSIP_Label_a8de3de1-ae51-4ada-b15b-0d0d0d881a11_Tag">
    <vt:lpwstr>10, 3, 0, 1</vt:lpwstr>
  </property>
  <property fmtid="{D5CDD505-2E9C-101B-9397-08002B2CF9AE}" pid="15" name="GrammarlyDocumentId">
    <vt:lpwstr>0086ba16-abd7-4eb4-b3e8-c3a6408b7caa</vt:lpwstr>
  </property>
</Properties>
</file>