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0D41" w14:textId="77777777" w:rsidR="00B027D5" w:rsidRDefault="00EF3B06" w:rsidP="002746A9">
      <w:pPr>
        <w:pStyle w:val="Heading1"/>
        <w:rPr>
          <w:rFonts w:ascii="Century Gothic" w:hAnsi="Century Gothic"/>
          <w:color w:val="FF0000"/>
          <w:sz w:val="40"/>
          <w:szCs w:val="40"/>
        </w:rPr>
      </w:pPr>
      <w:r w:rsidRPr="00275F43">
        <w:rPr>
          <w:rFonts w:ascii="Century Gothic" w:hAnsi="Century Gothic"/>
          <w:color w:val="FF0000"/>
          <w:sz w:val="40"/>
          <w:szCs w:val="40"/>
        </w:rPr>
        <w:t>[Insert Project Title]</w:t>
      </w:r>
    </w:p>
    <w:p w14:paraId="16B3B412" w14:textId="2F4C365B" w:rsidR="004D4477" w:rsidRPr="001A62F8" w:rsidRDefault="004D4477" w:rsidP="00C90BE1">
      <w:pPr>
        <w:spacing w:after="80" w:line="240" w:lineRule="auto"/>
        <w:contextualSpacing/>
        <w:rPr>
          <w:rFonts w:ascii="Century Gothic" w:hAnsi="Century Gothic"/>
          <w:color w:val="000636"/>
          <w:sz w:val="40"/>
          <w:szCs w:val="40"/>
        </w:rPr>
      </w:pPr>
      <w:r w:rsidRPr="00C90BE1">
        <w:rPr>
          <w:rFonts w:ascii="Century Gothic" w:hAnsi="Century Gothic"/>
          <w:b/>
          <w:bCs/>
          <w:color w:val="000636"/>
          <w:sz w:val="36"/>
          <w:szCs w:val="36"/>
        </w:rPr>
        <w:t>Cost Estimate Narrative</w:t>
      </w:r>
    </w:p>
    <w:p w14:paraId="6440C806" w14:textId="77777777" w:rsidR="002746A9" w:rsidRPr="002746A9" w:rsidRDefault="002746A9" w:rsidP="002746A9">
      <w:pPr>
        <w:spacing w:after="0" w:line="240" w:lineRule="auto"/>
        <w:rPr>
          <w:rFonts w:ascii="Century Gothic" w:eastAsia="Times New Roman" w:hAnsi="Century Gothic"/>
          <w:sz w:val="6"/>
          <w:szCs w:val="6"/>
        </w:rPr>
      </w:pPr>
    </w:p>
    <w:p w14:paraId="6D0B61EC" w14:textId="6BBD5919" w:rsidR="00DB7FB3" w:rsidRPr="00275F43" w:rsidRDefault="00DB7FB3">
      <w:pPr>
        <w:rPr>
          <w:rFonts w:ascii="Century Gothic" w:eastAsia="Times New Roman" w:hAnsi="Century Gothic"/>
          <w:color w:val="FF0000"/>
          <w:sz w:val="24"/>
          <w:szCs w:val="24"/>
        </w:rPr>
      </w:pPr>
      <w:r w:rsidRPr="00275F43">
        <w:rPr>
          <w:rFonts w:ascii="Century Gothic" w:eastAsia="Times New Roman" w:hAnsi="Century Gothic"/>
          <w:color w:val="FF0000"/>
          <w:sz w:val="24"/>
          <w:szCs w:val="24"/>
        </w:rPr>
        <w:t xml:space="preserve">The cost estimate narrative should include each line item consistent with the cost estimate. The narrative should provide additional information and describe each line item in detail </w:t>
      </w:r>
      <w:r w:rsidR="00DD506A" w:rsidRPr="00275F43">
        <w:rPr>
          <w:rFonts w:ascii="Century Gothic" w:eastAsia="Times New Roman" w:hAnsi="Century Gothic"/>
          <w:color w:val="FF0000"/>
          <w:sz w:val="24"/>
          <w:szCs w:val="24"/>
        </w:rPr>
        <w:t>and</w:t>
      </w:r>
      <w:r w:rsidRPr="00275F43">
        <w:rPr>
          <w:rFonts w:ascii="Century Gothic" w:eastAsia="Times New Roman" w:hAnsi="Century Gothic"/>
          <w:color w:val="FF0000"/>
          <w:sz w:val="24"/>
          <w:szCs w:val="24"/>
        </w:rPr>
        <w:t xml:space="preserve"> explain how the costs were estimated.</w:t>
      </w:r>
    </w:p>
    <w:p w14:paraId="599F6CB4" w14:textId="65178D7D" w:rsidR="000D6404" w:rsidRPr="00275F43" w:rsidRDefault="002746A9" w:rsidP="001A62F8">
      <w:pPr>
        <w:spacing w:after="40" w:line="240" w:lineRule="auto"/>
        <w:contextualSpacing/>
        <w:rPr>
          <w:rFonts w:ascii="Century Gothic" w:eastAsia="Times New Roman" w:hAnsi="Century Gothic"/>
          <w:color w:val="FF0000"/>
          <w:sz w:val="24"/>
          <w:szCs w:val="24"/>
        </w:rPr>
      </w:pPr>
      <w:r w:rsidRPr="00275F43">
        <w:rPr>
          <w:rFonts w:ascii="Century Gothic" w:eastAsia="Times New Roman" w:hAnsi="Century Gothic"/>
          <w:b/>
          <w:bCs/>
          <w:color w:val="FF0000"/>
          <w:sz w:val="24"/>
          <w:szCs w:val="24"/>
        </w:rPr>
        <w:t>ALL ITEMS BELOW</w:t>
      </w:r>
      <w:r w:rsidRPr="00275F43">
        <w:rPr>
          <w:rFonts w:ascii="Century Gothic" w:eastAsia="Times New Roman" w:hAnsi="Century Gothic"/>
          <w:color w:val="FF0000"/>
          <w:sz w:val="24"/>
          <w:szCs w:val="24"/>
        </w:rPr>
        <w:t xml:space="preserve"> need to i</w:t>
      </w:r>
      <w:r w:rsidR="000D6404" w:rsidRPr="00275F43">
        <w:rPr>
          <w:rFonts w:ascii="Century Gothic" w:eastAsia="Times New Roman" w:hAnsi="Century Gothic"/>
          <w:color w:val="FF0000"/>
          <w:sz w:val="24"/>
          <w:szCs w:val="24"/>
        </w:rPr>
        <w:t>nclude how the costs were established. For example, include estimated hours and rates and how these two items were derived.  Historical data, similar project, RS means, research</w:t>
      </w:r>
      <w:r w:rsidR="004B65A0" w:rsidRPr="00275F43">
        <w:rPr>
          <w:rFonts w:ascii="Century Gothic" w:eastAsia="Times New Roman" w:hAnsi="Century Gothic"/>
          <w:color w:val="FF0000"/>
          <w:sz w:val="24"/>
          <w:szCs w:val="24"/>
        </w:rPr>
        <w:t xml:space="preserve">, prior contracts, glass ceiling, </w:t>
      </w:r>
      <w:r w:rsidR="000D6404" w:rsidRPr="00275F43">
        <w:rPr>
          <w:rFonts w:ascii="Century Gothic" w:eastAsia="Times New Roman" w:hAnsi="Century Gothic"/>
          <w:color w:val="FF0000"/>
          <w:sz w:val="24"/>
          <w:szCs w:val="24"/>
        </w:rPr>
        <w:t>etc</w:t>
      </w:r>
      <w:r w:rsidR="001A62F8" w:rsidRPr="00275F43">
        <w:rPr>
          <w:rFonts w:ascii="Century Gothic" w:eastAsia="Times New Roman" w:hAnsi="Century Gothic"/>
          <w:color w:val="FF0000"/>
          <w:sz w:val="24"/>
          <w:szCs w:val="24"/>
        </w:rPr>
        <w:t>.</w:t>
      </w:r>
      <w:r w:rsidR="000D6404" w:rsidRPr="00275F43">
        <w:rPr>
          <w:rFonts w:ascii="Century Gothic" w:eastAsia="Times New Roman" w:hAnsi="Century Gothic"/>
          <w:color w:val="FF0000"/>
          <w:sz w:val="24"/>
          <w:szCs w:val="24"/>
        </w:rPr>
        <w:t xml:space="preserve"> should be </w:t>
      </w:r>
      <w:r w:rsidR="004B65A0" w:rsidRPr="00275F43">
        <w:rPr>
          <w:rFonts w:ascii="Century Gothic" w:eastAsia="Times New Roman" w:hAnsi="Century Gothic"/>
          <w:color w:val="FF0000"/>
          <w:sz w:val="24"/>
          <w:szCs w:val="24"/>
        </w:rPr>
        <w:t>captured below</w:t>
      </w:r>
      <w:r w:rsidR="000D6404" w:rsidRPr="00275F43">
        <w:rPr>
          <w:rFonts w:ascii="Century Gothic" w:eastAsia="Times New Roman" w:hAnsi="Century Gothic"/>
          <w:color w:val="FF0000"/>
          <w:sz w:val="24"/>
          <w:szCs w:val="24"/>
        </w:rPr>
        <w:t xml:space="preserve"> when used to establish the estimated costs.</w:t>
      </w:r>
    </w:p>
    <w:p w14:paraId="539BD30B" w14:textId="1BFC36A6" w:rsidR="00581D18" w:rsidRPr="00275F43" w:rsidRDefault="00581D18" w:rsidP="001A62F8">
      <w:pPr>
        <w:spacing w:after="40" w:line="240" w:lineRule="auto"/>
        <w:contextualSpacing/>
        <w:rPr>
          <w:rFonts w:ascii="Century Gothic" w:eastAsia="Times New Roman" w:hAnsi="Century Gothic"/>
          <w:color w:val="FF0000"/>
          <w:sz w:val="24"/>
          <w:szCs w:val="24"/>
        </w:rPr>
      </w:pPr>
    </w:p>
    <w:p w14:paraId="35C93621" w14:textId="16C16180" w:rsidR="00581D18" w:rsidRPr="00275F43" w:rsidRDefault="00581D18" w:rsidP="001A62F8">
      <w:pPr>
        <w:spacing w:after="40" w:line="240" w:lineRule="auto"/>
        <w:contextualSpacing/>
        <w:rPr>
          <w:rFonts w:ascii="Century Gothic" w:eastAsia="Times New Roman" w:hAnsi="Century Gothic"/>
          <w:color w:val="FF0000"/>
          <w:sz w:val="24"/>
          <w:szCs w:val="24"/>
        </w:rPr>
      </w:pPr>
      <w:r w:rsidRPr="00275F43">
        <w:rPr>
          <w:rFonts w:ascii="Century Gothic" w:eastAsia="Times New Roman" w:hAnsi="Century Gothic"/>
          <w:color w:val="FF0000"/>
          <w:sz w:val="24"/>
          <w:szCs w:val="24"/>
        </w:rPr>
        <w:t xml:space="preserve">Only use the examples that make sense for the </w:t>
      </w:r>
      <w:proofErr w:type="spellStart"/>
      <w:r w:rsidRPr="00275F43">
        <w:rPr>
          <w:rFonts w:ascii="Century Gothic" w:eastAsia="Times New Roman" w:hAnsi="Century Gothic"/>
          <w:color w:val="FF0000"/>
          <w:sz w:val="24"/>
          <w:szCs w:val="24"/>
        </w:rPr>
        <w:t>subapplication</w:t>
      </w:r>
      <w:proofErr w:type="spellEnd"/>
      <w:r w:rsidRPr="00275F43">
        <w:rPr>
          <w:rFonts w:ascii="Century Gothic" w:eastAsia="Times New Roman" w:hAnsi="Century Gothic"/>
          <w:color w:val="FF0000"/>
          <w:sz w:val="24"/>
          <w:szCs w:val="24"/>
        </w:rPr>
        <w:t xml:space="preserve"> (project) being submitted. This is a template to be customized and submitted with the </w:t>
      </w:r>
      <w:proofErr w:type="spellStart"/>
      <w:r w:rsidRPr="00275F43">
        <w:rPr>
          <w:rFonts w:ascii="Century Gothic" w:eastAsia="Times New Roman" w:hAnsi="Century Gothic"/>
          <w:color w:val="FF0000"/>
          <w:sz w:val="24"/>
          <w:szCs w:val="24"/>
        </w:rPr>
        <w:t>subapplication</w:t>
      </w:r>
      <w:proofErr w:type="spellEnd"/>
      <w:r w:rsidRPr="00275F43">
        <w:rPr>
          <w:rFonts w:ascii="Century Gothic" w:eastAsia="Times New Roman" w:hAnsi="Century Gothic"/>
          <w:color w:val="FF0000"/>
          <w:sz w:val="24"/>
          <w:szCs w:val="24"/>
        </w:rPr>
        <w:t xml:space="preserve"> in </w:t>
      </w:r>
      <w:r w:rsidR="007D0BF2">
        <w:rPr>
          <w:rFonts w:ascii="Century Gothic" w:eastAsia="Times New Roman" w:hAnsi="Century Gothic"/>
          <w:color w:val="FF0000"/>
          <w:sz w:val="24"/>
          <w:szCs w:val="24"/>
        </w:rPr>
        <w:t>the Engage Portal</w:t>
      </w:r>
      <w:r w:rsidRPr="00275F43">
        <w:rPr>
          <w:rFonts w:ascii="Century Gothic" w:eastAsia="Times New Roman" w:hAnsi="Century Gothic"/>
          <w:color w:val="FF0000"/>
          <w:sz w:val="24"/>
          <w:szCs w:val="24"/>
        </w:rPr>
        <w:t xml:space="preserve">. </w:t>
      </w:r>
      <w:r w:rsidR="00B35964" w:rsidRPr="00210FFE">
        <w:rPr>
          <w:rFonts w:ascii="Century Gothic" w:eastAsia="Times New Roman" w:hAnsi="Century Gothic"/>
          <w:b/>
          <w:bCs/>
          <w:color w:val="FF0000"/>
          <w:sz w:val="24"/>
          <w:szCs w:val="24"/>
          <w:u w:val="single"/>
        </w:rPr>
        <w:t>Please remove these instructions and non-relevant information when submitting this document.</w:t>
      </w:r>
      <w:r w:rsidR="00B35964" w:rsidRPr="00275F43">
        <w:rPr>
          <w:rFonts w:ascii="Century Gothic" w:eastAsia="Times New Roman" w:hAnsi="Century Gothic"/>
          <w:color w:val="FF0000"/>
          <w:sz w:val="24"/>
          <w:szCs w:val="24"/>
        </w:rPr>
        <w:t xml:space="preserve"> </w:t>
      </w:r>
    </w:p>
    <w:p w14:paraId="273253CB" w14:textId="77777777" w:rsidR="001A62F8" w:rsidRPr="005D5391" w:rsidRDefault="001A62F8" w:rsidP="001A62F8">
      <w:pPr>
        <w:spacing w:after="4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</w:p>
    <w:p w14:paraId="4E1459A3" w14:textId="13D74532" w:rsidR="00C07849" w:rsidRPr="002746A9" w:rsidRDefault="00B37DDF" w:rsidP="002746A9">
      <w:pPr>
        <w:pStyle w:val="Heading3"/>
        <w:pBdr>
          <w:bottom w:val="single" w:sz="8" w:space="1" w:color="013466"/>
        </w:pBdr>
        <w:rPr>
          <w:rFonts w:ascii="Century Gothic" w:hAnsi="Century Gothic"/>
          <w:color w:val="013466"/>
        </w:rPr>
      </w:pPr>
      <w:r w:rsidRPr="002746A9">
        <w:rPr>
          <w:rFonts w:ascii="Century Gothic" w:hAnsi="Century Gothic"/>
          <w:color w:val="013466"/>
        </w:rPr>
        <w:t>Pre-Award</w:t>
      </w:r>
    </w:p>
    <w:p w14:paraId="66860D0E" w14:textId="77777777" w:rsidR="002746A9" w:rsidRPr="002746A9" w:rsidRDefault="002746A9" w:rsidP="002746A9">
      <w:pPr>
        <w:spacing w:after="0" w:line="240" w:lineRule="auto"/>
        <w:rPr>
          <w:rFonts w:ascii="Century Gothic" w:eastAsia="Times New Roman" w:hAnsi="Century Gothic"/>
          <w:sz w:val="6"/>
          <w:szCs w:val="6"/>
        </w:rPr>
      </w:pPr>
    </w:p>
    <w:p w14:paraId="13ED55F4" w14:textId="1DF08D4F" w:rsidR="00EF3B06" w:rsidRDefault="00B172D1" w:rsidP="001A62F8">
      <w:pPr>
        <w:spacing w:after="4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Pre-award c</w:t>
      </w:r>
      <w:r w:rsidR="00BC1FFC">
        <w:rPr>
          <w:rFonts w:ascii="Century Gothic" w:eastAsia="Times New Roman" w:hAnsi="Century Gothic"/>
          <w:sz w:val="24"/>
          <w:szCs w:val="24"/>
        </w:rPr>
        <w:t>osts</w:t>
      </w:r>
      <w:r>
        <w:rPr>
          <w:rFonts w:ascii="Century Gothic" w:eastAsia="Times New Roman" w:hAnsi="Century Gothic"/>
          <w:sz w:val="24"/>
          <w:szCs w:val="24"/>
        </w:rPr>
        <w:t xml:space="preserve"> are those</w:t>
      </w:r>
      <w:r w:rsidR="00BC1FFC">
        <w:rPr>
          <w:rFonts w:ascii="Century Gothic" w:eastAsia="Times New Roman" w:hAnsi="Century Gothic"/>
          <w:sz w:val="24"/>
          <w:szCs w:val="24"/>
        </w:rPr>
        <w:t xml:space="preserve"> </w:t>
      </w:r>
      <w:r w:rsidR="00053849">
        <w:rPr>
          <w:rFonts w:ascii="Century Gothic" w:eastAsia="Times New Roman" w:hAnsi="Century Gothic"/>
          <w:sz w:val="24"/>
          <w:szCs w:val="24"/>
        </w:rPr>
        <w:t>incurred</w:t>
      </w:r>
      <w:r w:rsidR="00BC1FFC">
        <w:rPr>
          <w:rFonts w:ascii="Century Gothic" w:eastAsia="Times New Roman" w:hAnsi="Century Gothic"/>
          <w:sz w:val="24"/>
          <w:szCs w:val="24"/>
        </w:rPr>
        <w:t xml:space="preserve"> </w:t>
      </w:r>
      <w:r w:rsidR="00A77E2B">
        <w:rPr>
          <w:rFonts w:ascii="Century Gothic" w:eastAsia="Times New Roman" w:hAnsi="Century Gothic"/>
          <w:sz w:val="24"/>
          <w:szCs w:val="24"/>
        </w:rPr>
        <w:t>after</w:t>
      </w:r>
      <w:r w:rsidR="00094289">
        <w:rPr>
          <w:rFonts w:ascii="Century Gothic" w:eastAsia="Times New Roman" w:hAnsi="Century Gothic"/>
          <w:sz w:val="24"/>
          <w:szCs w:val="24"/>
        </w:rPr>
        <w:t xml:space="preserve"> the </w:t>
      </w:r>
      <w:r w:rsidR="00A77E2B">
        <w:rPr>
          <w:rFonts w:ascii="Century Gothic" w:eastAsia="Times New Roman" w:hAnsi="Century Gothic"/>
          <w:sz w:val="24"/>
          <w:szCs w:val="24"/>
        </w:rPr>
        <w:t xml:space="preserve">disaster </w:t>
      </w:r>
      <w:r w:rsidR="00094289">
        <w:rPr>
          <w:rFonts w:ascii="Century Gothic" w:eastAsia="Times New Roman" w:hAnsi="Century Gothic"/>
          <w:sz w:val="24"/>
          <w:szCs w:val="24"/>
        </w:rPr>
        <w:t>declaration date (</w:t>
      </w:r>
      <w:r w:rsidR="003C63D1">
        <w:rPr>
          <w:rFonts w:ascii="Century Gothic" w:eastAsia="Times New Roman" w:hAnsi="Century Gothic"/>
          <w:sz w:val="24"/>
          <w:szCs w:val="24"/>
        </w:rPr>
        <w:t>January</w:t>
      </w:r>
      <w:r w:rsidR="0039414E">
        <w:rPr>
          <w:rFonts w:ascii="Century Gothic" w:eastAsia="Times New Roman" w:hAnsi="Century Gothic"/>
          <w:sz w:val="24"/>
          <w:szCs w:val="24"/>
        </w:rPr>
        <w:t xml:space="preserve"> </w:t>
      </w:r>
      <w:r w:rsidR="003C63D1">
        <w:rPr>
          <w:rFonts w:ascii="Century Gothic" w:eastAsia="Times New Roman" w:hAnsi="Century Gothic"/>
          <w:sz w:val="24"/>
          <w:szCs w:val="24"/>
        </w:rPr>
        <w:t>8</w:t>
      </w:r>
      <w:r w:rsidR="0039414E">
        <w:rPr>
          <w:rFonts w:ascii="Century Gothic" w:eastAsia="Times New Roman" w:hAnsi="Century Gothic"/>
          <w:sz w:val="24"/>
          <w:szCs w:val="24"/>
        </w:rPr>
        <w:t>, 202</w:t>
      </w:r>
      <w:r w:rsidR="003C63D1">
        <w:rPr>
          <w:rFonts w:ascii="Century Gothic" w:eastAsia="Times New Roman" w:hAnsi="Century Gothic"/>
          <w:sz w:val="24"/>
          <w:szCs w:val="24"/>
        </w:rPr>
        <w:t>5</w:t>
      </w:r>
      <w:r w:rsidR="00094289">
        <w:rPr>
          <w:rFonts w:ascii="Century Gothic" w:eastAsia="Times New Roman" w:hAnsi="Century Gothic"/>
          <w:sz w:val="24"/>
          <w:szCs w:val="24"/>
        </w:rPr>
        <w:t>)</w:t>
      </w:r>
      <w:r w:rsidR="00A77E2B">
        <w:rPr>
          <w:rFonts w:ascii="Century Gothic" w:eastAsia="Times New Roman" w:hAnsi="Century Gothic"/>
          <w:sz w:val="24"/>
          <w:szCs w:val="24"/>
        </w:rPr>
        <w:t xml:space="preserve"> and prior </w:t>
      </w:r>
      <w:r>
        <w:rPr>
          <w:rFonts w:ascii="Century Gothic" w:eastAsia="Times New Roman" w:hAnsi="Century Gothic"/>
          <w:sz w:val="24"/>
          <w:szCs w:val="24"/>
        </w:rPr>
        <w:t>to the grant being awarded.</w:t>
      </w:r>
      <w:r w:rsidR="00094289">
        <w:rPr>
          <w:rFonts w:ascii="Century Gothic" w:eastAsia="Times New Roman" w:hAnsi="Century Gothic"/>
          <w:sz w:val="24"/>
          <w:szCs w:val="24"/>
        </w:rPr>
        <w:t xml:space="preserve"> </w:t>
      </w:r>
      <w:r w:rsidR="00EF3B06" w:rsidRPr="00485A11">
        <w:rPr>
          <w:rFonts w:ascii="Century Gothic" w:eastAsia="Times New Roman" w:hAnsi="Century Gothic"/>
          <w:sz w:val="24"/>
          <w:szCs w:val="24"/>
        </w:rPr>
        <w:t xml:space="preserve">Pre-award </w:t>
      </w:r>
      <w:proofErr w:type="spellStart"/>
      <w:r w:rsidR="00EF3B06" w:rsidRPr="00485A11">
        <w:rPr>
          <w:rFonts w:ascii="Century Gothic" w:eastAsia="Times New Roman" w:hAnsi="Century Gothic"/>
          <w:sz w:val="24"/>
          <w:szCs w:val="24"/>
        </w:rPr>
        <w:t>subapplication</w:t>
      </w:r>
      <w:proofErr w:type="spellEnd"/>
      <w:r w:rsidR="00EF3B06" w:rsidRPr="00485A11">
        <w:rPr>
          <w:rFonts w:ascii="Century Gothic" w:eastAsia="Times New Roman" w:hAnsi="Century Gothic"/>
          <w:sz w:val="24"/>
          <w:szCs w:val="24"/>
        </w:rPr>
        <w:t xml:space="preserve"> development </w:t>
      </w:r>
      <w:r w:rsidR="00EB5776" w:rsidRPr="00485A11">
        <w:rPr>
          <w:rFonts w:ascii="Century Gothic" w:eastAsia="Times New Roman" w:hAnsi="Century Gothic"/>
          <w:sz w:val="24"/>
          <w:szCs w:val="24"/>
        </w:rPr>
        <w:t xml:space="preserve">costs </w:t>
      </w:r>
      <w:r w:rsidR="00EB5776" w:rsidRPr="005D3E62">
        <w:rPr>
          <w:rFonts w:ascii="Century Gothic" w:eastAsia="Times New Roman" w:hAnsi="Century Gothic"/>
          <w:b/>
          <w:bCs/>
          <w:sz w:val="24"/>
          <w:szCs w:val="24"/>
        </w:rPr>
        <w:t>MUST</w:t>
      </w:r>
      <w:r w:rsidR="00EB5776" w:rsidRPr="00485A11">
        <w:rPr>
          <w:rFonts w:ascii="Century Gothic" w:eastAsia="Times New Roman" w:hAnsi="Century Gothic"/>
          <w:sz w:val="24"/>
          <w:szCs w:val="24"/>
        </w:rPr>
        <w:t xml:space="preserve"> be</w:t>
      </w:r>
      <w:r w:rsidR="00EF3B06" w:rsidRPr="00485A11">
        <w:rPr>
          <w:rFonts w:ascii="Century Gothic" w:eastAsia="Times New Roman" w:hAnsi="Century Gothic"/>
          <w:sz w:val="24"/>
          <w:szCs w:val="24"/>
        </w:rPr>
        <w:t xml:space="preserve"> in the management costs </w:t>
      </w:r>
      <w:proofErr w:type="spellStart"/>
      <w:r w:rsidR="00EF3B06" w:rsidRPr="00485A11">
        <w:rPr>
          <w:rFonts w:ascii="Century Gothic" w:eastAsia="Times New Roman" w:hAnsi="Century Gothic"/>
          <w:sz w:val="24"/>
          <w:szCs w:val="24"/>
        </w:rPr>
        <w:t>subapplication</w:t>
      </w:r>
      <w:proofErr w:type="spellEnd"/>
      <w:r w:rsidR="00EB5776" w:rsidRPr="00485A11">
        <w:rPr>
          <w:rFonts w:ascii="Century Gothic" w:eastAsia="Times New Roman" w:hAnsi="Century Gothic"/>
          <w:sz w:val="24"/>
          <w:szCs w:val="24"/>
        </w:rPr>
        <w:t xml:space="preserve"> (see management cost section</w:t>
      </w:r>
      <w:r w:rsidR="00581D18">
        <w:rPr>
          <w:rFonts w:ascii="Century Gothic" w:eastAsia="Times New Roman" w:hAnsi="Century Gothic"/>
          <w:sz w:val="24"/>
          <w:szCs w:val="24"/>
        </w:rPr>
        <w:t xml:space="preserve">). Pre-award costs to be listed in the project budget below could </w:t>
      </w:r>
      <w:r w:rsidR="00210FFE">
        <w:rPr>
          <w:rFonts w:ascii="Century Gothic" w:eastAsia="Times New Roman" w:hAnsi="Century Gothic"/>
          <w:sz w:val="24"/>
          <w:szCs w:val="24"/>
        </w:rPr>
        <w:t xml:space="preserve">include </w:t>
      </w:r>
      <w:r w:rsidR="00581D18">
        <w:rPr>
          <w:rFonts w:ascii="Century Gothic" w:eastAsia="Times New Roman" w:hAnsi="Century Gothic"/>
          <w:sz w:val="24"/>
          <w:szCs w:val="24"/>
        </w:rPr>
        <w:t>design work.</w:t>
      </w:r>
      <w:r w:rsidR="00FE3CB4">
        <w:rPr>
          <w:rFonts w:ascii="Century Gothic" w:eastAsia="Times New Roman" w:hAnsi="Century Gothic"/>
          <w:sz w:val="24"/>
          <w:szCs w:val="24"/>
        </w:rPr>
        <w:t xml:space="preserve"> Pre-award costs are only reimbursed if the grant is </w:t>
      </w:r>
      <w:r w:rsidR="00246011">
        <w:rPr>
          <w:rFonts w:ascii="Century Gothic" w:eastAsia="Times New Roman" w:hAnsi="Century Gothic"/>
          <w:sz w:val="24"/>
          <w:szCs w:val="24"/>
        </w:rPr>
        <w:t>funded,</w:t>
      </w:r>
      <w:r w:rsidR="00FE3CB4">
        <w:rPr>
          <w:rFonts w:ascii="Century Gothic" w:eastAsia="Times New Roman" w:hAnsi="Century Gothic"/>
          <w:sz w:val="24"/>
          <w:szCs w:val="24"/>
        </w:rPr>
        <w:t xml:space="preserve"> and the work was procured in compliance with 2 CFR 200. </w:t>
      </w:r>
      <w:r w:rsidR="00581D18">
        <w:rPr>
          <w:rFonts w:ascii="Century Gothic" w:eastAsia="Times New Roman" w:hAnsi="Century Gothic"/>
          <w:sz w:val="24"/>
          <w:szCs w:val="24"/>
        </w:rPr>
        <w:t xml:space="preserve"> </w:t>
      </w:r>
      <w:r w:rsidR="00EF3B06" w:rsidRPr="00485A11">
        <w:rPr>
          <w:rFonts w:ascii="Century Gothic" w:eastAsia="Times New Roman" w:hAnsi="Century Gothic"/>
          <w:sz w:val="24"/>
          <w:szCs w:val="24"/>
        </w:rPr>
        <w:t xml:space="preserve"> </w:t>
      </w:r>
    </w:p>
    <w:p w14:paraId="79BCB127" w14:textId="77777777" w:rsidR="001A62F8" w:rsidRPr="002746A9" w:rsidRDefault="001A62F8" w:rsidP="001A62F8">
      <w:pPr>
        <w:spacing w:after="4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</w:p>
    <w:p w14:paraId="7C884C8A" w14:textId="6E4545F6" w:rsidR="00EF3B06" w:rsidRPr="007951DE" w:rsidRDefault="00EF3B06" w:rsidP="002746A9">
      <w:pPr>
        <w:pStyle w:val="Heading5"/>
        <w:spacing w:before="0"/>
        <w:rPr>
          <w:color w:val="auto"/>
        </w:rPr>
      </w:pPr>
      <w:r w:rsidRPr="00485A11">
        <w:rPr>
          <w:color w:val="auto"/>
        </w:rPr>
        <w:t>Examples:</w:t>
      </w:r>
    </w:p>
    <w:p w14:paraId="7299EE31" w14:textId="77777777" w:rsidR="002746A9" w:rsidRPr="002746A9" w:rsidRDefault="002746A9" w:rsidP="002746A9">
      <w:pPr>
        <w:spacing w:after="80" w:line="240" w:lineRule="auto"/>
        <w:contextualSpacing/>
        <w:rPr>
          <w:sz w:val="6"/>
          <w:szCs w:val="6"/>
        </w:rPr>
      </w:pPr>
    </w:p>
    <w:p w14:paraId="2AE2AB85" w14:textId="54DACD3B" w:rsidR="00AC6567" w:rsidRPr="002378A7" w:rsidRDefault="00AC6567" w:rsidP="001A62F8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788E5CB6" w14:textId="134163AD" w:rsidR="00AC6567" w:rsidRDefault="00AC6567" w:rsidP="00AC6567">
      <w:pPr>
        <w:spacing w:after="8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Pre-Award: </w:t>
      </w:r>
      <w:r>
        <w:rPr>
          <w:rFonts w:ascii="Century Gothic" w:hAnsi="Century Gothic"/>
          <w:b/>
          <w:bCs/>
          <w:color w:val="015E90"/>
        </w:rPr>
        <w:t>Design Completion – 60%</w:t>
      </w:r>
    </w:p>
    <w:p w14:paraId="0887ACEE" w14:textId="77777777" w:rsidR="00AC6567" w:rsidRPr="00801962" w:rsidRDefault="00AC6567" w:rsidP="00AC6567">
      <w:pPr>
        <w:spacing w:after="80" w:line="240" w:lineRule="auto"/>
        <w:contextualSpacing/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5801CED9" w14:textId="77777777" w:rsidR="00AC6567" w:rsidRPr="005D5391" w:rsidRDefault="00AC6567" w:rsidP="00AC6567">
      <w:pPr>
        <w:spacing w:after="80" w:line="240" w:lineRule="auto"/>
        <w:contextualSpacing/>
        <w:rPr>
          <w:rFonts w:ascii="Century Gothic" w:hAnsi="Century Gothic"/>
          <w:sz w:val="6"/>
          <w:szCs w:val="6"/>
        </w:rPr>
      </w:pPr>
    </w:p>
    <w:p w14:paraId="58693100" w14:textId="14971FF7" w:rsidR="00AC6567" w:rsidRDefault="00AC6567" w:rsidP="00AC6567">
      <w:pPr>
        <w:spacing w:after="40" w:line="240" w:lineRule="auto"/>
        <w:contextualSpacing/>
        <w:rPr>
          <w:rFonts w:ascii="Century Gothic" w:hAnsi="Century Gothic"/>
        </w:rPr>
      </w:pPr>
      <w:r w:rsidRPr="00723067">
        <w:rPr>
          <w:rFonts w:ascii="Century Gothic" w:hAnsi="Century Gothic"/>
        </w:rPr>
        <w:t xml:space="preserve">Internal staff (or consultant) time to develop the </w:t>
      </w:r>
      <w:r>
        <w:rPr>
          <w:rFonts w:ascii="Century Gothic" w:hAnsi="Century Gothic"/>
        </w:rPr>
        <w:t>BRIC/FMA</w:t>
      </w:r>
      <w:r w:rsidRPr="00723067">
        <w:rPr>
          <w:rFonts w:ascii="Century Gothic" w:hAnsi="Century Gothic"/>
        </w:rPr>
        <w:t xml:space="preserve"> project </w:t>
      </w:r>
      <w:r>
        <w:rPr>
          <w:rFonts w:ascii="Century Gothic" w:hAnsi="Century Gothic"/>
        </w:rPr>
        <w:t>designs.</w:t>
      </w:r>
    </w:p>
    <w:p w14:paraId="5689A27E" w14:textId="77777777" w:rsidR="00AC6567" w:rsidRPr="005D5391" w:rsidRDefault="00AC6567" w:rsidP="00AC6567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792B9F46" w14:textId="77777777" w:rsidR="00AC6567" w:rsidRPr="00723067" w:rsidRDefault="00AC6567" w:rsidP="00AC6567">
      <w:pPr>
        <w:spacing w:after="4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198A4907" w14:textId="77777777" w:rsidR="00AC6567" w:rsidRDefault="00AC6567" w:rsidP="00AC6567">
      <w:pPr>
        <w:spacing w:after="40" w:line="240" w:lineRule="auto"/>
        <w:contextualSpacing/>
        <w:rPr>
          <w:rFonts w:ascii="Century Gothic" w:hAnsi="Century Gothic"/>
        </w:rPr>
      </w:pPr>
      <w:r w:rsidRPr="00723067">
        <w:rPr>
          <w:rFonts w:ascii="Century Gothic" w:hAnsi="Century Gothic"/>
        </w:rPr>
        <w:t>If consultant, include contract amount.</w:t>
      </w:r>
    </w:p>
    <w:p w14:paraId="1A4A5CBB" w14:textId="77777777" w:rsidR="005D5391" w:rsidRPr="00723067" w:rsidRDefault="005D5391" w:rsidP="005D5391">
      <w:pPr>
        <w:spacing w:after="40" w:line="240" w:lineRule="auto"/>
        <w:contextualSpacing/>
        <w:rPr>
          <w:rFonts w:ascii="Century Gothic" w:hAnsi="Century Gothic"/>
        </w:rPr>
      </w:pPr>
    </w:p>
    <w:p w14:paraId="3C105C8C" w14:textId="658BFD37" w:rsidR="00B37DDF" w:rsidRPr="005D5391" w:rsidRDefault="00B37DDF" w:rsidP="005D5391">
      <w:pPr>
        <w:pStyle w:val="Heading3"/>
        <w:pBdr>
          <w:bottom w:val="single" w:sz="8" w:space="1" w:color="013466"/>
        </w:pBdr>
        <w:rPr>
          <w:rFonts w:ascii="Century Gothic" w:hAnsi="Century Gothic"/>
          <w:color w:val="013466"/>
        </w:rPr>
      </w:pPr>
      <w:r w:rsidRPr="005D5391">
        <w:rPr>
          <w:rFonts w:ascii="Century Gothic" w:hAnsi="Century Gothic"/>
          <w:color w:val="013466"/>
        </w:rPr>
        <w:t xml:space="preserve">Post Award </w:t>
      </w:r>
    </w:p>
    <w:p w14:paraId="45680731" w14:textId="1681406F" w:rsidR="005D5391" w:rsidRDefault="00EF3B06" w:rsidP="001A62F8">
      <w:pPr>
        <w:spacing w:after="4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r w:rsidRPr="005D5391">
        <w:rPr>
          <w:rFonts w:ascii="Century Gothic" w:eastAsia="Times New Roman" w:hAnsi="Century Gothic"/>
          <w:sz w:val="24"/>
          <w:szCs w:val="24"/>
        </w:rPr>
        <w:t xml:space="preserve">This section should provide detailed narrative for all remaining cost items outside “Pre-Award”. These items should be corresponding order to the project cost estimate / </w:t>
      </w:r>
      <w:proofErr w:type="spellStart"/>
      <w:r w:rsidRPr="005D5391">
        <w:rPr>
          <w:rFonts w:ascii="Century Gothic" w:eastAsia="Times New Roman" w:hAnsi="Century Gothic"/>
          <w:sz w:val="24"/>
          <w:szCs w:val="24"/>
        </w:rPr>
        <w:t>subapplication</w:t>
      </w:r>
      <w:proofErr w:type="spellEnd"/>
      <w:r w:rsidRPr="005D5391">
        <w:rPr>
          <w:rFonts w:ascii="Century Gothic" w:eastAsia="Times New Roman" w:hAnsi="Century Gothic"/>
          <w:sz w:val="24"/>
          <w:szCs w:val="24"/>
        </w:rPr>
        <w:t xml:space="preserve"> budget and contain the same title. If this is a phased project, this section should be divided into Phase 1 and Phase 2 as recorded in your </w:t>
      </w:r>
      <w:proofErr w:type="spellStart"/>
      <w:r w:rsidRPr="005D5391">
        <w:rPr>
          <w:rFonts w:ascii="Century Gothic" w:eastAsia="Times New Roman" w:hAnsi="Century Gothic"/>
          <w:sz w:val="24"/>
          <w:szCs w:val="24"/>
        </w:rPr>
        <w:t>subapplication</w:t>
      </w:r>
      <w:proofErr w:type="spellEnd"/>
      <w:r w:rsidRPr="005D5391">
        <w:rPr>
          <w:rFonts w:ascii="Century Gothic" w:eastAsia="Times New Roman" w:hAnsi="Century Gothic"/>
          <w:sz w:val="24"/>
          <w:szCs w:val="24"/>
        </w:rPr>
        <w:t>.</w:t>
      </w:r>
      <w:r w:rsidR="00E279A0" w:rsidRPr="005D5391">
        <w:rPr>
          <w:rFonts w:ascii="Century Gothic" w:eastAsia="Times New Roman" w:hAnsi="Century Gothic"/>
          <w:sz w:val="24"/>
          <w:szCs w:val="24"/>
        </w:rPr>
        <w:t xml:space="preserve"> </w:t>
      </w:r>
    </w:p>
    <w:p w14:paraId="7791A515" w14:textId="297710C4" w:rsidR="00CA1284" w:rsidRDefault="00CA1284" w:rsidP="001A62F8">
      <w:pPr>
        <w:spacing w:after="4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</w:p>
    <w:p w14:paraId="78CA3BFE" w14:textId="3EF3C80D" w:rsidR="001A62F8" w:rsidRPr="005D5391" w:rsidRDefault="00CA1284" w:rsidP="001A62F8">
      <w:pPr>
        <w:spacing w:after="4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r w:rsidRPr="00CA1284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 All vendors must be procured in line with 2 CFR 200, State, and local procurement policies, most stringent applies.</w:t>
      </w:r>
    </w:p>
    <w:p w14:paraId="627EEF60" w14:textId="738CC822" w:rsidR="005D5391" w:rsidRDefault="006E554C" w:rsidP="005D5391">
      <w:pPr>
        <w:pStyle w:val="Heading5"/>
        <w:spacing w:before="0" w:after="40" w:line="240" w:lineRule="auto"/>
        <w:contextualSpacing/>
        <w:rPr>
          <w:color w:val="auto"/>
        </w:rPr>
      </w:pPr>
      <w:r w:rsidRPr="005D5391">
        <w:rPr>
          <w:color w:val="auto"/>
        </w:rPr>
        <w:lastRenderedPageBreak/>
        <w:t>Examples:</w:t>
      </w:r>
    </w:p>
    <w:p w14:paraId="7E7461DE" w14:textId="77777777" w:rsidR="00CB1085" w:rsidRPr="00737520" w:rsidRDefault="00CB1085" w:rsidP="008D5EF4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245A0ED9" w14:textId="7F83CDA0" w:rsidR="008D5EF4" w:rsidRDefault="008D5EF4" w:rsidP="008D5EF4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>Phase 1: Project Management</w:t>
      </w:r>
    </w:p>
    <w:p w14:paraId="2DF850EF" w14:textId="77777777" w:rsidR="008D5EF4" w:rsidRPr="00801962" w:rsidRDefault="008D5EF4" w:rsidP="008D5EF4">
      <w:pPr>
        <w:spacing w:after="40" w:line="240" w:lineRule="auto"/>
        <w:contextualSpacing/>
        <w:rPr>
          <w:rFonts w:ascii="Century Gothic" w:hAnsi="Century Gothic"/>
          <w:b/>
          <w:bCs/>
          <w:color w:val="000636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2A4599D9" w14:textId="77777777" w:rsidR="008D5EF4" w:rsidRPr="005D5391" w:rsidRDefault="008D5EF4" w:rsidP="008D5EF4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4B2BD613" w14:textId="24C43301" w:rsidR="008D5EF4" w:rsidRDefault="008D5EF4" w:rsidP="008D5EF4">
      <w:pPr>
        <w:spacing w:after="40" w:line="240" w:lineRule="auto"/>
        <w:contextualSpacing/>
        <w:rPr>
          <w:rFonts w:ascii="Century Gothic" w:hAnsi="Century Gothic"/>
        </w:rPr>
      </w:pPr>
      <w:r w:rsidRPr="00723067">
        <w:rPr>
          <w:rFonts w:ascii="Century Gothic" w:hAnsi="Century Gothic"/>
        </w:rPr>
        <w:t xml:space="preserve">Internal Staff (or procured contractor) to manage the overall project. Duties of the project management team will include but not limited </w:t>
      </w:r>
      <w:proofErr w:type="gramStart"/>
      <w:r w:rsidRPr="00723067">
        <w:rPr>
          <w:rFonts w:ascii="Century Gothic" w:hAnsi="Century Gothic"/>
        </w:rPr>
        <w:t>to:</w:t>
      </w:r>
      <w:proofErr w:type="gramEnd"/>
      <w:r w:rsidRPr="00723067">
        <w:rPr>
          <w:rFonts w:ascii="Century Gothic" w:hAnsi="Century Gothic"/>
        </w:rPr>
        <w:t xml:space="preserve"> overall project coordination,</w:t>
      </w:r>
      <w:r w:rsidR="00A8341E">
        <w:rPr>
          <w:rFonts w:ascii="Century Gothic" w:hAnsi="Century Gothic"/>
        </w:rPr>
        <w:t xml:space="preserve"> review of technical deliverables, </w:t>
      </w:r>
      <w:r w:rsidRPr="00723067">
        <w:rPr>
          <w:rFonts w:ascii="Century Gothic" w:hAnsi="Century Gothic"/>
        </w:rPr>
        <w:t>scheduling, production, meetings, managing staff, IT revisions, etc.</w:t>
      </w:r>
    </w:p>
    <w:p w14:paraId="6BC0723D" w14:textId="77777777" w:rsidR="008D5EF4" w:rsidRPr="001A62F8" w:rsidRDefault="008D5EF4" w:rsidP="008D5EF4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50BAB0F9" w14:textId="5333D43D" w:rsidR="00737520" w:rsidRPr="00723067" w:rsidRDefault="008D5EF4" w:rsidP="008D5EF4">
      <w:pPr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4396FD06" w14:textId="314B2AFB" w:rsidR="003351CF" w:rsidRDefault="003351CF" w:rsidP="003351CF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Phase 1: </w:t>
      </w:r>
      <w:r>
        <w:rPr>
          <w:rFonts w:ascii="Century Gothic" w:hAnsi="Century Gothic"/>
          <w:b/>
          <w:bCs/>
          <w:color w:val="015E90"/>
        </w:rPr>
        <w:t>Engineering Design</w:t>
      </w:r>
      <w:r w:rsidR="00FF1EDD">
        <w:rPr>
          <w:rFonts w:ascii="Century Gothic" w:hAnsi="Century Gothic"/>
          <w:b/>
          <w:bCs/>
          <w:color w:val="015E90"/>
        </w:rPr>
        <w:t xml:space="preserve"> (30/60/90/100%)</w:t>
      </w:r>
    </w:p>
    <w:p w14:paraId="1275AFEA" w14:textId="77777777" w:rsidR="003351CF" w:rsidRPr="00801962" w:rsidRDefault="003351CF" w:rsidP="003351CF">
      <w:pPr>
        <w:spacing w:after="40" w:line="240" w:lineRule="auto"/>
        <w:contextualSpacing/>
        <w:rPr>
          <w:rFonts w:ascii="Century Gothic" w:hAnsi="Century Gothic"/>
          <w:b/>
          <w:bCs/>
          <w:color w:val="000636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47EA6A97" w14:textId="77777777" w:rsidR="003351CF" w:rsidRPr="005D5391" w:rsidRDefault="003351CF" w:rsidP="003351CF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5911435A" w14:textId="69AD3002" w:rsidR="003351CF" w:rsidRDefault="002439DB" w:rsidP="002439DB">
      <w:pPr>
        <w:spacing w:after="40" w:line="240" w:lineRule="auto"/>
        <w:contextualSpacing/>
        <w:rPr>
          <w:rFonts w:ascii="Century Gothic" w:hAnsi="Century Gothic"/>
        </w:rPr>
      </w:pPr>
      <w:r w:rsidRPr="002439DB">
        <w:rPr>
          <w:rFonts w:ascii="Century Gothic" w:hAnsi="Century Gothic"/>
        </w:rPr>
        <w:t>Engineering Design services will be employed to developed detailed design, plans, and specifications for</w:t>
      </w:r>
      <w:r>
        <w:rPr>
          <w:rFonts w:ascii="Century Gothic" w:hAnsi="Century Gothic"/>
        </w:rPr>
        <w:t xml:space="preserve"> </w:t>
      </w:r>
      <w:r w:rsidRPr="002439DB">
        <w:rPr>
          <w:rFonts w:ascii="Century Gothic" w:hAnsi="Century Gothic"/>
        </w:rPr>
        <w:t>the construction project, performed by the civil, geotechnical, and hydraulic engineering team. The</w:t>
      </w:r>
      <w:r>
        <w:rPr>
          <w:rFonts w:ascii="Century Gothic" w:hAnsi="Century Gothic"/>
        </w:rPr>
        <w:t xml:space="preserve"> </w:t>
      </w:r>
      <w:r w:rsidRPr="002439DB">
        <w:rPr>
          <w:rFonts w:ascii="Century Gothic" w:hAnsi="Century Gothic"/>
        </w:rPr>
        <w:t xml:space="preserve">hourly quantities and rates are based on cost proposals received by the </w:t>
      </w:r>
      <w:proofErr w:type="spellStart"/>
      <w:r w:rsidRPr="002439DB">
        <w:rPr>
          <w:rFonts w:ascii="Century Gothic" w:hAnsi="Century Gothic"/>
        </w:rPr>
        <w:t>subapplicant</w:t>
      </w:r>
      <w:proofErr w:type="spellEnd"/>
      <w:r w:rsidRPr="002439DB">
        <w:rPr>
          <w:rFonts w:ascii="Century Gothic" w:hAnsi="Century Gothic"/>
        </w:rPr>
        <w:t xml:space="preserve"> in November 2020</w:t>
      </w:r>
      <w:r>
        <w:rPr>
          <w:rFonts w:ascii="Century Gothic" w:hAnsi="Century Gothic"/>
        </w:rPr>
        <w:t xml:space="preserve"> </w:t>
      </w:r>
      <w:r w:rsidRPr="002439DB">
        <w:rPr>
          <w:rFonts w:ascii="Century Gothic" w:hAnsi="Century Gothic"/>
        </w:rPr>
        <w:t>and are consistent with historical data on the size of the project and estimated effort, as well as typical</w:t>
      </w:r>
      <w:r>
        <w:rPr>
          <w:rFonts w:ascii="Century Gothic" w:hAnsi="Century Gothic"/>
        </w:rPr>
        <w:t xml:space="preserve"> </w:t>
      </w:r>
      <w:r w:rsidRPr="002439DB">
        <w:rPr>
          <w:rFonts w:ascii="Century Gothic" w:hAnsi="Century Gothic"/>
        </w:rPr>
        <w:t>consulting rates.</w:t>
      </w:r>
    </w:p>
    <w:p w14:paraId="3417A7BA" w14:textId="77777777" w:rsidR="002439DB" w:rsidRPr="002439DB" w:rsidRDefault="002439DB" w:rsidP="002439DB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0651B4BB" w14:textId="77777777" w:rsidR="003351CF" w:rsidRPr="00723067" w:rsidRDefault="003351CF" w:rsidP="003351CF">
      <w:pPr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19E98AEB" w14:textId="54594CED" w:rsidR="00847420" w:rsidRDefault="00847420" w:rsidP="00847420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Phase 1: </w:t>
      </w:r>
      <w:r>
        <w:rPr>
          <w:rFonts w:ascii="Century Gothic" w:hAnsi="Century Gothic"/>
          <w:b/>
          <w:bCs/>
          <w:color w:val="015E90"/>
        </w:rPr>
        <w:t xml:space="preserve">Community Engagement / Stakeholder Outreach </w:t>
      </w:r>
    </w:p>
    <w:p w14:paraId="2F83219A" w14:textId="77777777" w:rsidR="00847420" w:rsidRPr="00801962" w:rsidRDefault="00847420" w:rsidP="00847420">
      <w:pPr>
        <w:spacing w:after="40" w:line="240" w:lineRule="auto"/>
        <w:contextualSpacing/>
        <w:rPr>
          <w:rFonts w:ascii="Century Gothic" w:hAnsi="Century Gothic"/>
          <w:b/>
          <w:bCs/>
          <w:color w:val="000636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54ACEEAE" w14:textId="77777777" w:rsidR="00847420" w:rsidRPr="005D5391" w:rsidRDefault="00847420" w:rsidP="00847420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094D6BF8" w14:textId="11CDA0B9" w:rsidR="00847420" w:rsidRDefault="00847420" w:rsidP="00847420">
      <w:pPr>
        <w:spacing w:after="4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proofErr w:type="spellStart"/>
      <w:r>
        <w:rPr>
          <w:rFonts w:ascii="Century Gothic" w:hAnsi="Century Gothic"/>
        </w:rPr>
        <w:t>subapplicant</w:t>
      </w:r>
      <w:proofErr w:type="spellEnd"/>
      <w:r>
        <w:rPr>
          <w:rFonts w:ascii="Century Gothic" w:hAnsi="Century Gothic"/>
        </w:rPr>
        <w:t xml:space="preserve"> </w:t>
      </w:r>
      <w:r w:rsidRPr="00511302">
        <w:rPr>
          <w:rFonts w:ascii="Century Gothic" w:hAnsi="Century Gothic"/>
        </w:rPr>
        <w:t>will</w:t>
      </w:r>
      <w:r>
        <w:rPr>
          <w:rFonts w:ascii="Century Gothic" w:hAnsi="Century Gothic"/>
        </w:rPr>
        <w:t xml:space="preserve"> hold </w:t>
      </w:r>
      <w:r w:rsidR="001A0067">
        <w:rPr>
          <w:rFonts w:ascii="Century Gothic" w:hAnsi="Century Gothic"/>
        </w:rPr>
        <w:t xml:space="preserve">3 </w:t>
      </w:r>
      <w:r>
        <w:rPr>
          <w:rFonts w:ascii="Century Gothic" w:hAnsi="Century Gothic"/>
        </w:rPr>
        <w:t>community engagement events to obtain community feedback on the project design and process</w:t>
      </w:r>
      <w:r w:rsidRPr="00511302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Community Engagement </w:t>
      </w:r>
      <w:r w:rsidRPr="00511302">
        <w:rPr>
          <w:rFonts w:ascii="Century Gothic" w:hAnsi="Century Gothic"/>
        </w:rPr>
        <w:t>Specialists will be</w:t>
      </w:r>
      <w:r>
        <w:rPr>
          <w:rFonts w:ascii="Century Gothic" w:hAnsi="Century Gothic"/>
        </w:rPr>
        <w:t xml:space="preserve"> </w:t>
      </w:r>
      <w:r w:rsidRPr="00511302">
        <w:rPr>
          <w:rFonts w:ascii="Century Gothic" w:hAnsi="Century Gothic"/>
        </w:rPr>
        <w:t>performing this work. The hourly quantities and rates are based on cost proposals received by the</w:t>
      </w:r>
      <w:r>
        <w:rPr>
          <w:rFonts w:ascii="Century Gothic" w:hAnsi="Century Gothic"/>
        </w:rPr>
        <w:t xml:space="preserve"> </w:t>
      </w:r>
      <w:proofErr w:type="spellStart"/>
      <w:r w:rsidRPr="00511302">
        <w:rPr>
          <w:rFonts w:ascii="Century Gothic" w:hAnsi="Century Gothic"/>
        </w:rPr>
        <w:t>subapplicant</w:t>
      </w:r>
      <w:proofErr w:type="spellEnd"/>
      <w:r w:rsidRPr="00511302">
        <w:rPr>
          <w:rFonts w:ascii="Century Gothic" w:hAnsi="Century Gothic"/>
        </w:rPr>
        <w:t xml:space="preserve"> in November 2020 and are consistent with historical data on the size of the project and</w:t>
      </w:r>
      <w:r>
        <w:rPr>
          <w:rFonts w:ascii="Century Gothic" w:hAnsi="Century Gothic"/>
        </w:rPr>
        <w:t xml:space="preserve"> </w:t>
      </w:r>
      <w:r w:rsidRPr="00511302">
        <w:rPr>
          <w:rFonts w:ascii="Century Gothic" w:hAnsi="Century Gothic"/>
        </w:rPr>
        <w:t>estimated effort due to the location of the project, as well as typical consulting rates.</w:t>
      </w:r>
    </w:p>
    <w:p w14:paraId="7A33CC00" w14:textId="77777777" w:rsidR="00847420" w:rsidRPr="00511302" w:rsidRDefault="00847420" w:rsidP="00847420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30262412" w14:textId="77777777" w:rsidR="00847420" w:rsidRPr="00723067" w:rsidRDefault="00847420" w:rsidP="00847420">
      <w:pPr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754C4697" w14:textId="2AE1C75D" w:rsidR="001E7120" w:rsidRDefault="001E7120" w:rsidP="001E7120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Phase 1: </w:t>
      </w:r>
      <w:r>
        <w:rPr>
          <w:rFonts w:ascii="Century Gothic" w:hAnsi="Century Gothic"/>
          <w:b/>
          <w:bCs/>
          <w:color w:val="015E90"/>
        </w:rPr>
        <w:t xml:space="preserve">Environmental </w:t>
      </w:r>
      <w:r w:rsidR="00210FFE">
        <w:rPr>
          <w:rFonts w:ascii="Century Gothic" w:hAnsi="Century Gothic"/>
          <w:b/>
          <w:bCs/>
          <w:color w:val="015E90"/>
        </w:rPr>
        <w:t xml:space="preserve">and Historic Preservation (EHP) </w:t>
      </w:r>
      <w:r>
        <w:rPr>
          <w:rFonts w:ascii="Century Gothic" w:hAnsi="Century Gothic"/>
          <w:b/>
          <w:bCs/>
          <w:color w:val="015E90"/>
        </w:rPr>
        <w:t>Review and Permitting</w:t>
      </w:r>
    </w:p>
    <w:p w14:paraId="0A3D0DB6" w14:textId="77777777" w:rsidR="001E7120" w:rsidRPr="00801962" w:rsidRDefault="001E7120" w:rsidP="001E7120">
      <w:pPr>
        <w:spacing w:after="40" w:line="240" w:lineRule="auto"/>
        <w:contextualSpacing/>
        <w:rPr>
          <w:rFonts w:ascii="Century Gothic" w:hAnsi="Century Gothic"/>
          <w:b/>
          <w:bCs/>
          <w:color w:val="000636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6343C686" w14:textId="77777777" w:rsidR="001E7120" w:rsidRPr="005D5391" w:rsidRDefault="001E7120" w:rsidP="001E7120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0D680523" w14:textId="1F403851" w:rsidR="001E7120" w:rsidRDefault="00511302" w:rsidP="00511302">
      <w:pPr>
        <w:spacing w:after="4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proofErr w:type="spellStart"/>
      <w:r>
        <w:rPr>
          <w:rFonts w:ascii="Century Gothic" w:hAnsi="Century Gothic"/>
        </w:rPr>
        <w:t>subapplicant</w:t>
      </w:r>
      <w:proofErr w:type="spellEnd"/>
      <w:r>
        <w:rPr>
          <w:rFonts w:ascii="Century Gothic" w:hAnsi="Century Gothic"/>
        </w:rPr>
        <w:t xml:space="preserve"> </w:t>
      </w:r>
      <w:r w:rsidRPr="00511302">
        <w:rPr>
          <w:rFonts w:ascii="Century Gothic" w:hAnsi="Century Gothic"/>
        </w:rPr>
        <w:t>will comply with the National Environmental Policy Act (NEPA) through analysis and</w:t>
      </w:r>
      <w:r>
        <w:rPr>
          <w:rFonts w:ascii="Century Gothic" w:hAnsi="Century Gothic"/>
        </w:rPr>
        <w:t xml:space="preserve"> </w:t>
      </w:r>
      <w:r w:rsidRPr="00511302">
        <w:rPr>
          <w:rFonts w:ascii="Century Gothic" w:hAnsi="Century Gothic"/>
        </w:rPr>
        <w:t>documentation of the possible environmental effects of the Project.</w:t>
      </w:r>
      <w:r>
        <w:rPr>
          <w:rFonts w:ascii="Century Gothic" w:hAnsi="Century Gothic"/>
        </w:rPr>
        <w:t xml:space="preserve"> </w:t>
      </w:r>
      <w:r w:rsidRPr="00511302">
        <w:rPr>
          <w:rFonts w:ascii="Century Gothic" w:hAnsi="Century Gothic"/>
        </w:rPr>
        <w:t>Environmental Specialists will be</w:t>
      </w:r>
      <w:r>
        <w:rPr>
          <w:rFonts w:ascii="Century Gothic" w:hAnsi="Century Gothic"/>
        </w:rPr>
        <w:t xml:space="preserve"> </w:t>
      </w:r>
      <w:r w:rsidRPr="00511302">
        <w:rPr>
          <w:rFonts w:ascii="Century Gothic" w:hAnsi="Century Gothic"/>
        </w:rPr>
        <w:t>performing this work. The hourly quantities and rates are based on cost proposals received by the</w:t>
      </w:r>
      <w:r>
        <w:rPr>
          <w:rFonts w:ascii="Century Gothic" w:hAnsi="Century Gothic"/>
        </w:rPr>
        <w:t xml:space="preserve"> </w:t>
      </w:r>
      <w:proofErr w:type="spellStart"/>
      <w:r w:rsidRPr="00511302">
        <w:rPr>
          <w:rFonts w:ascii="Century Gothic" w:hAnsi="Century Gothic"/>
        </w:rPr>
        <w:t>subapplicant</w:t>
      </w:r>
      <w:proofErr w:type="spellEnd"/>
      <w:r w:rsidRPr="00511302">
        <w:rPr>
          <w:rFonts w:ascii="Century Gothic" w:hAnsi="Century Gothic"/>
        </w:rPr>
        <w:t xml:space="preserve"> in November 2020 and are consistent with historical data on the size of the project and</w:t>
      </w:r>
      <w:r>
        <w:rPr>
          <w:rFonts w:ascii="Century Gothic" w:hAnsi="Century Gothic"/>
        </w:rPr>
        <w:t xml:space="preserve"> </w:t>
      </w:r>
      <w:r w:rsidRPr="00511302">
        <w:rPr>
          <w:rFonts w:ascii="Century Gothic" w:hAnsi="Century Gothic"/>
        </w:rPr>
        <w:t>estimated effort due to the location of the project, as well as typical consulting rates.</w:t>
      </w:r>
    </w:p>
    <w:p w14:paraId="7DBD4B5F" w14:textId="77777777" w:rsidR="00511302" w:rsidRPr="00511302" w:rsidRDefault="00511302" w:rsidP="00511302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6A99CE81" w14:textId="77777777" w:rsidR="001E7120" w:rsidRPr="00723067" w:rsidRDefault="001E7120" w:rsidP="001E7120">
      <w:pPr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48E72B24" w14:textId="77777777" w:rsidR="00C00925" w:rsidRDefault="00C00925" w:rsidP="00C00925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>Phase 1: P1 Deliverables</w:t>
      </w:r>
    </w:p>
    <w:p w14:paraId="676ED227" w14:textId="77777777" w:rsidR="00C00925" w:rsidRPr="00801962" w:rsidRDefault="00C00925" w:rsidP="00C00925">
      <w:pPr>
        <w:spacing w:after="40" w:line="240" w:lineRule="auto"/>
        <w:contextualSpacing/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21810659" w14:textId="77777777" w:rsidR="00C00925" w:rsidRPr="001A62F8" w:rsidRDefault="00C00925" w:rsidP="00C00925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6DDD588D" w14:textId="09BE9010" w:rsidR="00C00925" w:rsidRDefault="00C00925" w:rsidP="00C00925">
      <w:pPr>
        <w:spacing w:after="40" w:line="240" w:lineRule="auto"/>
        <w:contextualSpacing/>
        <w:rPr>
          <w:rFonts w:ascii="Century Gothic" w:hAnsi="Century Gothic"/>
        </w:rPr>
      </w:pPr>
      <w:r w:rsidRPr="006E554C">
        <w:rPr>
          <w:rFonts w:ascii="Century Gothic" w:hAnsi="Century Gothic"/>
        </w:rPr>
        <w:t>Internal staff time to compile phase 1 deliverables and submit to Cal OES for review and approval.</w:t>
      </w:r>
      <w:r w:rsidR="00D00514">
        <w:rPr>
          <w:rFonts w:ascii="Century Gothic" w:hAnsi="Century Gothic"/>
        </w:rPr>
        <w:t xml:space="preserve"> </w:t>
      </w:r>
    </w:p>
    <w:p w14:paraId="5F9AF95B" w14:textId="77777777" w:rsidR="00C00925" w:rsidRPr="001A62F8" w:rsidRDefault="00C00925" w:rsidP="00C00925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3B0478D1" w14:textId="575CF3B2" w:rsidR="008D5EF4" w:rsidRDefault="00C00925" w:rsidP="00C00925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>
        <w:rPr>
          <w:rFonts w:ascii="Century Gothic" w:hAnsi="Century Gothic"/>
        </w:rPr>
        <w:t>Position: XXXX | Hours: XX | Rate: XX | Total: XXX</w:t>
      </w:r>
    </w:p>
    <w:p w14:paraId="314AE38D" w14:textId="5DE4C769" w:rsidR="008D5EF4" w:rsidRDefault="008D5EF4" w:rsidP="005D5391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2CC2F537" w14:textId="4E46124D" w:rsidR="00044C55" w:rsidRDefault="00044C55" w:rsidP="005D5391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7138ED36" w14:textId="77777777" w:rsidR="00044C55" w:rsidRDefault="00044C55" w:rsidP="005D5391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43EBEB0F" w14:textId="1421824C" w:rsidR="001A62F8" w:rsidRDefault="006E554C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lastRenderedPageBreak/>
        <w:t>Phase 2: Procurement</w:t>
      </w:r>
      <w:r w:rsidR="00CF7DA8">
        <w:rPr>
          <w:rFonts w:ascii="Century Gothic" w:hAnsi="Century Gothic"/>
          <w:b/>
          <w:bCs/>
          <w:color w:val="015E90"/>
        </w:rPr>
        <w:t xml:space="preserve"> of Construction Vendor</w:t>
      </w:r>
    </w:p>
    <w:p w14:paraId="42AD7603" w14:textId="5D09F938" w:rsidR="00F56173" w:rsidRPr="00801962" w:rsidRDefault="00F56173" w:rsidP="001A62F8">
      <w:pPr>
        <w:spacing w:after="40" w:line="240" w:lineRule="auto"/>
        <w:contextualSpacing/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01248D29" w14:textId="77777777" w:rsidR="001A62F8" w:rsidRPr="001A62F8" w:rsidRDefault="001A62F8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01686D73" w14:textId="0EBD6939" w:rsidR="008F385B" w:rsidRPr="008F385B" w:rsidRDefault="008F385B" w:rsidP="008F385B">
      <w:pPr>
        <w:spacing w:after="40" w:line="240" w:lineRule="auto"/>
        <w:contextualSpacing/>
        <w:rPr>
          <w:rFonts w:ascii="Century Gothic" w:hAnsi="Century Gothic"/>
        </w:rPr>
      </w:pPr>
      <w:r w:rsidRPr="008F385B">
        <w:rPr>
          <w:rFonts w:ascii="Century Gothic" w:hAnsi="Century Gothic"/>
        </w:rPr>
        <w:t>Professional services performed under this task include the preparation of project bid documents and</w:t>
      </w:r>
      <w:r>
        <w:rPr>
          <w:rFonts w:ascii="Century Gothic" w:hAnsi="Century Gothic"/>
        </w:rPr>
        <w:t xml:space="preserve"> </w:t>
      </w:r>
      <w:r w:rsidRPr="008F385B">
        <w:rPr>
          <w:rFonts w:ascii="Century Gothic" w:hAnsi="Century Gothic"/>
        </w:rPr>
        <w:t>the management of project bidding and contractor selection. This task will also serve as a Go-No Go</w:t>
      </w:r>
      <w:r>
        <w:rPr>
          <w:rFonts w:ascii="Century Gothic" w:hAnsi="Century Gothic"/>
        </w:rPr>
        <w:t xml:space="preserve"> </w:t>
      </w:r>
      <w:r w:rsidRPr="008F385B">
        <w:rPr>
          <w:rFonts w:ascii="Century Gothic" w:hAnsi="Century Gothic"/>
        </w:rPr>
        <w:t>checkpoint for the project. The hourly quantities and rates are based on cost proposals received by the</w:t>
      </w:r>
      <w:r>
        <w:rPr>
          <w:rFonts w:ascii="Century Gothic" w:hAnsi="Century Gothic"/>
        </w:rPr>
        <w:t xml:space="preserve"> </w:t>
      </w:r>
      <w:proofErr w:type="spellStart"/>
      <w:r w:rsidRPr="008F385B">
        <w:rPr>
          <w:rFonts w:ascii="Century Gothic" w:hAnsi="Century Gothic"/>
        </w:rPr>
        <w:t>subapplicant</w:t>
      </w:r>
      <w:proofErr w:type="spellEnd"/>
      <w:r w:rsidRPr="008F385B">
        <w:rPr>
          <w:rFonts w:ascii="Century Gothic" w:hAnsi="Century Gothic"/>
        </w:rPr>
        <w:t xml:space="preserve"> in November 2020 and are consistent with historical data on the size of the project and</w:t>
      </w:r>
      <w:r>
        <w:rPr>
          <w:rFonts w:ascii="Century Gothic" w:hAnsi="Century Gothic"/>
        </w:rPr>
        <w:t xml:space="preserve"> </w:t>
      </w:r>
      <w:r w:rsidRPr="008F385B">
        <w:rPr>
          <w:rFonts w:ascii="Century Gothic" w:hAnsi="Century Gothic"/>
        </w:rPr>
        <w:t>estimated effort due to the location of the project, as well as typical consulting rates. The construction</w:t>
      </w:r>
      <w:r>
        <w:rPr>
          <w:rFonts w:ascii="Century Gothic" w:hAnsi="Century Gothic"/>
        </w:rPr>
        <w:t xml:space="preserve"> </w:t>
      </w:r>
      <w:r w:rsidRPr="008F385B">
        <w:rPr>
          <w:rFonts w:ascii="Century Gothic" w:hAnsi="Century Gothic"/>
        </w:rPr>
        <w:t>vendor will be procured in line with 2 CFR 200, State, and local procurement requirements and the</w:t>
      </w:r>
    </w:p>
    <w:p w14:paraId="723E4781" w14:textId="137A7BC3" w:rsidR="00CF7DA8" w:rsidRDefault="008F385B" w:rsidP="008F385B">
      <w:pPr>
        <w:spacing w:after="40" w:line="240" w:lineRule="auto"/>
        <w:contextualSpacing/>
        <w:rPr>
          <w:rFonts w:ascii="Century Gothic" w:hAnsi="Century Gothic"/>
        </w:rPr>
      </w:pPr>
      <w:r w:rsidRPr="008F385B">
        <w:rPr>
          <w:rFonts w:ascii="Century Gothic" w:hAnsi="Century Gothic"/>
        </w:rPr>
        <w:t>construction vendor will complete the mitigation activity with support from the design engineering firm.</w:t>
      </w:r>
    </w:p>
    <w:p w14:paraId="5CEAA953" w14:textId="77777777" w:rsidR="008F385B" w:rsidRPr="008F385B" w:rsidRDefault="008F385B" w:rsidP="008F385B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50090F9E" w14:textId="1D8EBCC0" w:rsidR="001A62F8" w:rsidRDefault="00E279A0" w:rsidP="005D5391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>
        <w:rPr>
          <w:rFonts w:ascii="Century Gothic" w:hAnsi="Century Gothic"/>
        </w:rPr>
        <w:t>Position: XXXX | Hours: XX | Rate: XX | Total: XXX</w:t>
      </w:r>
    </w:p>
    <w:p w14:paraId="1DFD6AF8" w14:textId="22A8A1C1" w:rsidR="00775017" w:rsidRDefault="00775017" w:rsidP="00571EB2">
      <w:pPr>
        <w:spacing w:after="40" w:line="240" w:lineRule="auto"/>
        <w:contextualSpacing/>
        <w:rPr>
          <w:rFonts w:ascii="Century Gothic" w:hAnsi="Century Gothic"/>
        </w:rPr>
      </w:pPr>
    </w:p>
    <w:p w14:paraId="7F38CF52" w14:textId="7125F1D0" w:rsidR="005F23C7" w:rsidRDefault="005F23C7" w:rsidP="005F23C7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Phase </w:t>
      </w:r>
      <w:r>
        <w:rPr>
          <w:rFonts w:ascii="Century Gothic" w:hAnsi="Century Gothic"/>
          <w:b/>
          <w:bCs/>
          <w:color w:val="015E90"/>
        </w:rPr>
        <w:t>2</w:t>
      </w:r>
      <w:r w:rsidRPr="005D5391">
        <w:rPr>
          <w:rFonts w:ascii="Century Gothic" w:hAnsi="Century Gothic"/>
          <w:b/>
          <w:bCs/>
          <w:color w:val="015E90"/>
        </w:rPr>
        <w:t>: Project Management</w:t>
      </w:r>
    </w:p>
    <w:p w14:paraId="41767486" w14:textId="77777777" w:rsidR="005F23C7" w:rsidRPr="00801962" w:rsidRDefault="005F23C7" w:rsidP="005F23C7">
      <w:pPr>
        <w:spacing w:after="40" w:line="240" w:lineRule="auto"/>
        <w:contextualSpacing/>
        <w:rPr>
          <w:rFonts w:ascii="Century Gothic" w:hAnsi="Century Gothic"/>
          <w:b/>
          <w:bCs/>
          <w:color w:val="000636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78611CB5" w14:textId="77777777" w:rsidR="005F23C7" w:rsidRPr="005D5391" w:rsidRDefault="005F23C7" w:rsidP="005F23C7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40973866" w14:textId="3AB214FE" w:rsidR="005F23C7" w:rsidRDefault="005F23C7" w:rsidP="005F23C7">
      <w:pPr>
        <w:spacing w:after="40" w:line="240" w:lineRule="auto"/>
        <w:contextualSpacing/>
        <w:rPr>
          <w:rFonts w:ascii="Century Gothic" w:hAnsi="Century Gothic"/>
        </w:rPr>
      </w:pPr>
      <w:r w:rsidRPr="00723067">
        <w:rPr>
          <w:rFonts w:ascii="Century Gothic" w:hAnsi="Century Gothic"/>
        </w:rPr>
        <w:t xml:space="preserve">Internal Staff (or procured contractor) to manage the overall project. Duties of the project management team will include but not limited </w:t>
      </w:r>
      <w:proofErr w:type="gramStart"/>
      <w:r w:rsidRPr="00723067">
        <w:rPr>
          <w:rFonts w:ascii="Century Gothic" w:hAnsi="Century Gothic"/>
        </w:rPr>
        <w:t>to:</w:t>
      </w:r>
      <w:proofErr w:type="gramEnd"/>
      <w:r w:rsidRPr="00723067">
        <w:rPr>
          <w:rFonts w:ascii="Century Gothic" w:hAnsi="Century Gothic"/>
        </w:rPr>
        <w:t xml:space="preserve"> overall project coordination,</w:t>
      </w:r>
      <w:r w:rsidR="00A8341E">
        <w:rPr>
          <w:rFonts w:ascii="Century Gothic" w:hAnsi="Century Gothic"/>
        </w:rPr>
        <w:t xml:space="preserve"> review of technical deliverables, </w:t>
      </w:r>
      <w:r w:rsidRPr="00723067">
        <w:rPr>
          <w:rFonts w:ascii="Century Gothic" w:hAnsi="Century Gothic"/>
        </w:rPr>
        <w:t>scheduling, production, meetings, managing staff, IT revisions, etc.</w:t>
      </w:r>
    </w:p>
    <w:p w14:paraId="045B8995" w14:textId="77777777" w:rsidR="005F23C7" w:rsidRPr="001A62F8" w:rsidRDefault="005F23C7" w:rsidP="005F23C7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3A5237F0" w14:textId="757747BF" w:rsidR="005F23C7" w:rsidRDefault="005F23C7" w:rsidP="005F23C7">
      <w:pPr>
        <w:spacing w:after="4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7C085202" w14:textId="77777777" w:rsidR="00AA78A4" w:rsidRPr="00775017" w:rsidRDefault="00AA78A4" w:rsidP="005F23C7">
      <w:pPr>
        <w:spacing w:after="40" w:line="240" w:lineRule="auto"/>
        <w:contextualSpacing/>
        <w:rPr>
          <w:rFonts w:ascii="Century Gothic" w:hAnsi="Century Gothic"/>
        </w:rPr>
      </w:pPr>
    </w:p>
    <w:p w14:paraId="333693BD" w14:textId="2DD4980E" w:rsidR="006E687B" w:rsidRDefault="006E687B" w:rsidP="006E687B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Phase </w:t>
      </w:r>
      <w:r>
        <w:rPr>
          <w:rFonts w:ascii="Century Gothic" w:hAnsi="Century Gothic"/>
          <w:b/>
          <w:bCs/>
          <w:color w:val="015E90"/>
        </w:rPr>
        <w:t>2</w:t>
      </w:r>
      <w:r w:rsidRPr="005D5391">
        <w:rPr>
          <w:rFonts w:ascii="Century Gothic" w:hAnsi="Century Gothic"/>
          <w:b/>
          <w:bCs/>
          <w:color w:val="015E90"/>
        </w:rPr>
        <w:t xml:space="preserve">: </w:t>
      </w:r>
      <w:r w:rsidR="00237B07">
        <w:rPr>
          <w:rFonts w:ascii="Century Gothic" w:hAnsi="Century Gothic"/>
          <w:b/>
          <w:bCs/>
          <w:color w:val="015E90"/>
        </w:rPr>
        <w:t>Land Purchase Capital Costs</w:t>
      </w:r>
    </w:p>
    <w:p w14:paraId="4FCE91A0" w14:textId="77777777" w:rsidR="006E687B" w:rsidRPr="00801962" w:rsidRDefault="006E687B" w:rsidP="006E687B">
      <w:pPr>
        <w:spacing w:after="40" w:line="240" w:lineRule="auto"/>
        <w:contextualSpacing/>
        <w:rPr>
          <w:rFonts w:ascii="Century Gothic" w:hAnsi="Century Gothic"/>
          <w:b/>
          <w:bCs/>
          <w:color w:val="000636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42B58A68" w14:textId="77777777" w:rsidR="006E687B" w:rsidRPr="005D5391" w:rsidRDefault="006E687B" w:rsidP="006E687B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1E28949A" w14:textId="55DA4BE7" w:rsidR="00237B07" w:rsidRDefault="00237B07" w:rsidP="00237B07">
      <w:pPr>
        <w:spacing w:after="40" w:line="240" w:lineRule="auto"/>
        <w:contextualSpacing/>
        <w:rPr>
          <w:rFonts w:ascii="Century Gothic" w:hAnsi="Century Gothic"/>
        </w:rPr>
      </w:pPr>
      <w:r w:rsidRPr="00237B07">
        <w:rPr>
          <w:rFonts w:ascii="Century Gothic" w:hAnsi="Century Gothic"/>
        </w:rPr>
        <w:t>Land purchase capital costs are associated with the purchase of temporary and/or permanent real</w:t>
      </w:r>
      <w:r w:rsidR="00780A12">
        <w:rPr>
          <w:rFonts w:ascii="Century Gothic" w:hAnsi="Century Gothic"/>
        </w:rPr>
        <w:t xml:space="preserve"> </w:t>
      </w:r>
      <w:r w:rsidRPr="00237B07">
        <w:rPr>
          <w:rFonts w:ascii="Century Gothic" w:hAnsi="Century Gothic"/>
        </w:rPr>
        <w:t>estate property and rights to accommodate the construction project as well as provide for future</w:t>
      </w:r>
      <w:r w:rsidR="00780A12">
        <w:rPr>
          <w:rFonts w:ascii="Century Gothic" w:hAnsi="Century Gothic"/>
        </w:rPr>
        <w:t xml:space="preserve"> </w:t>
      </w:r>
      <w:r w:rsidRPr="00237B07">
        <w:rPr>
          <w:rFonts w:ascii="Century Gothic" w:hAnsi="Century Gothic"/>
        </w:rPr>
        <w:t>maintenance. Approximately 18 acres of land will be purchased for the habitat restoration site. Purchase</w:t>
      </w:r>
      <w:r w:rsidR="00780A12">
        <w:rPr>
          <w:rFonts w:ascii="Century Gothic" w:hAnsi="Century Gothic"/>
        </w:rPr>
        <w:t xml:space="preserve"> </w:t>
      </w:r>
      <w:r w:rsidRPr="00237B07">
        <w:rPr>
          <w:rFonts w:ascii="Century Gothic" w:hAnsi="Century Gothic"/>
        </w:rPr>
        <w:t>costs are based on current land values of parcels based on land use type. Additionally, the purchase of</w:t>
      </w:r>
      <w:r w:rsidR="00780A12">
        <w:rPr>
          <w:rFonts w:ascii="Century Gothic" w:hAnsi="Century Gothic"/>
        </w:rPr>
        <w:t xml:space="preserve"> </w:t>
      </w:r>
      <w:r w:rsidRPr="00237B07">
        <w:rPr>
          <w:rFonts w:ascii="Century Gothic" w:hAnsi="Century Gothic"/>
        </w:rPr>
        <w:t>up to three residential structures is included in the unit cost.</w:t>
      </w:r>
      <w:r w:rsidR="00780A12">
        <w:rPr>
          <w:rFonts w:ascii="Century Gothic" w:hAnsi="Century Gothic"/>
        </w:rPr>
        <w:t xml:space="preserve"> </w:t>
      </w:r>
      <w:r w:rsidR="00780A12" w:rsidRPr="00780A12">
        <w:rPr>
          <w:rFonts w:ascii="Century Gothic" w:hAnsi="Century Gothic"/>
        </w:rPr>
        <w:t>Land purchases will not occur prior to completion of</w:t>
      </w:r>
      <w:r w:rsidR="00780A12">
        <w:rPr>
          <w:rFonts w:ascii="Century Gothic" w:hAnsi="Century Gothic"/>
        </w:rPr>
        <w:t xml:space="preserve"> </w:t>
      </w:r>
      <w:r w:rsidR="00780A12" w:rsidRPr="00780A12">
        <w:rPr>
          <w:rFonts w:ascii="Century Gothic" w:hAnsi="Century Gothic"/>
        </w:rPr>
        <w:t>the EHP process.</w:t>
      </w:r>
    </w:p>
    <w:p w14:paraId="0291A3A3" w14:textId="77777777" w:rsidR="00237B07" w:rsidRPr="001A62F8" w:rsidRDefault="00237B07" w:rsidP="00237B07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0AFDC5D5" w14:textId="2529D32A" w:rsidR="006E687B" w:rsidRPr="00780A12" w:rsidRDefault="006E687B" w:rsidP="00240335">
      <w:pPr>
        <w:spacing w:after="4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13B81181" w14:textId="77777777" w:rsidR="006E687B" w:rsidRDefault="006E687B" w:rsidP="00240335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35456920" w14:textId="449B4522" w:rsidR="00240335" w:rsidRDefault="00240335" w:rsidP="00240335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Phase </w:t>
      </w:r>
      <w:r>
        <w:rPr>
          <w:rFonts w:ascii="Century Gothic" w:hAnsi="Century Gothic"/>
          <w:b/>
          <w:bCs/>
          <w:color w:val="015E90"/>
        </w:rPr>
        <w:t>2</w:t>
      </w:r>
      <w:r w:rsidRPr="005D5391">
        <w:rPr>
          <w:rFonts w:ascii="Century Gothic" w:hAnsi="Century Gothic"/>
          <w:b/>
          <w:bCs/>
          <w:color w:val="015E90"/>
        </w:rPr>
        <w:t xml:space="preserve">: </w:t>
      </w:r>
      <w:r>
        <w:rPr>
          <w:rFonts w:ascii="Century Gothic" w:hAnsi="Century Gothic"/>
          <w:b/>
          <w:bCs/>
          <w:color w:val="015E90"/>
        </w:rPr>
        <w:t>Engineering Services During Construction</w:t>
      </w:r>
    </w:p>
    <w:p w14:paraId="42DEC85E" w14:textId="77777777" w:rsidR="00240335" w:rsidRPr="00801962" w:rsidRDefault="00240335" w:rsidP="00240335">
      <w:pPr>
        <w:spacing w:after="40" w:line="240" w:lineRule="auto"/>
        <w:contextualSpacing/>
        <w:rPr>
          <w:rFonts w:ascii="Century Gothic" w:hAnsi="Century Gothic"/>
          <w:b/>
          <w:bCs/>
          <w:color w:val="000636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77B98C85" w14:textId="77777777" w:rsidR="00240335" w:rsidRPr="005D5391" w:rsidRDefault="00240335" w:rsidP="00240335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4A706252" w14:textId="50D39D03" w:rsidR="00240335" w:rsidRDefault="004B5954" w:rsidP="004B5954">
      <w:pPr>
        <w:spacing w:after="40" w:line="240" w:lineRule="auto"/>
        <w:contextualSpacing/>
        <w:rPr>
          <w:rFonts w:ascii="Century Gothic" w:hAnsi="Century Gothic"/>
        </w:rPr>
      </w:pPr>
      <w:r w:rsidRPr="004B5954">
        <w:rPr>
          <w:rFonts w:ascii="Century Gothic" w:hAnsi="Century Gothic"/>
        </w:rPr>
        <w:t>Engineering Services During Construction will be to provide guidance to the construction contractor to</w:t>
      </w:r>
      <w:r>
        <w:rPr>
          <w:rFonts w:ascii="Century Gothic" w:hAnsi="Century Gothic"/>
        </w:rPr>
        <w:t xml:space="preserve"> </w:t>
      </w:r>
      <w:r w:rsidRPr="004B5954">
        <w:rPr>
          <w:rFonts w:ascii="Century Gothic" w:hAnsi="Century Gothic"/>
        </w:rPr>
        <w:t>ensure smooth completion of the project and aid in fulfilling the design of the project. These services</w:t>
      </w:r>
      <w:r>
        <w:rPr>
          <w:rFonts w:ascii="Century Gothic" w:hAnsi="Century Gothic"/>
        </w:rPr>
        <w:t xml:space="preserve"> </w:t>
      </w:r>
      <w:r w:rsidRPr="004B5954">
        <w:rPr>
          <w:rFonts w:ascii="Century Gothic" w:hAnsi="Century Gothic"/>
        </w:rPr>
        <w:t>will be performed by the engineering design team. The hourly quantities and rates are based on cost</w:t>
      </w:r>
      <w:r>
        <w:rPr>
          <w:rFonts w:ascii="Century Gothic" w:hAnsi="Century Gothic"/>
        </w:rPr>
        <w:t xml:space="preserve"> </w:t>
      </w:r>
      <w:r w:rsidRPr="004B5954">
        <w:rPr>
          <w:rFonts w:ascii="Century Gothic" w:hAnsi="Century Gothic"/>
        </w:rPr>
        <w:t xml:space="preserve">proposals received by the </w:t>
      </w:r>
      <w:proofErr w:type="spellStart"/>
      <w:r w:rsidRPr="004B5954">
        <w:rPr>
          <w:rFonts w:ascii="Century Gothic" w:hAnsi="Century Gothic"/>
        </w:rPr>
        <w:t>subapplicant</w:t>
      </w:r>
      <w:proofErr w:type="spellEnd"/>
      <w:r w:rsidRPr="004B5954">
        <w:rPr>
          <w:rFonts w:ascii="Century Gothic" w:hAnsi="Century Gothic"/>
        </w:rPr>
        <w:t xml:space="preserve"> in November 2020 and are consistent with historical data on the</w:t>
      </w:r>
      <w:r>
        <w:rPr>
          <w:rFonts w:ascii="Century Gothic" w:hAnsi="Century Gothic"/>
        </w:rPr>
        <w:t xml:space="preserve"> </w:t>
      </w:r>
      <w:r w:rsidRPr="004B5954">
        <w:rPr>
          <w:rFonts w:ascii="Century Gothic" w:hAnsi="Century Gothic"/>
        </w:rPr>
        <w:t>size of the project and estimated effort due to the location of the project, as well as typical</w:t>
      </w:r>
      <w:r>
        <w:rPr>
          <w:rFonts w:ascii="Century Gothic" w:hAnsi="Century Gothic"/>
        </w:rPr>
        <w:t xml:space="preserve"> </w:t>
      </w:r>
      <w:r w:rsidRPr="004B5954">
        <w:rPr>
          <w:rFonts w:ascii="Century Gothic" w:hAnsi="Century Gothic"/>
        </w:rPr>
        <w:t>consulting</w:t>
      </w:r>
      <w:r>
        <w:rPr>
          <w:rFonts w:ascii="Century Gothic" w:hAnsi="Century Gothic"/>
        </w:rPr>
        <w:t xml:space="preserve"> </w:t>
      </w:r>
      <w:r w:rsidRPr="004B5954">
        <w:rPr>
          <w:rFonts w:ascii="Century Gothic" w:hAnsi="Century Gothic"/>
        </w:rPr>
        <w:t>rates.</w:t>
      </w:r>
    </w:p>
    <w:p w14:paraId="613B625E" w14:textId="77777777" w:rsidR="004B5954" w:rsidRPr="004B5954" w:rsidRDefault="004B5954" w:rsidP="004B5954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57780508" w14:textId="17540185" w:rsidR="00571EB2" w:rsidRPr="00421B07" w:rsidRDefault="00240335" w:rsidP="001A62F8">
      <w:pPr>
        <w:spacing w:after="4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5101A5DE" w14:textId="649B6742" w:rsidR="00240335" w:rsidRDefault="00240335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38D5333C" w14:textId="661B509F" w:rsidR="00044C55" w:rsidRDefault="00044C55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40F0DD12" w14:textId="735DD84C" w:rsidR="00044C55" w:rsidRDefault="00044C55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723FD6DD" w14:textId="77777777" w:rsidR="00044C55" w:rsidRDefault="00044C55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6E9E7D1D" w14:textId="1F4D9A84" w:rsidR="001A62F8" w:rsidRDefault="006E554C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lastRenderedPageBreak/>
        <w:t xml:space="preserve">Phase 2: </w:t>
      </w:r>
      <w:r w:rsidR="00B37DDF" w:rsidRPr="005D5391">
        <w:rPr>
          <w:rFonts w:ascii="Century Gothic" w:hAnsi="Century Gothic"/>
          <w:b/>
          <w:bCs/>
          <w:color w:val="015E90"/>
        </w:rPr>
        <w:t>Construction Management</w:t>
      </w:r>
      <w:r w:rsidR="008B7F59">
        <w:rPr>
          <w:rFonts w:ascii="Century Gothic" w:hAnsi="Century Gothic"/>
          <w:b/>
          <w:bCs/>
          <w:color w:val="015E90"/>
        </w:rPr>
        <w:t xml:space="preserve">, Inspection &amp; </w:t>
      </w:r>
      <w:r w:rsidR="00C91C01">
        <w:rPr>
          <w:rFonts w:ascii="Century Gothic" w:hAnsi="Century Gothic"/>
          <w:b/>
          <w:bCs/>
          <w:color w:val="015E90"/>
        </w:rPr>
        <w:t>R</w:t>
      </w:r>
      <w:r w:rsidR="008B7F59">
        <w:rPr>
          <w:rFonts w:ascii="Century Gothic" w:hAnsi="Century Gothic"/>
          <w:b/>
          <w:bCs/>
          <w:color w:val="015E90"/>
        </w:rPr>
        <w:t>egulatory Compliance</w:t>
      </w:r>
    </w:p>
    <w:p w14:paraId="491EE9F4" w14:textId="64ED69C9" w:rsidR="00F56173" w:rsidRPr="00801962" w:rsidRDefault="00F56173" w:rsidP="001A62F8">
      <w:pPr>
        <w:spacing w:after="40" w:line="240" w:lineRule="auto"/>
        <w:contextualSpacing/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2347E119" w14:textId="77777777" w:rsidR="001A62F8" w:rsidRPr="001A62F8" w:rsidRDefault="001A62F8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6F591F86" w14:textId="796E4BF6" w:rsidR="001A62F8" w:rsidRDefault="00C91C01" w:rsidP="00C91C01">
      <w:pPr>
        <w:spacing w:after="40" w:line="240" w:lineRule="auto"/>
        <w:contextualSpacing/>
        <w:rPr>
          <w:rFonts w:ascii="Century Gothic" w:hAnsi="Century Gothic"/>
        </w:rPr>
      </w:pPr>
      <w:r w:rsidRPr="00C91C01">
        <w:rPr>
          <w:rFonts w:ascii="Century Gothic" w:hAnsi="Century Gothic"/>
        </w:rPr>
        <w:t>Construction Management and Inspection will be necessary during the construction phase to provide</w:t>
      </w:r>
      <w:r>
        <w:rPr>
          <w:rFonts w:ascii="Century Gothic" w:hAnsi="Century Gothic"/>
        </w:rPr>
        <w:t xml:space="preserve"> </w:t>
      </w:r>
      <w:r w:rsidRPr="00C91C01">
        <w:rPr>
          <w:rFonts w:ascii="Century Gothic" w:hAnsi="Century Gothic"/>
        </w:rPr>
        <w:t>quality assurance and control and ensure work in undertaken in accordance with the project’s</w:t>
      </w:r>
      <w:r>
        <w:rPr>
          <w:rFonts w:ascii="Century Gothic" w:hAnsi="Century Gothic"/>
        </w:rPr>
        <w:t xml:space="preserve"> </w:t>
      </w:r>
      <w:r w:rsidRPr="00C91C01">
        <w:rPr>
          <w:rFonts w:ascii="Century Gothic" w:hAnsi="Century Gothic"/>
        </w:rPr>
        <w:t>regulatory approvals and projects. These services will be performed by a construction management</w:t>
      </w:r>
      <w:r>
        <w:rPr>
          <w:rFonts w:ascii="Century Gothic" w:hAnsi="Century Gothic"/>
        </w:rPr>
        <w:t xml:space="preserve"> </w:t>
      </w:r>
      <w:r w:rsidRPr="00C91C01">
        <w:rPr>
          <w:rFonts w:ascii="Century Gothic" w:hAnsi="Century Gothic"/>
        </w:rPr>
        <w:t xml:space="preserve">team. The hourly quantities and rates are based on cost proposals received by the </w:t>
      </w:r>
      <w:proofErr w:type="spellStart"/>
      <w:r w:rsidRPr="00C91C01">
        <w:rPr>
          <w:rFonts w:ascii="Century Gothic" w:hAnsi="Century Gothic"/>
        </w:rPr>
        <w:t>subapplicant</w:t>
      </w:r>
      <w:proofErr w:type="spellEnd"/>
      <w:r w:rsidRPr="00C91C01">
        <w:rPr>
          <w:rFonts w:ascii="Century Gothic" w:hAnsi="Century Gothic"/>
        </w:rPr>
        <w:t xml:space="preserve"> in</w:t>
      </w:r>
      <w:r>
        <w:rPr>
          <w:rFonts w:ascii="Century Gothic" w:hAnsi="Century Gothic"/>
        </w:rPr>
        <w:t xml:space="preserve"> </w:t>
      </w:r>
      <w:r w:rsidRPr="00C91C01">
        <w:rPr>
          <w:rFonts w:ascii="Century Gothic" w:hAnsi="Century Gothic"/>
        </w:rPr>
        <w:t>November 2020 and are</w:t>
      </w:r>
      <w:r>
        <w:rPr>
          <w:rFonts w:ascii="Century Gothic" w:hAnsi="Century Gothic"/>
        </w:rPr>
        <w:t xml:space="preserve"> </w:t>
      </w:r>
      <w:r w:rsidRPr="00C91C01">
        <w:rPr>
          <w:rFonts w:ascii="Century Gothic" w:hAnsi="Century Gothic"/>
        </w:rPr>
        <w:t>consistent with historical data on the size of the project and estimated effort</w:t>
      </w:r>
      <w:r>
        <w:rPr>
          <w:rFonts w:ascii="Century Gothic" w:hAnsi="Century Gothic"/>
        </w:rPr>
        <w:t xml:space="preserve"> </w:t>
      </w:r>
      <w:r w:rsidRPr="00C91C01">
        <w:rPr>
          <w:rFonts w:ascii="Century Gothic" w:hAnsi="Century Gothic"/>
        </w:rPr>
        <w:t>due to the location of the project, as well as typical consulting rates.</w:t>
      </w:r>
    </w:p>
    <w:p w14:paraId="17650A11" w14:textId="77777777" w:rsidR="00C91C01" w:rsidRPr="00C91C01" w:rsidRDefault="00C91C01" w:rsidP="00C91C01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13DD1FC3" w14:textId="25241BDF" w:rsidR="00E279A0" w:rsidRDefault="00E279A0" w:rsidP="001A62F8">
      <w:pPr>
        <w:spacing w:after="4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38E4CC67" w14:textId="77777777" w:rsidR="001A62F8" w:rsidRDefault="001A62F8" w:rsidP="005D5391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210533FC" w14:textId="3C78FCED" w:rsidR="001A62F8" w:rsidRDefault="006E554C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Phase 2: </w:t>
      </w:r>
      <w:r w:rsidR="00F65938">
        <w:rPr>
          <w:rFonts w:ascii="Century Gothic" w:hAnsi="Century Gothic"/>
          <w:b/>
          <w:bCs/>
          <w:color w:val="015E90"/>
        </w:rPr>
        <w:t>Construction: Permit Fees</w:t>
      </w:r>
    </w:p>
    <w:p w14:paraId="36BFD002" w14:textId="2ACC0BF5" w:rsidR="00F56173" w:rsidRPr="00801962" w:rsidRDefault="00F56173" w:rsidP="001A62F8">
      <w:pPr>
        <w:spacing w:after="40" w:line="240" w:lineRule="auto"/>
        <w:contextualSpacing/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4ABD7E5E" w14:textId="77777777" w:rsidR="001A62F8" w:rsidRPr="001A62F8" w:rsidRDefault="001A62F8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566AB636" w14:textId="39A0F503" w:rsidR="001A62F8" w:rsidRDefault="00F65938" w:rsidP="00F65938">
      <w:pPr>
        <w:spacing w:after="40" w:line="240" w:lineRule="auto"/>
        <w:contextualSpacing/>
        <w:rPr>
          <w:rFonts w:ascii="Century Gothic" w:hAnsi="Century Gothic"/>
        </w:rPr>
      </w:pPr>
      <w:r w:rsidRPr="00F65938">
        <w:rPr>
          <w:rFonts w:ascii="Century Gothic" w:hAnsi="Century Gothic"/>
        </w:rPr>
        <w:t>Permit Fees are costs associated with necessary fees paid to obtain construction permits regulatory</w:t>
      </w:r>
      <w:r>
        <w:rPr>
          <w:rFonts w:ascii="Century Gothic" w:hAnsi="Century Gothic"/>
        </w:rPr>
        <w:t xml:space="preserve"> </w:t>
      </w:r>
      <w:r w:rsidRPr="00F65938">
        <w:rPr>
          <w:rFonts w:ascii="Century Gothic" w:hAnsi="Century Gothic"/>
        </w:rPr>
        <w:t>approvals for the project. These costs are based on historical costs of permitting in similar projects in the</w:t>
      </w:r>
      <w:r>
        <w:rPr>
          <w:rFonts w:ascii="Century Gothic" w:hAnsi="Century Gothic"/>
        </w:rPr>
        <w:t xml:space="preserve"> </w:t>
      </w:r>
      <w:r w:rsidRPr="00F65938">
        <w:rPr>
          <w:rFonts w:ascii="Century Gothic" w:hAnsi="Century Gothic"/>
        </w:rPr>
        <w:t>region.</w:t>
      </w:r>
    </w:p>
    <w:p w14:paraId="6EE43DBE" w14:textId="77777777" w:rsidR="00F65938" w:rsidRPr="00F65938" w:rsidRDefault="00F65938" w:rsidP="00F65938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55C1E6B2" w14:textId="56E97CEF" w:rsidR="00E279A0" w:rsidRPr="001A62F8" w:rsidRDefault="00E279A0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>
        <w:rPr>
          <w:rFonts w:ascii="Century Gothic" w:hAnsi="Century Gothic"/>
        </w:rPr>
        <w:t>Position: XXXX | Hours: XX | Rate: XX | Total: XXX</w:t>
      </w:r>
    </w:p>
    <w:p w14:paraId="67BEC7D2" w14:textId="77777777" w:rsidR="00044FEE" w:rsidRDefault="00044FEE" w:rsidP="005D5391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5B7816B0" w14:textId="690B3065" w:rsidR="001A62F8" w:rsidRDefault="006E554C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Phase 2: </w:t>
      </w:r>
      <w:r w:rsidR="00F65938">
        <w:rPr>
          <w:rFonts w:ascii="Century Gothic" w:hAnsi="Century Gothic"/>
          <w:b/>
          <w:bCs/>
          <w:color w:val="015E90"/>
        </w:rPr>
        <w:t>Utility Relocations</w:t>
      </w:r>
    </w:p>
    <w:p w14:paraId="485E401C" w14:textId="1F975D25" w:rsidR="00F56173" w:rsidRPr="00801962" w:rsidRDefault="00F56173" w:rsidP="001A62F8">
      <w:pPr>
        <w:spacing w:after="40" w:line="240" w:lineRule="auto"/>
        <w:contextualSpacing/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324A3238" w14:textId="77777777" w:rsidR="001A62F8" w:rsidRPr="001A62F8" w:rsidRDefault="001A62F8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30BA60E6" w14:textId="784EB00B" w:rsidR="00044FEE" w:rsidRDefault="00044FEE" w:rsidP="00044FEE">
      <w:pPr>
        <w:spacing w:after="40" w:line="240" w:lineRule="auto"/>
        <w:contextualSpacing/>
        <w:rPr>
          <w:rFonts w:ascii="Century Gothic" w:hAnsi="Century Gothic"/>
        </w:rPr>
      </w:pPr>
      <w:r w:rsidRPr="00044FEE">
        <w:rPr>
          <w:rFonts w:ascii="Century Gothic" w:hAnsi="Century Gothic"/>
        </w:rPr>
        <w:t>Prior to levee construction, utility companies with conflicting facilities would relocate their systems from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the levee prism. These utilities are primarily overhead wires, and utility companies would place new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poles and wires, connect the new system, and remove the old system. The quantities of the work were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 xml:space="preserve">based on a preliminary design plan set, based on preliminary work done in the </w:t>
      </w:r>
      <w:r w:rsidR="007A22B4">
        <w:rPr>
          <w:rFonts w:ascii="Century Gothic" w:hAnsi="Century Gothic"/>
        </w:rPr>
        <w:t xml:space="preserve">risk assessment performed </w:t>
      </w:r>
      <w:r w:rsidR="00394CCD">
        <w:rPr>
          <w:rFonts w:ascii="Century Gothic" w:hAnsi="Century Gothic"/>
        </w:rPr>
        <w:t>in the project area</w:t>
      </w:r>
      <w:r w:rsidRPr="00044FEE">
        <w:rPr>
          <w:rFonts w:ascii="Century Gothic" w:hAnsi="Century Gothic"/>
        </w:rPr>
        <w:t xml:space="preserve">. The costs are based on </w:t>
      </w:r>
      <w:r w:rsidR="00394CCD">
        <w:rPr>
          <w:rFonts w:ascii="Century Gothic" w:hAnsi="Century Gothic"/>
        </w:rPr>
        <w:t>our water resources department’s</w:t>
      </w:r>
      <w:r w:rsidRPr="00044FEE">
        <w:rPr>
          <w:rFonts w:ascii="Century Gothic" w:hAnsi="Century Gothic"/>
        </w:rPr>
        <w:t xml:space="preserve"> Preliminary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Cost Estimating Tool (PCET), as well as averages from historical bids of similar work in the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region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performed in recent years. This work will be performed by the Construction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Contractor.</w:t>
      </w:r>
    </w:p>
    <w:p w14:paraId="78C4CCAF" w14:textId="77777777" w:rsidR="00044FEE" w:rsidRPr="00044FEE" w:rsidRDefault="00044FEE" w:rsidP="00044FEE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0ABC2FC8" w14:textId="7924184A" w:rsidR="00E279A0" w:rsidRPr="00044FEE" w:rsidRDefault="00E279A0" w:rsidP="00044FEE">
      <w:pPr>
        <w:spacing w:after="4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7823A68C" w14:textId="77777777" w:rsidR="001A62F8" w:rsidRDefault="001A62F8" w:rsidP="005D5391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070C4052" w14:textId="3AF1E1A6" w:rsidR="001A62F8" w:rsidRDefault="006E554C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Phase 2: </w:t>
      </w:r>
      <w:r w:rsidR="00454120">
        <w:rPr>
          <w:rFonts w:ascii="Century Gothic" w:hAnsi="Century Gothic"/>
          <w:b/>
          <w:bCs/>
          <w:color w:val="015E90"/>
        </w:rPr>
        <w:t>Demolition/Clear &amp; Grub</w:t>
      </w:r>
    </w:p>
    <w:p w14:paraId="1668D557" w14:textId="2E63D92A" w:rsidR="00F56173" w:rsidRPr="00F56173" w:rsidRDefault="00F56173" w:rsidP="001A62F8">
      <w:pPr>
        <w:spacing w:after="40" w:line="240" w:lineRule="auto"/>
        <w:contextualSpacing/>
        <w:rPr>
          <w:rFonts w:ascii="Century Gothic" w:hAnsi="Century Gothic"/>
          <w:b/>
          <w:bCs/>
          <w:i/>
          <w:iCs/>
          <w:color w:val="B50B37"/>
          <w:sz w:val="18"/>
          <w:szCs w:val="18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7DCD9D68" w14:textId="77777777" w:rsidR="001A62F8" w:rsidRPr="001A62F8" w:rsidRDefault="001A62F8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3C6F5382" w14:textId="32D2E51F" w:rsidR="001A62F8" w:rsidRDefault="00DF6BC0" w:rsidP="00DF6BC0">
      <w:pPr>
        <w:spacing w:after="40" w:line="240" w:lineRule="auto"/>
        <w:contextualSpacing/>
        <w:rPr>
          <w:rFonts w:ascii="Century Gothic" w:hAnsi="Century Gothic"/>
        </w:rPr>
      </w:pPr>
      <w:r w:rsidRPr="00DF6BC0">
        <w:rPr>
          <w:rFonts w:ascii="Century Gothic" w:hAnsi="Century Gothic"/>
        </w:rPr>
        <w:t>To begin levee improvements, stormwater pollution prevention measures will be installed, and the</w:t>
      </w:r>
      <w:r>
        <w:rPr>
          <w:rFonts w:ascii="Century Gothic" w:hAnsi="Century Gothic"/>
        </w:rPr>
        <w:t xml:space="preserve"> </w:t>
      </w:r>
      <w:r w:rsidRPr="00DF6BC0">
        <w:rPr>
          <w:rFonts w:ascii="Century Gothic" w:hAnsi="Century Gothic"/>
        </w:rPr>
        <w:t>construction site and any necessary construction staging areas are cleared, grubbed, and stripped</w:t>
      </w:r>
      <w:r>
        <w:rPr>
          <w:rFonts w:ascii="Century Gothic" w:hAnsi="Century Gothic"/>
        </w:rPr>
        <w:t xml:space="preserve"> </w:t>
      </w:r>
      <w:r w:rsidRPr="00DF6BC0">
        <w:rPr>
          <w:rFonts w:ascii="Century Gothic" w:hAnsi="Century Gothic"/>
        </w:rPr>
        <w:t>Additionally, structures within the work footprint would be demolished and removed.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 xml:space="preserve">The costs are based on </w:t>
      </w:r>
      <w:r>
        <w:rPr>
          <w:rFonts w:ascii="Century Gothic" w:hAnsi="Century Gothic"/>
        </w:rPr>
        <w:t>our water resources department’s</w:t>
      </w:r>
      <w:r w:rsidRPr="00044FEE">
        <w:rPr>
          <w:rFonts w:ascii="Century Gothic" w:hAnsi="Century Gothic"/>
        </w:rPr>
        <w:t xml:space="preserve"> Preliminary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Cost Estimating Tool (PCET), as well as averages from historical bids of similar work in the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region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performed in recent years. This work will be performed by the Construction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Contractor.</w:t>
      </w:r>
    </w:p>
    <w:p w14:paraId="64A709DE" w14:textId="77777777" w:rsidR="00DF6BC0" w:rsidRPr="00DF6BC0" w:rsidRDefault="00DF6BC0" w:rsidP="00DF6BC0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7081BB75" w14:textId="19E9E127" w:rsidR="00E279A0" w:rsidRPr="001A62F8" w:rsidRDefault="00E279A0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>
        <w:rPr>
          <w:rFonts w:ascii="Century Gothic" w:hAnsi="Century Gothic"/>
        </w:rPr>
        <w:t>Position: XXXX | Hours: XX | Rate: XX | Total: XXX</w:t>
      </w:r>
    </w:p>
    <w:p w14:paraId="53D36192" w14:textId="77777777" w:rsidR="001A62F8" w:rsidRDefault="001A62F8" w:rsidP="005D5391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16BA32EA" w14:textId="77777777" w:rsidR="00F50D68" w:rsidRDefault="00F50D68" w:rsidP="005D5391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44F0390A" w14:textId="77777777" w:rsidR="00F50D68" w:rsidRDefault="00F50D68" w:rsidP="005D5391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50CD4731" w14:textId="61D066B4" w:rsidR="001A62F8" w:rsidRDefault="006E554C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Phase 2: </w:t>
      </w:r>
      <w:r w:rsidR="003D435D" w:rsidRPr="003D435D">
        <w:rPr>
          <w:rFonts w:ascii="Century Gothic" w:hAnsi="Century Gothic"/>
          <w:b/>
          <w:bCs/>
          <w:color w:val="015E90"/>
        </w:rPr>
        <w:t>Irrigation and Storm Drain Infrastructure</w:t>
      </w:r>
    </w:p>
    <w:p w14:paraId="50884080" w14:textId="47669774" w:rsidR="00F56173" w:rsidRPr="00801962" w:rsidRDefault="00F56173" w:rsidP="001A62F8">
      <w:pPr>
        <w:spacing w:after="40" w:line="240" w:lineRule="auto"/>
        <w:contextualSpacing/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6AEF760C" w14:textId="77777777" w:rsidR="001A62F8" w:rsidRPr="001A62F8" w:rsidRDefault="001A62F8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0DFAC615" w14:textId="77777777" w:rsidR="007064E3" w:rsidRDefault="007064E3" w:rsidP="007064E3">
      <w:pPr>
        <w:spacing w:after="40" w:line="240" w:lineRule="auto"/>
        <w:contextualSpacing/>
        <w:rPr>
          <w:rFonts w:ascii="Century Gothic" w:hAnsi="Century Gothic"/>
        </w:rPr>
      </w:pPr>
      <w:r w:rsidRPr="007064E3">
        <w:rPr>
          <w:rFonts w:ascii="Century Gothic" w:hAnsi="Century Gothic"/>
        </w:rPr>
        <w:lastRenderedPageBreak/>
        <w:t>Existing irrigation and drainage pipes through the levee will be temporarily removed or bypassed to</w:t>
      </w:r>
      <w:r>
        <w:rPr>
          <w:rFonts w:ascii="Century Gothic" w:hAnsi="Century Gothic"/>
        </w:rPr>
        <w:t xml:space="preserve"> </w:t>
      </w:r>
      <w:r w:rsidRPr="007064E3">
        <w:rPr>
          <w:rFonts w:ascii="Century Gothic" w:hAnsi="Century Gothic"/>
        </w:rPr>
        <w:t>allow the seepage cutoff wall to be installed. Where appropriate, irrigation and drainage systems will be</w:t>
      </w:r>
      <w:r>
        <w:rPr>
          <w:rFonts w:ascii="Century Gothic" w:hAnsi="Century Gothic"/>
        </w:rPr>
        <w:t xml:space="preserve"> </w:t>
      </w:r>
      <w:r w:rsidRPr="007064E3">
        <w:rPr>
          <w:rFonts w:ascii="Century Gothic" w:hAnsi="Century Gothic"/>
        </w:rPr>
        <w:t>reconstructed through the levee to meet current design standards. This work may include upgrades to</w:t>
      </w:r>
      <w:r>
        <w:rPr>
          <w:rFonts w:ascii="Century Gothic" w:hAnsi="Century Gothic"/>
        </w:rPr>
        <w:t xml:space="preserve"> </w:t>
      </w:r>
      <w:r w:rsidRPr="007064E3">
        <w:rPr>
          <w:rFonts w:ascii="Century Gothic" w:hAnsi="Century Gothic"/>
        </w:rPr>
        <w:t>the pump systems, addition of siphon breaker valves, and positive closure devices. Where systems are</w:t>
      </w:r>
      <w:r>
        <w:rPr>
          <w:rFonts w:ascii="Century Gothic" w:hAnsi="Century Gothic"/>
        </w:rPr>
        <w:t xml:space="preserve"> </w:t>
      </w:r>
      <w:r w:rsidRPr="007064E3">
        <w:rPr>
          <w:rFonts w:ascii="Century Gothic" w:hAnsi="Century Gothic"/>
        </w:rPr>
        <w:t>abandoned, the entire system will be removed or plugged per standards. The quantities of the work</w:t>
      </w:r>
      <w:r>
        <w:rPr>
          <w:rFonts w:ascii="Century Gothic" w:hAnsi="Century Gothic"/>
        </w:rPr>
        <w:t xml:space="preserve"> </w:t>
      </w:r>
      <w:r w:rsidRPr="007064E3">
        <w:rPr>
          <w:rFonts w:ascii="Century Gothic" w:hAnsi="Century Gothic"/>
        </w:rPr>
        <w:t>were based on a preliminary design plan set,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 xml:space="preserve">based on preliminary work done in the </w:t>
      </w:r>
      <w:r>
        <w:rPr>
          <w:rFonts w:ascii="Century Gothic" w:hAnsi="Century Gothic"/>
        </w:rPr>
        <w:t>risk assessment performed in the project area</w:t>
      </w:r>
      <w:r w:rsidRPr="00044FEE">
        <w:rPr>
          <w:rFonts w:ascii="Century Gothic" w:hAnsi="Century Gothic"/>
        </w:rPr>
        <w:t xml:space="preserve">. The costs are based on </w:t>
      </w:r>
      <w:r>
        <w:rPr>
          <w:rFonts w:ascii="Century Gothic" w:hAnsi="Century Gothic"/>
        </w:rPr>
        <w:t>our water resources department’s</w:t>
      </w:r>
      <w:r w:rsidRPr="00044FEE">
        <w:rPr>
          <w:rFonts w:ascii="Century Gothic" w:hAnsi="Century Gothic"/>
        </w:rPr>
        <w:t xml:space="preserve"> Preliminary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Cost Estimating Tool (PCET), as well as averages from historical bids of similar work in the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region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performed in recent years. This work will be performed by the Construction</w:t>
      </w:r>
      <w:r>
        <w:rPr>
          <w:rFonts w:ascii="Century Gothic" w:hAnsi="Century Gothic"/>
        </w:rPr>
        <w:t xml:space="preserve"> </w:t>
      </w:r>
      <w:r w:rsidRPr="00044FEE">
        <w:rPr>
          <w:rFonts w:ascii="Century Gothic" w:hAnsi="Century Gothic"/>
        </w:rPr>
        <w:t>Contractor.</w:t>
      </w:r>
    </w:p>
    <w:p w14:paraId="06ACB086" w14:textId="688DD3EA" w:rsidR="001A62F8" w:rsidRPr="007064E3" w:rsidRDefault="001A62F8" w:rsidP="007064E3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3C01735C" w14:textId="4D11FE40" w:rsidR="00E279A0" w:rsidRDefault="00E279A0" w:rsidP="001A62F8">
      <w:pPr>
        <w:spacing w:after="4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5F628601" w14:textId="77777777" w:rsidR="001A62F8" w:rsidRDefault="001A62F8" w:rsidP="005D5391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5F6D0CA0" w14:textId="221204A2" w:rsidR="001A62F8" w:rsidRDefault="006E554C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>Phase 2: Grant Closeout</w:t>
      </w:r>
      <w:r w:rsidR="005C5FFB">
        <w:rPr>
          <w:rFonts w:ascii="Century Gothic" w:hAnsi="Century Gothic"/>
          <w:b/>
          <w:bCs/>
          <w:color w:val="015E90"/>
        </w:rPr>
        <w:t xml:space="preserve"> </w:t>
      </w:r>
    </w:p>
    <w:p w14:paraId="6681BDAA" w14:textId="75430C24" w:rsidR="00F56173" w:rsidRPr="00801962" w:rsidRDefault="00F56173" w:rsidP="001A62F8">
      <w:pPr>
        <w:spacing w:after="40" w:line="240" w:lineRule="auto"/>
        <w:contextualSpacing/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544A46C7" w14:textId="77777777" w:rsidR="001A62F8" w:rsidRPr="001A62F8" w:rsidRDefault="001A62F8" w:rsidP="001A62F8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3AF23E44" w14:textId="008AD6DE" w:rsidR="001A62F8" w:rsidRDefault="00421B07" w:rsidP="00421B07">
      <w:pPr>
        <w:spacing w:after="40" w:line="240" w:lineRule="auto"/>
        <w:contextualSpacing/>
        <w:rPr>
          <w:rFonts w:ascii="Century Gothic" w:hAnsi="Century Gothic"/>
        </w:rPr>
      </w:pPr>
      <w:r w:rsidRPr="00421B07">
        <w:rPr>
          <w:rFonts w:ascii="Century Gothic" w:hAnsi="Century Gothic"/>
        </w:rPr>
        <w:t>This task includes all necessary project close out tasks such as development of final reports and grant</w:t>
      </w:r>
      <w:r>
        <w:rPr>
          <w:rFonts w:ascii="Century Gothic" w:hAnsi="Century Gothic"/>
        </w:rPr>
        <w:t xml:space="preserve"> </w:t>
      </w:r>
      <w:r w:rsidRPr="00421B07">
        <w:rPr>
          <w:rFonts w:ascii="Century Gothic" w:hAnsi="Century Gothic"/>
        </w:rPr>
        <w:t>management close out reports. The hourly quantities and rates are based upon previous grant management activities conducted by</w:t>
      </w:r>
      <w:r>
        <w:rPr>
          <w:rFonts w:ascii="Century Gothic" w:hAnsi="Century Gothic"/>
        </w:rPr>
        <w:t xml:space="preserve"> the </w:t>
      </w:r>
      <w:proofErr w:type="spellStart"/>
      <w:r>
        <w:rPr>
          <w:rFonts w:ascii="Century Gothic" w:hAnsi="Century Gothic"/>
        </w:rPr>
        <w:t>subapplicant</w:t>
      </w:r>
      <w:proofErr w:type="spellEnd"/>
      <w:r>
        <w:rPr>
          <w:rFonts w:ascii="Century Gothic" w:hAnsi="Century Gothic"/>
        </w:rPr>
        <w:t xml:space="preserve"> staff</w:t>
      </w:r>
      <w:r w:rsidRPr="00421B07">
        <w:rPr>
          <w:rFonts w:ascii="Century Gothic" w:hAnsi="Century Gothic"/>
        </w:rPr>
        <w:t xml:space="preserve"> in</w:t>
      </w:r>
      <w:r>
        <w:rPr>
          <w:rFonts w:ascii="Century Gothic" w:hAnsi="Century Gothic"/>
        </w:rPr>
        <w:t xml:space="preserve"> </w:t>
      </w:r>
      <w:r w:rsidRPr="00421B07">
        <w:rPr>
          <w:rFonts w:ascii="Century Gothic" w:hAnsi="Century Gothic"/>
        </w:rPr>
        <w:t>executing projects similar in nature and scope.</w:t>
      </w:r>
    </w:p>
    <w:p w14:paraId="19D70A53" w14:textId="77777777" w:rsidR="00421B07" w:rsidRPr="00421B07" w:rsidRDefault="00421B07" w:rsidP="00421B07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36469B15" w14:textId="1AA29418" w:rsidR="001F6E77" w:rsidRDefault="00E279A0" w:rsidP="001F6E77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>
        <w:rPr>
          <w:rFonts w:ascii="Century Gothic" w:hAnsi="Century Gothic"/>
        </w:rPr>
        <w:t>Position: XXXX | Hours: XX | Rate: XX | Total: XXX</w:t>
      </w:r>
    </w:p>
    <w:p w14:paraId="6A181B95" w14:textId="77777777" w:rsidR="001F6E77" w:rsidRPr="001F6E77" w:rsidRDefault="001F6E77" w:rsidP="001F6E77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7945D560" w14:textId="55931DC7" w:rsidR="001F6E77" w:rsidRPr="005D5391" w:rsidRDefault="001F6E77" w:rsidP="001F6E77">
      <w:pPr>
        <w:pStyle w:val="Heading3"/>
        <w:pBdr>
          <w:bottom w:val="single" w:sz="8" w:space="1" w:color="013466"/>
        </w:pBdr>
        <w:rPr>
          <w:rFonts w:ascii="Century Gothic" w:hAnsi="Century Gothic"/>
          <w:color w:val="013466"/>
        </w:rPr>
      </w:pPr>
      <w:r>
        <w:rPr>
          <w:rFonts w:ascii="Century Gothic" w:hAnsi="Century Gothic"/>
          <w:color w:val="013466"/>
        </w:rPr>
        <w:t>Management Cost</w:t>
      </w:r>
    </w:p>
    <w:p w14:paraId="0934B945" w14:textId="77777777" w:rsidR="00CA1D0A" w:rsidRDefault="003E52BB" w:rsidP="00CA1D0A">
      <w:pPr>
        <w:spacing w:after="40" w:line="240" w:lineRule="auto"/>
        <w:contextualSpacing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3E52BB">
        <w:rPr>
          <w:rFonts w:ascii="Century Gothic" w:eastAsia="Times New Roman" w:hAnsi="Century Gothic"/>
          <w:sz w:val="24"/>
          <w:szCs w:val="24"/>
        </w:rPr>
        <w:t>M</w:t>
      </w:r>
      <w:r w:rsidR="00CA1D0A" w:rsidRPr="00CA1D0A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anagement costs are intended to cover costs associated with the </w:t>
      </w:r>
      <w:r w:rsidR="00CA1D0A" w:rsidRPr="00CA1D0A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administrative duties</w:t>
      </w:r>
      <w:r w:rsidR="00CA1D0A" w:rsidRPr="00CA1D0A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of managing the grant (i.e., drafting and submitting quarterly reports, submitting requests for reimbursement, grant closeout).</w:t>
      </w:r>
      <w:r w:rsidR="00CA1D0A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</w:t>
      </w:r>
      <w:r w:rsidR="00CA1D0A" w:rsidRPr="00CA1D0A">
        <w:rPr>
          <w:rFonts w:ascii="Century Gothic" w:eastAsia="Times New Roman" w:hAnsi="Century Gothic" w:cs="Arial"/>
          <w:color w:val="222222"/>
          <w:sz w:val="24"/>
          <w:szCs w:val="24"/>
        </w:rPr>
        <w:t>Costs associated with oversight of project implementation / management are not eligible for management costs and must be included in the overall project budget</w:t>
      </w:r>
      <w:r w:rsidR="00CA1D0A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through project management</w:t>
      </w:r>
      <w:r w:rsidR="00CA1D0A" w:rsidRPr="00CA1D0A">
        <w:rPr>
          <w:rFonts w:ascii="Century Gothic" w:eastAsia="Times New Roman" w:hAnsi="Century Gothic" w:cs="Arial"/>
          <w:color w:val="222222"/>
          <w:sz w:val="24"/>
          <w:szCs w:val="24"/>
        </w:rPr>
        <w:t>.</w:t>
      </w:r>
    </w:p>
    <w:p w14:paraId="0E778C55" w14:textId="77777777" w:rsidR="00CA1D0A" w:rsidRDefault="00CA1D0A" w:rsidP="00CA1D0A">
      <w:pPr>
        <w:spacing w:after="40" w:line="240" w:lineRule="auto"/>
        <w:contextualSpacing/>
        <w:rPr>
          <w:rFonts w:ascii="Century Gothic" w:eastAsia="Times New Roman" w:hAnsi="Century Gothic" w:cs="Arial"/>
          <w:color w:val="222222"/>
          <w:sz w:val="24"/>
          <w:szCs w:val="24"/>
        </w:rPr>
      </w:pPr>
    </w:p>
    <w:p w14:paraId="2924A458" w14:textId="0C843C33" w:rsidR="00603B16" w:rsidRDefault="00CA1D0A" w:rsidP="00CA1D0A">
      <w:pPr>
        <w:spacing w:after="40" w:line="240" w:lineRule="auto"/>
        <w:contextualSpacing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CA1D0A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Management costs </w:t>
      </w:r>
      <w:r>
        <w:rPr>
          <w:rFonts w:ascii="Century Gothic" w:eastAsia="Times New Roman" w:hAnsi="Century Gothic" w:cs="Arial"/>
          <w:color w:val="222222"/>
          <w:sz w:val="24"/>
          <w:szCs w:val="24"/>
        </w:rPr>
        <w:t>can be 5% o</w:t>
      </w:r>
      <w:r w:rsidR="00246011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n top of </w:t>
      </w:r>
      <w:r>
        <w:rPr>
          <w:rFonts w:ascii="Century Gothic" w:eastAsia="Times New Roman" w:hAnsi="Century Gothic" w:cs="Arial"/>
          <w:color w:val="222222"/>
          <w:sz w:val="24"/>
          <w:szCs w:val="24"/>
        </w:rPr>
        <w:t xml:space="preserve">the total project cost and are funded </w:t>
      </w:r>
      <w:r w:rsidR="00246011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solely </w:t>
      </w:r>
      <w:r>
        <w:rPr>
          <w:rFonts w:ascii="Century Gothic" w:eastAsia="Times New Roman" w:hAnsi="Century Gothic" w:cs="Arial"/>
          <w:color w:val="222222"/>
          <w:sz w:val="24"/>
          <w:szCs w:val="24"/>
        </w:rPr>
        <w:t>by the federal share. Management costs do not need to be included</w:t>
      </w:r>
      <w:r w:rsidRPr="00CA1D0A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in the BCA.</w:t>
      </w:r>
    </w:p>
    <w:p w14:paraId="4806238E" w14:textId="2E8ECCD0" w:rsidR="00CA1284" w:rsidRDefault="00CA1284" w:rsidP="00CA1D0A">
      <w:pPr>
        <w:spacing w:after="40" w:line="240" w:lineRule="auto"/>
        <w:contextualSpacing/>
        <w:rPr>
          <w:rFonts w:ascii="Century Gothic" w:eastAsia="Times New Roman" w:hAnsi="Century Gothic" w:cs="Arial"/>
          <w:color w:val="222222"/>
          <w:sz w:val="24"/>
          <w:szCs w:val="24"/>
        </w:rPr>
      </w:pPr>
    </w:p>
    <w:p w14:paraId="37541351" w14:textId="2A456BD1" w:rsidR="00CA1284" w:rsidRPr="00CA1284" w:rsidRDefault="00CA1284" w:rsidP="00CA1D0A">
      <w:pPr>
        <w:spacing w:after="40" w:line="240" w:lineRule="auto"/>
        <w:contextualSpacing/>
        <w:rPr>
          <w:rFonts w:ascii="Century Gothic" w:eastAsia="Times New Roman" w:hAnsi="Century Gothic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CA1284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All vendors must be procured in line with 2 CFR 200, State, and local procurement policies, most stringent applies.</w:t>
      </w:r>
    </w:p>
    <w:p w14:paraId="4C61EE88" w14:textId="77777777" w:rsidR="00CA1D0A" w:rsidRPr="00CA1D0A" w:rsidRDefault="00CA1D0A" w:rsidP="00CA1D0A">
      <w:pPr>
        <w:spacing w:after="4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</w:p>
    <w:p w14:paraId="3BB06E2E" w14:textId="7B4B897A" w:rsidR="00737520" w:rsidRPr="00737520" w:rsidRDefault="00737520" w:rsidP="00737520">
      <w:pPr>
        <w:pStyle w:val="Heading5"/>
        <w:spacing w:before="0" w:after="40" w:line="240" w:lineRule="auto"/>
        <w:contextualSpacing/>
        <w:rPr>
          <w:color w:val="auto"/>
        </w:rPr>
      </w:pPr>
      <w:r w:rsidRPr="00737520">
        <w:rPr>
          <w:color w:val="auto"/>
        </w:rPr>
        <w:t xml:space="preserve">Examples: </w:t>
      </w:r>
    </w:p>
    <w:p w14:paraId="45BF3E3F" w14:textId="77777777" w:rsidR="00737520" w:rsidRPr="00737520" w:rsidRDefault="00737520" w:rsidP="001F6E77">
      <w:pPr>
        <w:spacing w:after="8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763FC665" w14:textId="2DCD8FC4" w:rsidR="001F6E77" w:rsidRDefault="001F6E77" w:rsidP="001F6E77">
      <w:pPr>
        <w:spacing w:after="80" w:line="240" w:lineRule="auto"/>
        <w:contextualSpacing/>
        <w:rPr>
          <w:rFonts w:ascii="Century Gothic" w:hAnsi="Century Gothic"/>
          <w:b/>
          <w:bCs/>
          <w:color w:val="015E90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Pre-Award: </w:t>
      </w:r>
      <w:proofErr w:type="spellStart"/>
      <w:r w:rsidRPr="005D5391">
        <w:rPr>
          <w:rFonts w:ascii="Century Gothic" w:hAnsi="Century Gothic"/>
          <w:b/>
          <w:bCs/>
          <w:color w:val="015E90"/>
        </w:rPr>
        <w:t>Subapplication</w:t>
      </w:r>
      <w:proofErr w:type="spellEnd"/>
      <w:r w:rsidRPr="005D5391">
        <w:rPr>
          <w:rFonts w:ascii="Century Gothic" w:hAnsi="Century Gothic"/>
          <w:b/>
          <w:bCs/>
          <w:color w:val="015E90"/>
        </w:rPr>
        <w:t xml:space="preserve"> Development</w:t>
      </w:r>
      <w:r w:rsidR="00BE5813">
        <w:rPr>
          <w:rFonts w:ascii="Century Gothic" w:hAnsi="Century Gothic"/>
          <w:b/>
          <w:bCs/>
          <w:color w:val="015E90"/>
        </w:rPr>
        <w:t xml:space="preserve"> / </w:t>
      </w:r>
      <w:r w:rsidR="00425E3A">
        <w:rPr>
          <w:rFonts w:ascii="Century Gothic" w:hAnsi="Century Gothic"/>
          <w:b/>
          <w:bCs/>
          <w:color w:val="015E90"/>
        </w:rPr>
        <w:t>BCA</w:t>
      </w:r>
    </w:p>
    <w:p w14:paraId="07AB0FA0" w14:textId="77777777" w:rsidR="001F6E77" w:rsidRPr="00801962" w:rsidRDefault="001F6E77" w:rsidP="001F6E77">
      <w:pPr>
        <w:spacing w:after="80" w:line="240" w:lineRule="auto"/>
        <w:contextualSpacing/>
        <w:rPr>
          <w:rFonts w:ascii="Century Gothic" w:hAnsi="Century Gothic"/>
          <w:b/>
          <w:bCs/>
          <w:color w:val="000636"/>
          <w:sz w:val="18"/>
          <w:szCs w:val="18"/>
        </w:rPr>
      </w:pPr>
      <w:r w:rsidRPr="00801962">
        <w:rPr>
          <w:rFonts w:ascii="Century Gothic" w:hAnsi="Century Gothic"/>
          <w:b/>
          <w:bCs/>
          <w:color w:val="000636"/>
          <w:sz w:val="18"/>
          <w:szCs w:val="18"/>
        </w:rPr>
        <w:t>(</w:t>
      </w: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Insert Schedule Task ID</w:t>
      </w:r>
      <w:r w:rsidRPr="00801962">
        <w:rPr>
          <w:rFonts w:ascii="Century Gothic" w:hAnsi="Century Gothic"/>
          <w:b/>
          <w:bCs/>
          <w:color w:val="000636"/>
          <w:sz w:val="18"/>
          <w:szCs w:val="18"/>
        </w:rPr>
        <w:t>)</w:t>
      </w:r>
    </w:p>
    <w:p w14:paraId="48831536" w14:textId="77777777" w:rsidR="001F6E77" w:rsidRPr="005D5391" w:rsidRDefault="001F6E77" w:rsidP="001F6E77">
      <w:pPr>
        <w:spacing w:after="80" w:line="240" w:lineRule="auto"/>
        <w:contextualSpacing/>
        <w:rPr>
          <w:rFonts w:ascii="Century Gothic" w:hAnsi="Century Gothic"/>
          <w:sz w:val="6"/>
          <w:szCs w:val="6"/>
        </w:rPr>
      </w:pPr>
    </w:p>
    <w:p w14:paraId="67D19946" w14:textId="77777777" w:rsidR="001F6E77" w:rsidRDefault="001F6E77" w:rsidP="001F6E77">
      <w:pPr>
        <w:spacing w:after="40" w:line="240" w:lineRule="auto"/>
        <w:contextualSpacing/>
        <w:rPr>
          <w:rFonts w:ascii="Century Gothic" w:hAnsi="Century Gothic"/>
        </w:rPr>
      </w:pPr>
      <w:r w:rsidRPr="00723067">
        <w:rPr>
          <w:rFonts w:ascii="Century Gothic" w:hAnsi="Century Gothic"/>
        </w:rPr>
        <w:t xml:space="preserve">Internal staff (or consultant) time to develop the </w:t>
      </w:r>
      <w:r>
        <w:rPr>
          <w:rFonts w:ascii="Century Gothic" w:hAnsi="Century Gothic"/>
        </w:rPr>
        <w:t>BRIC/FMA</w:t>
      </w:r>
      <w:r w:rsidRPr="00723067">
        <w:rPr>
          <w:rFonts w:ascii="Century Gothic" w:hAnsi="Century Gothic"/>
        </w:rPr>
        <w:t xml:space="preserve"> </w:t>
      </w:r>
      <w:proofErr w:type="spellStart"/>
      <w:r w:rsidRPr="00723067">
        <w:rPr>
          <w:rFonts w:ascii="Century Gothic" w:hAnsi="Century Gothic"/>
        </w:rPr>
        <w:t>subapplication</w:t>
      </w:r>
      <w:proofErr w:type="spellEnd"/>
      <w:r w:rsidRPr="00723067">
        <w:rPr>
          <w:rFonts w:ascii="Century Gothic" w:hAnsi="Century Gothic"/>
        </w:rPr>
        <w:t>.</w:t>
      </w:r>
    </w:p>
    <w:p w14:paraId="6EF1F868" w14:textId="77777777" w:rsidR="001F6E77" w:rsidRPr="005D5391" w:rsidRDefault="001F6E77" w:rsidP="001F6E77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53D38FC9" w14:textId="77777777" w:rsidR="001F6E77" w:rsidRDefault="001F6E77" w:rsidP="001F6E77">
      <w:pPr>
        <w:spacing w:after="4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54D01B0E" w14:textId="77777777" w:rsidR="00F50D68" w:rsidRDefault="001F6E77" w:rsidP="00494F62">
      <w:pPr>
        <w:spacing w:after="40" w:line="240" w:lineRule="auto"/>
        <w:rPr>
          <w:rFonts w:ascii="Century Gothic" w:hAnsi="Century Gothic"/>
        </w:rPr>
      </w:pPr>
      <w:r w:rsidRPr="00723067">
        <w:rPr>
          <w:rFonts w:ascii="Century Gothic" w:hAnsi="Century Gothic"/>
        </w:rPr>
        <w:t>If consultant, include contract amount.</w:t>
      </w:r>
    </w:p>
    <w:p w14:paraId="18EE0078" w14:textId="6DC5B57B" w:rsidR="00494F62" w:rsidRPr="00F50D68" w:rsidRDefault="00494F62" w:rsidP="00494F62">
      <w:pPr>
        <w:spacing w:after="40" w:line="240" w:lineRule="auto"/>
        <w:rPr>
          <w:rFonts w:ascii="Century Gothic" w:hAnsi="Century Gothic"/>
        </w:rPr>
      </w:pPr>
      <w:r w:rsidRPr="005D5391">
        <w:rPr>
          <w:rFonts w:ascii="Century Gothic" w:hAnsi="Century Gothic"/>
          <w:b/>
          <w:bCs/>
          <w:color w:val="015E90"/>
        </w:rPr>
        <w:t xml:space="preserve">Phase 1: </w:t>
      </w:r>
      <w:r w:rsidR="003E52BB">
        <w:rPr>
          <w:rFonts w:ascii="Century Gothic" w:hAnsi="Century Gothic"/>
          <w:b/>
          <w:bCs/>
          <w:color w:val="015E90"/>
        </w:rPr>
        <w:t xml:space="preserve"> Grant </w:t>
      </w:r>
      <w:r>
        <w:rPr>
          <w:rFonts w:ascii="Century Gothic" w:hAnsi="Century Gothic"/>
          <w:b/>
          <w:bCs/>
          <w:color w:val="015E90"/>
        </w:rPr>
        <w:t>Management Cost</w:t>
      </w:r>
    </w:p>
    <w:p w14:paraId="7D94C40C" w14:textId="77777777" w:rsidR="00494F62" w:rsidRPr="00801962" w:rsidRDefault="00494F62" w:rsidP="00494F62">
      <w:pPr>
        <w:spacing w:after="40" w:line="240" w:lineRule="auto"/>
        <w:contextualSpacing/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4F31F300" w14:textId="77777777" w:rsidR="00494F62" w:rsidRPr="00775017" w:rsidRDefault="00494F62" w:rsidP="00494F62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4A441D8B" w14:textId="56366AAA" w:rsidR="00494F62" w:rsidRDefault="00494F62" w:rsidP="00494F62">
      <w:pPr>
        <w:spacing w:after="4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proofErr w:type="spellStart"/>
      <w:r>
        <w:rPr>
          <w:rFonts w:ascii="Century Gothic" w:hAnsi="Century Gothic"/>
        </w:rPr>
        <w:t>subapplicant</w:t>
      </w:r>
      <w:proofErr w:type="spellEnd"/>
      <w:r w:rsidRPr="00775017">
        <w:rPr>
          <w:rFonts w:ascii="Century Gothic" w:hAnsi="Century Gothic"/>
        </w:rPr>
        <w:t xml:space="preserve"> with support from a consultant, will manage the grant</w:t>
      </w:r>
      <w:r w:rsidR="00BE5813">
        <w:rPr>
          <w:rFonts w:ascii="Century Gothic" w:hAnsi="Century Gothic"/>
        </w:rPr>
        <w:t xml:space="preserve"> </w:t>
      </w:r>
      <w:r w:rsidRPr="00775017">
        <w:rPr>
          <w:rFonts w:ascii="Century Gothic" w:hAnsi="Century Gothic"/>
        </w:rPr>
        <w:t>implementation process.</w:t>
      </w:r>
      <w:r>
        <w:rPr>
          <w:rFonts w:ascii="Century Gothic" w:hAnsi="Century Gothic"/>
        </w:rPr>
        <w:t xml:space="preserve"> </w:t>
      </w:r>
      <w:r w:rsidRPr="00775017">
        <w:rPr>
          <w:rFonts w:ascii="Century Gothic" w:hAnsi="Century Gothic"/>
        </w:rPr>
        <w:t>The hourly quantities and rates are based upon previous grant</w:t>
      </w:r>
      <w:r w:rsidR="00BE5813">
        <w:rPr>
          <w:rFonts w:ascii="Century Gothic" w:hAnsi="Century Gothic"/>
        </w:rPr>
        <w:t xml:space="preserve"> </w:t>
      </w:r>
      <w:r w:rsidRPr="00775017">
        <w:rPr>
          <w:rFonts w:ascii="Century Gothic" w:hAnsi="Century Gothic"/>
        </w:rPr>
        <w:t>activities</w:t>
      </w:r>
      <w:r>
        <w:rPr>
          <w:rFonts w:ascii="Century Gothic" w:hAnsi="Century Gothic"/>
        </w:rPr>
        <w:t xml:space="preserve"> </w:t>
      </w:r>
      <w:r w:rsidRPr="00775017">
        <w:rPr>
          <w:rFonts w:ascii="Century Gothic" w:hAnsi="Century Gothic"/>
        </w:rPr>
        <w:t xml:space="preserve">conducted by </w:t>
      </w:r>
      <w:r>
        <w:rPr>
          <w:rFonts w:ascii="Century Gothic" w:hAnsi="Century Gothic"/>
        </w:rPr>
        <w:t xml:space="preserve">the </w:t>
      </w:r>
      <w:proofErr w:type="spellStart"/>
      <w:r>
        <w:rPr>
          <w:rFonts w:ascii="Century Gothic" w:hAnsi="Century Gothic"/>
        </w:rPr>
        <w:t>subapplicant</w:t>
      </w:r>
      <w:proofErr w:type="spellEnd"/>
      <w:r>
        <w:rPr>
          <w:rFonts w:ascii="Century Gothic" w:hAnsi="Century Gothic"/>
        </w:rPr>
        <w:t xml:space="preserve"> s</w:t>
      </w:r>
      <w:r w:rsidRPr="00775017">
        <w:rPr>
          <w:rFonts w:ascii="Century Gothic" w:hAnsi="Century Gothic"/>
        </w:rPr>
        <w:t>taff in executing projects similar in nature and</w:t>
      </w:r>
      <w:r>
        <w:rPr>
          <w:rFonts w:ascii="Century Gothic" w:hAnsi="Century Gothic"/>
        </w:rPr>
        <w:t xml:space="preserve"> </w:t>
      </w:r>
      <w:r w:rsidRPr="00775017">
        <w:rPr>
          <w:rFonts w:ascii="Century Gothic" w:hAnsi="Century Gothic"/>
        </w:rPr>
        <w:t>scope.</w:t>
      </w:r>
    </w:p>
    <w:p w14:paraId="322E2F78" w14:textId="77777777" w:rsidR="00494F62" w:rsidRPr="00775017" w:rsidRDefault="00494F62" w:rsidP="00494F62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75034153" w14:textId="30DFDD7F" w:rsidR="00494F62" w:rsidRDefault="00494F62" w:rsidP="00494F62">
      <w:pPr>
        <w:rPr>
          <w:rFonts w:ascii="Century Gothic" w:hAnsi="Century Gothic"/>
        </w:rPr>
      </w:pPr>
      <w:r>
        <w:rPr>
          <w:rFonts w:ascii="Century Gothic" w:hAnsi="Century Gothic"/>
        </w:rPr>
        <w:t>Position: XXXX | Hours: XX | Rate: XX | Total: XXX</w:t>
      </w:r>
    </w:p>
    <w:p w14:paraId="64B759F5" w14:textId="77777777" w:rsidR="00494F62" w:rsidRDefault="00494F62" w:rsidP="00494F62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</w:p>
    <w:p w14:paraId="299C08DF" w14:textId="2523C4A9" w:rsidR="00494F62" w:rsidRDefault="00494F62" w:rsidP="00494F62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>
        <w:rPr>
          <w:rFonts w:ascii="Century Gothic" w:hAnsi="Century Gothic"/>
          <w:b/>
          <w:bCs/>
          <w:color w:val="015E90"/>
        </w:rPr>
        <w:t xml:space="preserve">Phase 2: </w:t>
      </w:r>
      <w:r w:rsidR="003E52BB">
        <w:rPr>
          <w:rFonts w:ascii="Century Gothic" w:hAnsi="Century Gothic"/>
          <w:b/>
          <w:bCs/>
          <w:color w:val="015E90"/>
        </w:rPr>
        <w:t xml:space="preserve">Grant </w:t>
      </w:r>
      <w:r>
        <w:rPr>
          <w:rFonts w:ascii="Century Gothic" w:hAnsi="Century Gothic"/>
          <w:b/>
          <w:bCs/>
          <w:color w:val="015E90"/>
        </w:rPr>
        <w:t>Management Cost</w:t>
      </w:r>
    </w:p>
    <w:p w14:paraId="620D255B" w14:textId="77777777" w:rsidR="00494F62" w:rsidRPr="00801962" w:rsidRDefault="00494F62" w:rsidP="00494F62">
      <w:pPr>
        <w:spacing w:after="40" w:line="240" w:lineRule="auto"/>
        <w:contextualSpacing/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</w:pPr>
      <w:r w:rsidRPr="00801962">
        <w:rPr>
          <w:rFonts w:ascii="Century Gothic" w:hAnsi="Century Gothic"/>
          <w:b/>
          <w:bCs/>
          <w:i/>
          <w:iCs/>
          <w:color w:val="000636"/>
          <w:sz w:val="18"/>
          <w:szCs w:val="18"/>
        </w:rPr>
        <w:t>(Insert Schedule Task ID)</w:t>
      </w:r>
    </w:p>
    <w:p w14:paraId="2D5F05CD" w14:textId="77777777" w:rsidR="00494F62" w:rsidRPr="00775017" w:rsidRDefault="00494F62" w:rsidP="00494F62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  <w:sz w:val="6"/>
          <w:szCs w:val="6"/>
        </w:rPr>
      </w:pPr>
    </w:p>
    <w:p w14:paraId="316E58F9" w14:textId="5B7D2581" w:rsidR="00494F62" w:rsidRDefault="00494F62" w:rsidP="00494F62">
      <w:pPr>
        <w:spacing w:after="4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proofErr w:type="spellStart"/>
      <w:r>
        <w:rPr>
          <w:rFonts w:ascii="Century Gothic" w:hAnsi="Century Gothic"/>
        </w:rPr>
        <w:t>subapplicant</w:t>
      </w:r>
      <w:proofErr w:type="spellEnd"/>
      <w:r w:rsidRPr="00775017">
        <w:rPr>
          <w:rFonts w:ascii="Century Gothic" w:hAnsi="Century Gothic"/>
        </w:rPr>
        <w:t xml:space="preserve"> with support from a consultant, will manage the grant process.</w:t>
      </w:r>
      <w:r>
        <w:rPr>
          <w:rFonts w:ascii="Century Gothic" w:hAnsi="Century Gothic"/>
        </w:rPr>
        <w:t xml:space="preserve"> </w:t>
      </w:r>
      <w:r w:rsidRPr="00775017">
        <w:rPr>
          <w:rFonts w:ascii="Century Gothic" w:hAnsi="Century Gothic"/>
        </w:rPr>
        <w:t>The hourly quantities and rates are based upon previous grant management activities</w:t>
      </w:r>
      <w:r>
        <w:rPr>
          <w:rFonts w:ascii="Century Gothic" w:hAnsi="Century Gothic"/>
        </w:rPr>
        <w:t xml:space="preserve"> </w:t>
      </w:r>
      <w:r w:rsidRPr="00775017">
        <w:rPr>
          <w:rFonts w:ascii="Century Gothic" w:hAnsi="Century Gothic"/>
        </w:rPr>
        <w:t xml:space="preserve">conducted by </w:t>
      </w:r>
      <w:r>
        <w:rPr>
          <w:rFonts w:ascii="Century Gothic" w:hAnsi="Century Gothic"/>
        </w:rPr>
        <w:t xml:space="preserve">the </w:t>
      </w:r>
      <w:proofErr w:type="spellStart"/>
      <w:r>
        <w:rPr>
          <w:rFonts w:ascii="Century Gothic" w:hAnsi="Century Gothic"/>
        </w:rPr>
        <w:t>subapplicant</w:t>
      </w:r>
      <w:proofErr w:type="spellEnd"/>
      <w:r>
        <w:rPr>
          <w:rFonts w:ascii="Century Gothic" w:hAnsi="Century Gothic"/>
        </w:rPr>
        <w:t xml:space="preserve"> s</w:t>
      </w:r>
      <w:r w:rsidRPr="00775017">
        <w:rPr>
          <w:rFonts w:ascii="Century Gothic" w:hAnsi="Century Gothic"/>
        </w:rPr>
        <w:t>taff in executing projects similar in nature and</w:t>
      </w:r>
      <w:r>
        <w:rPr>
          <w:rFonts w:ascii="Century Gothic" w:hAnsi="Century Gothic"/>
        </w:rPr>
        <w:t xml:space="preserve"> </w:t>
      </w:r>
      <w:r w:rsidRPr="00775017">
        <w:rPr>
          <w:rFonts w:ascii="Century Gothic" w:hAnsi="Century Gothic"/>
        </w:rPr>
        <w:t>scope.</w:t>
      </w:r>
    </w:p>
    <w:p w14:paraId="71581794" w14:textId="77777777" w:rsidR="00494F62" w:rsidRPr="00775017" w:rsidRDefault="00494F62" w:rsidP="00494F62">
      <w:pPr>
        <w:spacing w:after="40" w:line="240" w:lineRule="auto"/>
        <w:contextualSpacing/>
        <w:rPr>
          <w:rFonts w:ascii="Century Gothic" w:hAnsi="Century Gothic"/>
          <w:sz w:val="6"/>
          <w:szCs w:val="6"/>
        </w:rPr>
      </w:pPr>
    </w:p>
    <w:p w14:paraId="5B8D81C6" w14:textId="77777777" w:rsidR="00494F62" w:rsidRPr="001A62F8" w:rsidRDefault="00494F62" w:rsidP="00494F62">
      <w:pPr>
        <w:spacing w:after="40" w:line="240" w:lineRule="auto"/>
        <w:contextualSpacing/>
        <w:rPr>
          <w:rFonts w:ascii="Century Gothic" w:hAnsi="Century Gothic"/>
          <w:b/>
          <w:bCs/>
          <w:color w:val="015E90"/>
        </w:rPr>
      </w:pPr>
      <w:r>
        <w:rPr>
          <w:rFonts w:ascii="Century Gothic" w:hAnsi="Century Gothic"/>
        </w:rPr>
        <w:t>Position: XXXX | Hours: XX | Rate: XX | Total: XXX</w:t>
      </w:r>
    </w:p>
    <w:p w14:paraId="6B0AA68F" w14:textId="77777777" w:rsidR="009D5F4B" w:rsidRPr="00217383" w:rsidRDefault="009D5F4B" w:rsidP="00217383">
      <w:pPr>
        <w:rPr>
          <w:rFonts w:ascii="Century Gothic" w:hAnsi="Century Gothic"/>
        </w:rPr>
      </w:pPr>
    </w:p>
    <w:sectPr w:rsidR="009D5F4B" w:rsidRPr="00217383" w:rsidSect="00801962">
      <w:footerReference w:type="default" r:id="rId10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DFD2" w14:textId="77777777" w:rsidR="00107310" w:rsidRDefault="00107310" w:rsidP="00F56173">
      <w:pPr>
        <w:spacing w:after="0" w:line="240" w:lineRule="auto"/>
      </w:pPr>
      <w:r>
        <w:separator/>
      </w:r>
    </w:p>
  </w:endnote>
  <w:endnote w:type="continuationSeparator" w:id="0">
    <w:p w14:paraId="572FD354" w14:textId="77777777" w:rsidR="00107310" w:rsidRDefault="00107310" w:rsidP="00F56173">
      <w:pPr>
        <w:spacing w:after="0" w:line="240" w:lineRule="auto"/>
      </w:pPr>
      <w:r>
        <w:continuationSeparator/>
      </w:r>
    </w:p>
  </w:endnote>
  <w:endnote w:type="continuationNotice" w:id="1">
    <w:p w14:paraId="6DB5A86A" w14:textId="77777777" w:rsidR="00107310" w:rsidRDefault="00107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ECD2" w14:textId="31381D4C" w:rsidR="00F56173" w:rsidRPr="00F56173" w:rsidRDefault="00F56173" w:rsidP="00F56173">
    <w:pPr>
      <w:pStyle w:val="Footer"/>
      <w:pBdr>
        <w:between w:val="single" w:sz="8" w:space="1" w:color="015E90"/>
      </w:pBdr>
      <w:tabs>
        <w:tab w:val="right" w:pos="9900"/>
      </w:tabs>
      <w:rPr>
        <w:rFonts w:ascii="Century Gothic" w:hAnsi="Century Gothic"/>
        <w:b/>
        <w:bCs/>
        <w:color w:val="000636"/>
      </w:rPr>
    </w:pPr>
    <w:r w:rsidRPr="00A8341E">
      <w:rPr>
        <w:rFonts w:ascii="Century Gothic" w:hAnsi="Century Gothic"/>
        <w:b/>
        <w:bCs/>
        <w:color w:val="FF0000"/>
      </w:rPr>
      <w:t>[Insert Project Title]</w:t>
    </w:r>
  </w:p>
  <w:p w14:paraId="1C9DE0E5" w14:textId="5A5B87C9" w:rsidR="00F56173" w:rsidRPr="00F56173" w:rsidRDefault="00F56173" w:rsidP="00F56173">
    <w:pPr>
      <w:pBdr>
        <w:between w:val="single" w:sz="8" w:space="1" w:color="015E90"/>
      </w:pBdr>
      <w:tabs>
        <w:tab w:val="right" w:pos="9900"/>
      </w:tabs>
      <w:rPr>
        <w:rFonts w:ascii="Century Gothic" w:hAnsi="Century Gothic"/>
        <w:bCs/>
        <w:color w:val="4472C4" w:themeColor="accent1"/>
      </w:rPr>
    </w:pPr>
    <w:proofErr w:type="spellStart"/>
    <w:r w:rsidRPr="00F56173">
      <w:rPr>
        <w:rStyle w:val="FooterChar"/>
        <w:rFonts w:ascii="Century Gothic" w:hAnsi="Century Gothic"/>
        <w:bCs/>
        <w:color w:val="000636"/>
      </w:rPr>
      <w:t>Subapplication</w:t>
    </w:r>
    <w:proofErr w:type="spellEnd"/>
    <w:r w:rsidRPr="00F56173">
      <w:rPr>
        <w:rStyle w:val="FooterChar"/>
        <w:rFonts w:ascii="Century Gothic" w:hAnsi="Century Gothic"/>
        <w:bCs/>
        <w:color w:val="000636"/>
      </w:rPr>
      <w:t xml:space="preserve"> Cost Estimate Narrative</w:t>
    </w:r>
    <w:r w:rsidRPr="00F56173">
      <w:rPr>
        <w:rStyle w:val="FooterChar"/>
        <w:rFonts w:ascii="Century Gothic" w:hAnsi="Century Gothic"/>
        <w:bCs/>
      </w:rPr>
      <w:tab/>
    </w:r>
    <w:r w:rsidRPr="00F56173">
      <w:rPr>
        <w:rStyle w:val="FooterChar"/>
        <w:rFonts w:ascii="Century Gothic" w:hAnsi="Century Gothic"/>
        <w:b/>
        <w:bCs/>
      </w:rPr>
      <w:fldChar w:fldCharType="begin"/>
    </w:r>
    <w:r w:rsidRPr="00F56173">
      <w:rPr>
        <w:rStyle w:val="FooterChar"/>
        <w:rFonts w:ascii="Century Gothic" w:hAnsi="Century Gothic"/>
        <w:bCs/>
      </w:rPr>
      <w:instrText xml:space="preserve"> PAGE   \* MERGEFORMAT </w:instrText>
    </w:r>
    <w:r w:rsidRPr="00F56173">
      <w:rPr>
        <w:rStyle w:val="FooterChar"/>
        <w:rFonts w:ascii="Century Gothic" w:hAnsi="Century Gothic"/>
        <w:b/>
        <w:bCs/>
      </w:rPr>
      <w:fldChar w:fldCharType="separate"/>
    </w:r>
    <w:r w:rsidRPr="00F56173">
      <w:rPr>
        <w:rStyle w:val="FooterChar"/>
        <w:rFonts w:ascii="Century Gothic" w:hAnsi="Century Gothic"/>
        <w:b/>
        <w:bCs/>
      </w:rPr>
      <w:t>1</w:t>
    </w:r>
    <w:r w:rsidRPr="00F56173">
      <w:rPr>
        <w:rStyle w:val="FooterChar"/>
        <w:rFonts w:ascii="Century Gothic" w:hAnsi="Century Gothic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ACAA" w14:textId="77777777" w:rsidR="00107310" w:rsidRDefault="00107310" w:rsidP="00F56173">
      <w:pPr>
        <w:spacing w:after="0" w:line="240" w:lineRule="auto"/>
      </w:pPr>
      <w:r>
        <w:separator/>
      </w:r>
    </w:p>
  </w:footnote>
  <w:footnote w:type="continuationSeparator" w:id="0">
    <w:p w14:paraId="163E2706" w14:textId="77777777" w:rsidR="00107310" w:rsidRDefault="00107310" w:rsidP="00F56173">
      <w:pPr>
        <w:spacing w:after="0" w:line="240" w:lineRule="auto"/>
      </w:pPr>
      <w:r>
        <w:continuationSeparator/>
      </w:r>
    </w:p>
  </w:footnote>
  <w:footnote w:type="continuationNotice" w:id="1">
    <w:p w14:paraId="6555FEDC" w14:textId="77777777" w:rsidR="00107310" w:rsidRDefault="001073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115"/>
    <w:multiLevelType w:val="hybridMultilevel"/>
    <w:tmpl w:val="9CF62F4E"/>
    <w:lvl w:ilvl="0" w:tplc="6F72C48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368E3"/>
    <w:multiLevelType w:val="hybridMultilevel"/>
    <w:tmpl w:val="DAA45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1780"/>
    <w:multiLevelType w:val="multilevel"/>
    <w:tmpl w:val="8536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5608D"/>
    <w:multiLevelType w:val="hybridMultilevel"/>
    <w:tmpl w:val="3A2ABEBC"/>
    <w:lvl w:ilvl="0" w:tplc="75E07D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76783">
    <w:abstractNumId w:val="1"/>
  </w:num>
  <w:num w:numId="2" w16cid:durableId="825829149">
    <w:abstractNumId w:val="3"/>
  </w:num>
  <w:num w:numId="3" w16cid:durableId="526022675">
    <w:abstractNumId w:val="0"/>
  </w:num>
  <w:num w:numId="4" w16cid:durableId="1913806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B5"/>
    <w:rsid w:val="00003F8B"/>
    <w:rsid w:val="000105ED"/>
    <w:rsid w:val="00040294"/>
    <w:rsid w:val="00041031"/>
    <w:rsid w:val="000436BA"/>
    <w:rsid w:val="00044C55"/>
    <w:rsid w:val="00044FEE"/>
    <w:rsid w:val="00053849"/>
    <w:rsid w:val="00072848"/>
    <w:rsid w:val="00083962"/>
    <w:rsid w:val="000839C9"/>
    <w:rsid w:val="00094289"/>
    <w:rsid w:val="000A5C8D"/>
    <w:rsid w:val="000B2C8C"/>
    <w:rsid w:val="000D1756"/>
    <w:rsid w:val="000D1AB5"/>
    <w:rsid w:val="000D6404"/>
    <w:rsid w:val="000E0474"/>
    <w:rsid w:val="00107310"/>
    <w:rsid w:val="00130A30"/>
    <w:rsid w:val="001320CA"/>
    <w:rsid w:val="001429B3"/>
    <w:rsid w:val="0015588E"/>
    <w:rsid w:val="0016141F"/>
    <w:rsid w:val="001634F7"/>
    <w:rsid w:val="001A0067"/>
    <w:rsid w:val="001A0D01"/>
    <w:rsid w:val="001A62F8"/>
    <w:rsid w:val="001E600E"/>
    <w:rsid w:val="001E7120"/>
    <w:rsid w:val="001F6E77"/>
    <w:rsid w:val="00210FFE"/>
    <w:rsid w:val="00211BC9"/>
    <w:rsid w:val="00217383"/>
    <w:rsid w:val="002378A7"/>
    <w:rsid w:val="00237B07"/>
    <w:rsid w:val="00240335"/>
    <w:rsid w:val="00242D42"/>
    <w:rsid w:val="002439DB"/>
    <w:rsid w:val="00246011"/>
    <w:rsid w:val="002746A9"/>
    <w:rsid w:val="00275F43"/>
    <w:rsid w:val="00276AF7"/>
    <w:rsid w:val="002B0619"/>
    <w:rsid w:val="002B2220"/>
    <w:rsid w:val="002C6ECE"/>
    <w:rsid w:val="002D6CFD"/>
    <w:rsid w:val="002F033F"/>
    <w:rsid w:val="002F6AD2"/>
    <w:rsid w:val="00304A75"/>
    <w:rsid w:val="003351CF"/>
    <w:rsid w:val="003352A4"/>
    <w:rsid w:val="00341CC9"/>
    <w:rsid w:val="00377040"/>
    <w:rsid w:val="0039414E"/>
    <w:rsid w:val="00394CCD"/>
    <w:rsid w:val="003A42AA"/>
    <w:rsid w:val="003C63D1"/>
    <w:rsid w:val="003D435D"/>
    <w:rsid w:val="003E52BB"/>
    <w:rsid w:val="003F3EC2"/>
    <w:rsid w:val="00421B07"/>
    <w:rsid w:val="00425E3A"/>
    <w:rsid w:val="004355EC"/>
    <w:rsid w:val="00454120"/>
    <w:rsid w:val="0045671F"/>
    <w:rsid w:val="00481754"/>
    <w:rsid w:val="00485A11"/>
    <w:rsid w:val="00494F62"/>
    <w:rsid w:val="004A46C0"/>
    <w:rsid w:val="004B5954"/>
    <w:rsid w:val="004B5A0D"/>
    <w:rsid w:val="004B65A0"/>
    <w:rsid w:val="004D4477"/>
    <w:rsid w:val="00511302"/>
    <w:rsid w:val="00533D76"/>
    <w:rsid w:val="00546DB8"/>
    <w:rsid w:val="00571EB2"/>
    <w:rsid w:val="00581D18"/>
    <w:rsid w:val="00584F22"/>
    <w:rsid w:val="00593BA2"/>
    <w:rsid w:val="005A0E53"/>
    <w:rsid w:val="005B3C87"/>
    <w:rsid w:val="005C5FFB"/>
    <w:rsid w:val="005D3E62"/>
    <w:rsid w:val="005D5391"/>
    <w:rsid w:val="005E7C97"/>
    <w:rsid w:val="005F23C7"/>
    <w:rsid w:val="00603B16"/>
    <w:rsid w:val="0062717B"/>
    <w:rsid w:val="00627CB3"/>
    <w:rsid w:val="00637B93"/>
    <w:rsid w:val="00644A6B"/>
    <w:rsid w:val="0064771A"/>
    <w:rsid w:val="0066412E"/>
    <w:rsid w:val="00682EE6"/>
    <w:rsid w:val="006A198A"/>
    <w:rsid w:val="006E554C"/>
    <w:rsid w:val="006E687B"/>
    <w:rsid w:val="00705D74"/>
    <w:rsid w:val="007064E3"/>
    <w:rsid w:val="00723067"/>
    <w:rsid w:val="00737473"/>
    <w:rsid w:val="00737520"/>
    <w:rsid w:val="00756272"/>
    <w:rsid w:val="00775017"/>
    <w:rsid w:val="00780A12"/>
    <w:rsid w:val="007951DE"/>
    <w:rsid w:val="007A22B4"/>
    <w:rsid w:val="007D0BF2"/>
    <w:rsid w:val="00801962"/>
    <w:rsid w:val="00804562"/>
    <w:rsid w:val="00805E65"/>
    <w:rsid w:val="00815FE5"/>
    <w:rsid w:val="00847420"/>
    <w:rsid w:val="008A544F"/>
    <w:rsid w:val="008B7F59"/>
    <w:rsid w:val="008D0835"/>
    <w:rsid w:val="008D2CF9"/>
    <w:rsid w:val="008D5EF4"/>
    <w:rsid w:val="008E1FAF"/>
    <w:rsid w:val="008F385B"/>
    <w:rsid w:val="00931E3F"/>
    <w:rsid w:val="00941435"/>
    <w:rsid w:val="00967F50"/>
    <w:rsid w:val="00982D39"/>
    <w:rsid w:val="009D5F4B"/>
    <w:rsid w:val="009F68A2"/>
    <w:rsid w:val="00A220D8"/>
    <w:rsid w:val="00A41FAE"/>
    <w:rsid w:val="00A630C6"/>
    <w:rsid w:val="00A77E2B"/>
    <w:rsid w:val="00A8341E"/>
    <w:rsid w:val="00AA4A26"/>
    <w:rsid w:val="00AA78A4"/>
    <w:rsid w:val="00AC6567"/>
    <w:rsid w:val="00AD4427"/>
    <w:rsid w:val="00AD4602"/>
    <w:rsid w:val="00AE6B11"/>
    <w:rsid w:val="00B027D5"/>
    <w:rsid w:val="00B139FF"/>
    <w:rsid w:val="00B15C1E"/>
    <w:rsid w:val="00B172D1"/>
    <w:rsid w:val="00B264C9"/>
    <w:rsid w:val="00B35964"/>
    <w:rsid w:val="00B37DDF"/>
    <w:rsid w:val="00B751C2"/>
    <w:rsid w:val="00BC1FFC"/>
    <w:rsid w:val="00BE39B5"/>
    <w:rsid w:val="00BE5813"/>
    <w:rsid w:val="00C00925"/>
    <w:rsid w:val="00C07849"/>
    <w:rsid w:val="00C3648A"/>
    <w:rsid w:val="00C45EC8"/>
    <w:rsid w:val="00C6586D"/>
    <w:rsid w:val="00C667D1"/>
    <w:rsid w:val="00C90BE1"/>
    <w:rsid w:val="00C91C01"/>
    <w:rsid w:val="00CA1284"/>
    <w:rsid w:val="00CA1D0A"/>
    <w:rsid w:val="00CA7CE4"/>
    <w:rsid w:val="00CB1085"/>
    <w:rsid w:val="00CD5C0B"/>
    <w:rsid w:val="00CF7DA8"/>
    <w:rsid w:val="00D00514"/>
    <w:rsid w:val="00D20A6F"/>
    <w:rsid w:val="00D541AD"/>
    <w:rsid w:val="00DB7FB3"/>
    <w:rsid w:val="00DD3B1D"/>
    <w:rsid w:val="00DD506A"/>
    <w:rsid w:val="00DE4BB6"/>
    <w:rsid w:val="00DF6BC0"/>
    <w:rsid w:val="00E122DA"/>
    <w:rsid w:val="00E279A0"/>
    <w:rsid w:val="00E368F1"/>
    <w:rsid w:val="00E5697F"/>
    <w:rsid w:val="00EB5776"/>
    <w:rsid w:val="00EB6E82"/>
    <w:rsid w:val="00EC4C6E"/>
    <w:rsid w:val="00EF3B06"/>
    <w:rsid w:val="00F17322"/>
    <w:rsid w:val="00F27497"/>
    <w:rsid w:val="00F44676"/>
    <w:rsid w:val="00F50D68"/>
    <w:rsid w:val="00F56173"/>
    <w:rsid w:val="00F65938"/>
    <w:rsid w:val="00FC3D1D"/>
    <w:rsid w:val="00FD65EA"/>
    <w:rsid w:val="00FE3BFC"/>
    <w:rsid w:val="00FE3CB4"/>
    <w:rsid w:val="00FE69C8"/>
    <w:rsid w:val="00FF1EDD"/>
    <w:rsid w:val="00FF3BB4"/>
    <w:rsid w:val="0592D3B5"/>
    <w:rsid w:val="174A87FC"/>
    <w:rsid w:val="22D152B0"/>
    <w:rsid w:val="5FD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11FD"/>
  <w15:chartTrackingRefBased/>
  <w15:docId w15:val="{7B4DF8FC-AF5A-4E4F-91D1-E0590001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9A0"/>
  </w:style>
  <w:style w:type="paragraph" w:styleId="Heading1">
    <w:name w:val="heading 1"/>
    <w:next w:val="Normal"/>
    <w:link w:val="Heading1Char"/>
    <w:uiPriority w:val="9"/>
    <w:qFormat/>
    <w:rsid w:val="002746A9"/>
    <w:pPr>
      <w:keepNext/>
      <w:pageBreakBefore/>
      <w:spacing w:after="0" w:line="240" w:lineRule="auto"/>
      <w:outlineLvl w:val="0"/>
    </w:pPr>
    <w:rPr>
      <w:rFonts w:asciiTheme="majorHAnsi" w:eastAsia="MS Mincho" w:hAnsiTheme="majorHAnsi" w:cstheme="majorBidi"/>
      <w:b/>
      <w:bCs/>
      <w:caps/>
      <w:color w:val="013366"/>
      <w:sz w:val="44"/>
      <w:szCs w:val="4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46A9"/>
    <w:pPr>
      <w:keepNext/>
      <w:pBdr>
        <w:bottom w:val="single" w:sz="8" w:space="1" w:color="4472C4" w:themeColor="accent1"/>
      </w:pBdr>
      <w:spacing w:after="0" w:line="257" w:lineRule="auto"/>
      <w:outlineLvl w:val="2"/>
    </w:pPr>
    <w:rPr>
      <w:rFonts w:eastAsiaTheme="minorEastAsia"/>
      <w:b/>
      <w:color w:val="4472C4" w:themeColor="accent1"/>
      <w:sz w:val="32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746A9"/>
    <w:pPr>
      <w:keepNext/>
      <w:keepLines/>
      <w:spacing w:before="240" w:after="0" w:line="257" w:lineRule="auto"/>
      <w:outlineLvl w:val="4"/>
    </w:pPr>
    <w:rPr>
      <w:rFonts w:eastAsia="Times New Roman" w:cs="Times New Roman (Headings CS)"/>
      <w:b/>
      <w:caps/>
      <w:color w:val="015E9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8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46A9"/>
    <w:rPr>
      <w:rFonts w:asciiTheme="majorHAnsi" w:eastAsia="MS Mincho" w:hAnsiTheme="majorHAnsi" w:cstheme="majorBidi"/>
      <w:b/>
      <w:bCs/>
      <w:caps/>
      <w:color w:val="013366"/>
      <w:sz w:val="44"/>
      <w:szCs w:val="4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746A9"/>
    <w:rPr>
      <w:rFonts w:eastAsiaTheme="minorEastAsia"/>
      <w:b/>
      <w:color w:val="4472C4" w:themeColor="accent1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2746A9"/>
    <w:rPr>
      <w:rFonts w:eastAsia="Times New Roman" w:cs="Times New Roman (Headings CS)"/>
      <w:b/>
      <w:caps/>
      <w:color w:val="015E90"/>
      <w:sz w:val="24"/>
    </w:rPr>
  </w:style>
  <w:style w:type="paragraph" w:styleId="Header">
    <w:name w:val="header"/>
    <w:basedOn w:val="Normal"/>
    <w:link w:val="HeaderChar"/>
    <w:uiPriority w:val="99"/>
    <w:unhideWhenUsed/>
    <w:rsid w:val="00F5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73"/>
  </w:style>
  <w:style w:type="paragraph" w:styleId="Footer">
    <w:name w:val="footer"/>
    <w:basedOn w:val="Normal"/>
    <w:link w:val="FooterChar"/>
    <w:uiPriority w:val="99"/>
    <w:unhideWhenUsed/>
    <w:rsid w:val="00F5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863d343-8b61-44ec-9a1b-d03966cdb677">
      <Terms xmlns="http://schemas.microsoft.com/office/infopath/2007/PartnerControls"/>
    </lcf76f155ced4ddcb4097134ff3c332f>
    <TaxCatchAll xmlns="dd6e55db-79a3-48e1-bc3b-88d2c6c145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8D93E9CCC87468E073F8DD19DD6DE" ma:contentTypeVersion="16" ma:contentTypeDescription="Create a new document." ma:contentTypeScope="" ma:versionID="e8d4e6fa36de195fc21681c90e451c72">
  <xsd:schema xmlns:xsd="http://www.w3.org/2001/XMLSchema" xmlns:xs="http://www.w3.org/2001/XMLSchema" xmlns:p="http://schemas.microsoft.com/office/2006/metadata/properties" xmlns:ns1="http://schemas.microsoft.com/sharepoint/v3" xmlns:ns2="4863d343-8b61-44ec-9a1b-d03966cdb677" xmlns:ns3="dd6e55db-79a3-48e1-bc3b-88d2c6c14592" targetNamespace="http://schemas.microsoft.com/office/2006/metadata/properties" ma:root="true" ma:fieldsID="5a3f008d1cb1e95c763d8de57dc6ae55" ns1:_="" ns2:_="" ns3:_="">
    <xsd:import namespace="http://schemas.microsoft.com/sharepoint/v3"/>
    <xsd:import namespace="4863d343-8b61-44ec-9a1b-d03966cdb677"/>
    <xsd:import namespace="dd6e55db-79a3-48e1-bc3b-88d2c6c14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3d343-8b61-44ec-9a1b-d03966cdb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7d590f-785b-47eb-89c7-5590b8e7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55db-79a3-48e1-bc3b-88d2c6c145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b87593-8c67-41c9-9360-475b178bd308}" ma:internalName="TaxCatchAll" ma:showField="CatchAllData" ma:web="dd6e55db-79a3-48e1-bc3b-88d2c6c14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F9B3E-6F0F-4D3D-A506-CCF16336EAA2}">
  <ds:schemaRefs>
    <ds:schemaRef ds:uri="dd6e55db-79a3-48e1-bc3b-88d2c6c14592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4863d343-8b61-44ec-9a1b-d03966cdb67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DEA143-EA32-4B41-92EF-63F83CFB7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5CAE0-786D-4D23-9229-56FF304F8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63d343-8b61-44ec-9a1b-d03966cdb677"/>
    <ds:schemaRef ds:uri="dd6e55db-79a3-48e1-bc3b-88d2c6c14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OES</dc:creator>
  <cp:keywords/>
  <dc:description/>
  <cp:lastModifiedBy>Vincent, Alexandria@CalOES</cp:lastModifiedBy>
  <cp:revision>2</cp:revision>
  <dcterms:created xsi:type="dcterms:W3CDTF">2025-06-26T19:20:00Z</dcterms:created>
  <dcterms:modified xsi:type="dcterms:W3CDTF">2025-06-26T19:20:00Z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0x010100BB08D93E9CCC87468E073F8DD19DD6DE</vt:lpwstr>
  </property>
</Properties>
</file>