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FBB0DF" w14:textId="50077D12" w:rsidR="009005A8" w:rsidRPr="004A6B23" w:rsidRDefault="009005A8" w:rsidP="004A6B23">
      <w:pPr>
        <w:pStyle w:val="Heading1"/>
      </w:pPr>
      <w:r w:rsidRPr="004A6B23">
        <w:t>Effective Communication</w:t>
      </w:r>
      <w:r w:rsidR="00BD5917">
        <w:tab/>
      </w:r>
      <w:r w:rsidR="00BD5917">
        <w:tab/>
      </w:r>
    </w:p>
    <w:p w14:paraId="44FBB0E0" w14:textId="55D12593" w:rsidR="009005A8" w:rsidRPr="00AB582E" w:rsidRDefault="009005A8" w:rsidP="00384F30">
      <w:pPr>
        <w:pStyle w:val="BodyText"/>
        <w:ind w:left="270" w:hanging="270"/>
      </w:pPr>
      <w:bookmarkStart w:id="0" w:name="_GoBack"/>
      <w:bookmarkEnd w:id="0"/>
      <w:r w:rsidRPr="00C06F14">
        <w:rPr>
          <w:rStyle w:val="BodyTextChar"/>
        </w:rPr>
        <w:t xml:space="preserve">Reference: </w:t>
      </w:r>
      <w:hyperlink r:id="rId11" w:history="1">
        <w:r w:rsidRPr="00C06F14">
          <w:rPr>
            <w:rStyle w:val="BodyTextChar"/>
            <w:color w:val="3333FF"/>
            <w:u w:val="single"/>
          </w:rPr>
          <w:t>Title I Technical Assistance Manual, 3.10</w:t>
        </w:r>
      </w:hyperlink>
      <w:r w:rsidRPr="00C06F14">
        <w:rPr>
          <w:rStyle w:val="BodyTextChar"/>
          <w:color w:val="3333FF"/>
        </w:rPr>
        <w:t xml:space="preserve"> </w:t>
      </w:r>
      <w:hyperlink r:id="rId12" w:anchor="R9" w:tooltip="Resource: ADA Title I Technical Assistance Manual" w:history="1">
        <w:r w:rsidR="00C06F14" w:rsidRPr="00C06F14">
          <w:rPr>
            <w:rStyle w:val="BodyTextChar"/>
            <w:color w:val="3333FF"/>
            <w:u w:val="single"/>
            <w:vertAlign w:val="superscript"/>
          </w:rPr>
          <w:t>R9</w:t>
        </w:r>
      </w:hyperlink>
      <w:r w:rsidRPr="00AB582E">
        <w:br/>
      </w:r>
      <w:r w:rsidR="00384F30">
        <w:rPr>
          <w:rStyle w:val="BodyTextChar"/>
        </w:rPr>
        <w:t> </w:t>
      </w:r>
      <w:hyperlink r:id="rId13" w:tooltip="Title II, 7.1000 Technical Assistance Manual" w:history="1">
        <w:r w:rsidRPr="00BD5917">
          <w:rPr>
            <w:rStyle w:val="BodyTextChar"/>
            <w:color w:val="3333FF"/>
            <w:u w:val="single"/>
          </w:rPr>
          <w:t>Title II Technical Assistance Manual, 7.1000</w:t>
        </w:r>
      </w:hyperlink>
      <w:r w:rsidRPr="00BD5917">
        <w:rPr>
          <w:rStyle w:val="BodyTextChar"/>
          <w:color w:val="3333FF"/>
        </w:rPr>
        <w:t xml:space="preserve"> </w:t>
      </w:r>
      <w:hyperlink r:id="rId14" w:anchor="R13" w:tooltip="Resource: ADA Title II Technical Assistance Manual" w:history="1">
        <w:r w:rsidRPr="00BD5917">
          <w:rPr>
            <w:rStyle w:val="BodyTextChar"/>
            <w:color w:val="3333FF"/>
            <w:u w:val="single"/>
            <w:vertAlign w:val="superscript"/>
          </w:rPr>
          <w:t>R13</w:t>
        </w:r>
      </w:hyperlink>
      <w:r w:rsidRPr="00AB582E">
        <w:br/>
      </w:r>
      <w:r w:rsidR="00384F30">
        <w:rPr>
          <w:rStyle w:val="BodyTextChar"/>
        </w:rPr>
        <w:t> </w:t>
      </w:r>
      <w:hyperlink r:id="rId15" w:tooltip="Title III, 4.3100, 4.3200 Technical Assistance Manual" w:history="1">
        <w:r w:rsidRPr="00BD5917">
          <w:rPr>
            <w:rStyle w:val="BodyTextChar"/>
            <w:color w:val="3333FF"/>
            <w:u w:val="single"/>
          </w:rPr>
          <w:t>Title III Technical Assistance Manual, 4.3100, 4.3200</w:t>
        </w:r>
      </w:hyperlink>
      <w:r w:rsidRPr="00BD5917">
        <w:rPr>
          <w:rStyle w:val="BodyTextChar"/>
          <w:color w:val="3333FF"/>
          <w:u w:val="single"/>
        </w:rPr>
        <w:t xml:space="preserve"> </w:t>
      </w:r>
      <w:r w:rsidR="00C06F14" w:rsidRPr="00AB582E">
        <w:rPr>
          <w:color w:val="FFFFFF"/>
          <w:vertAlign w:val="superscript"/>
        </w:rPr>
        <w:t>[</w:t>
      </w:r>
      <w:hyperlink r:id="rId16" w:anchor="R16" w:tooltip="Resource: ADA Title III Technical Assistance Manua1" w:history="1">
        <w:r w:rsidR="00C06F14" w:rsidRPr="00AB582E">
          <w:rPr>
            <w:color w:val="0000EE"/>
            <w:vertAlign w:val="superscript"/>
          </w:rPr>
          <w:t>R16</w:t>
        </w:r>
      </w:hyperlink>
      <w:r w:rsidR="00C06F14" w:rsidRPr="00AB582E">
        <w:rPr>
          <w:color w:val="FFFFFF"/>
          <w:vertAlign w:val="superscript"/>
        </w:rPr>
        <w:t>]</w:t>
      </w:r>
    </w:p>
    <w:p w14:paraId="44FBB0E1" w14:textId="77777777" w:rsidR="009005A8" w:rsidRPr="009005A8" w:rsidRDefault="00384F30" w:rsidP="009F75CD">
      <w:pPr>
        <w:pStyle w:val="BodyText"/>
      </w:pPr>
      <w:r>
        <w:pict w14:anchorId="44FBB10C">
          <v:rect id="_x0000_i1025" style="width:0;height:1.5pt" o:hralign="center" o:hrstd="t" o:hr="t" fillcolor="#a0a0a0" stroked="f"/>
        </w:pict>
      </w:r>
    </w:p>
    <w:p w14:paraId="44FBB0E2" w14:textId="77777777" w:rsidR="009005A8" w:rsidRPr="004A6B23" w:rsidRDefault="009005A8" w:rsidP="004A6B23">
      <w:pPr>
        <w:pStyle w:val="Heading2"/>
      </w:pPr>
      <w:r w:rsidRPr="004A6B23">
        <w:t>What is Effective Communication?</w:t>
      </w:r>
    </w:p>
    <w:p w14:paraId="44FBB0E3" w14:textId="77777777" w:rsidR="009005A8" w:rsidRPr="004A6B23" w:rsidRDefault="009005A8" w:rsidP="004A6B23">
      <w:pPr>
        <w:pStyle w:val="BodyText"/>
      </w:pPr>
      <w:r w:rsidRPr="004A6B23">
        <w:t xml:space="preserve">Communication with individuals with disabilities </w:t>
      </w:r>
      <w:r w:rsidRPr="00AD0B3E">
        <w:rPr>
          <w:b/>
        </w:rPr>
        <w:t>must be as effective as communication with others.</w:t>
      </w:r>
      <w:r w:rsidRPr="004A6B23">
        <w:t xml:space="preserve"> The effective communication obligation extends to individuals with disabilities who have physical, mental, and sensory disabilities, such as vision, hearing, or speech impairments, that substantially limit the ability to communicate.</w:t>
      </w:r>
    </w:p>
    <w:p w14:paraId="44FBB0E5" w14:textId="77777777" w:rsidR="009005A8" w:rsidRPr="004A6B23" w:rsidRDefault="009005A8" w:rsidP="00E63DF4">
      <w:pPr>
        <w:pStyle w:val="BodyText"/>
        <w:spacing w:before="240"/>
      </w:pPr>
      <w:r w:rsidRPr="004A6B23">
        <w:t xml:space="preserve">Under the ADA, </w:t>
      </w:r>
      <w:r w:rsidRPr="00AD0B3E">
        <w:rPr>
          <w:b/>
        </w:rPr>
        <w:t>communication barriers must be eliminated that prevent individuals with disabilities from enjoying equal opportunity</w:t>
      </w:r>
      <w:r w:rsidRPr="004A6B23">
        <w:t xml:space="preserve"> to participate in and benefit from:</w:t>
      </w:r>
    </w:p>
    <w:p w14:paraId="44FBB0E6" w14:textId="77777777" w:rsidR="009005A8" w:rsidRPr="004A6B23" w:rsidRDefault="009005A8" w:rsidP="003F75EE">
      <w:pPr>
        <w:pStyle w:val="ListBullet"/>
        <w:tabs>
          <w:tab w:val="clear" w:pos="1530"/>
          <w:tab w:val="num" w:pos="1710"/>
        </w:tabs>
        <w:ind w:left="720"/>
      </w:pPr>
      <w:r w:rsidRPr="004A6B23">
        <w:t>Programs, services and activities of state and local governmental entities;</w:t>
      </w:r>
    </w:p>
    <w:p w14:paraId="44FBB0E7" w14:textId="77777777" w:rsidR="009005A8" w:rsidRPr="004A6B23" w:rsidRDefault="009005A8" w:rsidP="003F75EE">
      <w:pPr>
        <w:pStyle w:val="ListBullet"/>
        <w:tabs>
          <w:tab w:val="clear" w:pos="1530"/>
          <w:tab w:val="num" w:pos="1710"/>
        </w:tabs>
        <w:ind w:left="720"/>
      </w:pPr>
      <w:r w:rsidRPr="004A6B23">
        <w:t xml:space="preserve">Goods, services or activities offered by public accommodations; and </w:t>
      </w:r>
    </w:p>
    <w:p w14:paraId="44FBB0E8" w14:textId="77777777" w:rsidR="009005A8" w:rsidRPr="004A6B23" w:rsidRDefault="009005A8" w:rsidP="003F75EE">
      <w:pPr>
        <w:pStyle w:val="ListBullet"/>
        <w:tabs>
          <w:tab w:val="clear" w:pos="1530"/>
          <w:tab w:val="num" w:pos="1710"/>
        </w:tabs>
        <w:ind w:left="720"/>
      </w:pPr>
      <w:r w:rsidRPr="004A6B23">
        <w:t>Employment opportunities in both the public and private sectors.</w:t>
      </w:r>
    </w:p>
    <w:p w14:paraId="44FBB0EA" w14:textId="77777777" w:rsidR="009005A8" w:rsidRPr="004A6B23" w:rsidRDefault="009005A8" w:rsidP="00E63DF4">
      <w:pPr>
        <w:pStyle w:val="BodyText"/>
        <w:spacing w:before="240"/>
      </w:pPr>
      <w:r w:rsidRPr="004A6B23">
        <w:t xml:space="preserve">The obligation to communicate effectively with people who have disabilities </w:t>
      </w:r>
      <w:r w:rsidRPr="00AD0B3E">
        <w:rPr>
          <w:b/>
        </w:rPr>
        <w:t>applies to the presentation and exchange of information in all forms including sound, print, graphics and voice.</w:t>
      </w:r>
    </w:p>
    <w:p w14:paraId="44FBB0EC" w14:textId="77777777" w:rsidR="009005A8" w:rsidRPr="00384F30" w:rsidRDefault="009005A8" w:rsidP="00384F30">
      <w:pPr>
        <w:pStyle w:val="BodyText"/>
        <w:spacing w:before="160"/>
        <w:rPr>
          <w:b/>
        </w:rPr>
      </w:pPr>
      <w:r w:rsidRPr="00384F30">
        <w:rPr>
          <w:b/>
        </w:rPr>
        <w:t>Examples:</w:t>
      </w:r>
    </w:p>
    <w:p w14:paraId="44FBB0ED" w14:textId="77777777" w:rsidR="009005A8" w:rsidRPr="004A6B23" w:rsidRDefault="009005A8" w:rsidP="00BD5917">
      <w:pPr>
        <w:pStyle w:val="ListBullet"/>
        <w:ind w:left="1170"/>
      </w:pPr>
      <w:r w:rsidRPr="004A6B23">
        <w:t>Hospitals that provide televisions for use by patients and hotels, motels and places of lodging that provide televisions in five or more guest rooms must provide closed caption decoder service upon request.</w:t>
      </w:r>
    </w:p>
    <w:p w14:paraId="44FBB0EE" w14:textId="77777777" w:rsidR="009005A8" w:rsidRPr="00EC45CB" w:rsidRDefault="009005A8" w:rsidP="00EC45CB">
      <w:pPr>
        <w:pStyle w:val="ListBullet"/>
        <w:ind w:left="1170"/>
      </w:pPr>
      <w:r w:rsidRPr="00EC45CB">
        <w:t>Tax bills and other print communication by a state or local government must be made available to individuals with vision impairments in a form that is usable by them. Large print, Braille, electronic formats and audio tapes would need to be produced upon request to ensure effective communication.</w:t>
      </w:r>
    </w:p>
    <w:p w14:paraId="44FBB0EF" w14:textId="77777777" w:rsidR="00AB582E" w:rsidRPr="004A6B23" w:rsidRDefault="00AB582E" w:rsidP="004A6B23">
      <w:pPr>
        <w:pStyle w:val="Heading2"/>
      </w:pPr>
      <w:r w:rsidRPr="004A6B23">
        <w:t>Auxiliary Aids and Services</w:t>
      </w:r>
    </w:p>
    <w:p w14:paraId="44FBB0F0" w14:textId="77777777" w:rsidR="00AB582E" w:rsidRDefault="00AB582E" w:rsidP="004A6B23">
      <w:pPr>
        <w:pStyle w:val="BodyText"/>
      </w:pPr>
      <w:r w:rsidRPr="004A6B23">
        <w:t>Auxiliary aids and services include a wide range of devices, techniques and procedures that enable persons with disabilities to participate fully in the exchange of information. The type of auxiliary aid or service necessary to ensure effective communication will vary in accordance with the length and complexity of the communication involved.</w:t>
      </w:r>
    </w:p>
    <w:p w14:paraId="24D0D6C6" w14:textId="77777777" w:rsidR="00AD0B3E" w:rsidRPr="004A6B23" w:rsidRDefault="00AD0B3E" w:rsidP="004A6B23">
      <w:pPr>
        <w:pStyle w:val="BodyText"/>
      </w:pPr>
    </w:p>
    <w:p w14:paraId="00C9B1D8" w14:textId="77777777" w:rsidR="00101B9E" w:rsidRPr="00384F30" w:rsidRDefault="00AB582E" w:rsidP="00384F30">
      <w:pPr>
        <w:shd w:val="clear" w:color="auto" w:fill="D9D9D9" w:themeFill="background1" w:themeFillShade="D9"/>
        <w:spacing w:after="120"/>
        <w:ind w:left="450" w:right="540"/>
        <w:rPr>
          <w:sz w:val="24"/>
          <w:szCs w:val="24"/>
        </w:rPr>
      </w:pPr>
      <w:r w:rsidRPr="00384F30">
        <w:rPr>
          <w:b/>
          <w:sz w:val="24"/>
          <w:szCs w:val="24"/>
        </w:rPr>
        <w:t>Example:</w:t>
      </w:r>
      <w:r w:rsidRPr="00384F30">
        <w:rPr>
          <w:sz w:val="24"/>
          <w:szCs w:val="24"/>
        </w:rPr>
        <w:t xml:space="preserve"> Hector, who is deaf, is shopping for film at a camera store. Exchanging written notes with the sales clerk would be adequate to ensure effective communication. He then stops by a new car showroom to look at the latest models. The car dealer would be able to effectively communicate general information about the models available by providing brochures and exchanging notes by pen and </w:t>
      </w:r>
    </w:p>
    <w:p w14:paraId="44FBB0F1" w14:textId="54B85CFF" w:rsidR="00AB582E" w:rsidRPr="00384F30" w:rsidRDefault="00AB582E" w:rsidP="00384F30">
      <w:pPr>
        <w:shd w:val="clear" w:color="auto" w:fill="D9D9D9" w:themeFill="background1" w:themeFillShade="D9"/>
        <w:ind w:left="450" w:right="540"/>
        <w:rPr>
          <w:sz w:val="24"/>
          <w:szCs w:val="24"/>
        </w:rPr>
      </w:pPr>
      <w:r w:rsidRPr="00384F30">
        <w:rPr>
          <w:sz w:val="24"/>
          <w:szCs w:val="24"/>
        </w:rPr>
        <w:t>notepad, or perhaps by means of taking turns at a computer terminal keyboard. If Hector becomes serious about making a purchase, the services of a qualified interpreter may be necessary because of the complicated nature of the communication involved in buying a car.</w:t>
      </w:r>
    </w:p>
    <w:p w14:paraId="44FBB0F2" w14:textId="77777777" w:rsidR="00AB582E" w:rsidRPr="004A6B23" w:rsidRDefault="00AB582E" w:rsidP="004A6B23">
      <w:pPr>
        <w:pStyle w:val="Heading2"/>
      </w:pPr>
      <w:r w:rsidRPr="004A6B23">
        <w:t>Who is Obligated to Provide Effective Communication?</w:t>
      </w:r>
    </w:p>
    <w:p w14:paraId="44FBB0F3" w14:textId="77777777" w:rsidR="00AB582E" w:rsidRPr="004A6B23" w:rsidRDefault="00AB582E" w:rsidP="004A6B23">
      <w:pPr>
        <w:pStyle w:val="BodyText"/>
      </w:pPr>
      <w:r w:rsidRPr="004A6B23">
        <w:t>Under the ADA, effective communication obligations apply to:</w:t>
      </w:r>
    </w:p>
    <w:p w14:paraId="44FBB0F4" w14:textId="77777777" w:rsidR="00AB582E" w:rsidRPr="004A6B23" w:rsidRDefault="00AB582E" w:rsidP="001427B6">
      <w:pPr>
        <w:pStyle w:val="ListBullet"/>
        <w:ind w:left="810" w:hanging="180"/>
      </w:pPr>
      <w:r w:rsidRPr="004A6B23">
        <w:t>Private entities,</w:t>
      </w:r>
    </w:p>
    <w:p w14:paraId="44FBB0F5" w14:textId="77777777" w:rsidR="00AB582E" w:rsidRPr="004A6B23" w:rsidRDefault="00AB582E" w:rsidP="001427B6">
      <w:pPr>
        <w:pStyle w:val="ListBullet"/>
        <w:ind w:left="810" w:hanging="180"/>
      </w:pPr>
      <w:r w:rsidRPr="004A6B23">
        <w:t xml:space="preserve">Employers in both the public and private sectors. </w:t>
      </w:r>
    </w:p>
    <w:p w14:paraId="44FBB0F6" w14:textId="77777777" w:rsidR="00AB582E" w:rsidRPr="004A6B23" w:rsidRDefault="00AB582E" w:rsidP="001427B6">
      <w:pPr>
        <w:pStyle w:val="ListBullet"/>
        <w:ind w:left="810" w:hanging="180"/>
      </w:pPr>
      <w:r w:rsidRPr="004A6B23">
        <w:t>Public accommodations,</w:t>
      </w:r>
    </w:p>
    <w:p w14:paraId="44FBB0F7" w14:textId="77777777" w:rsidR="00AB582E" w:rsidRPr="004A6B23" w:rsidRDefault="00AB582E" w:rsidP="001427B6">
      <w:pPr>
        <w:pStyle w:val="ListBullet"/>
        <w:ind w:left="810" w:hanging="180"/>
      </w:pPr>
      <w:r w:rsidRPr="004A6B23">
        <w:t>State and local government entities,</w:t>
      </w:r>
    </w:p>
    <w:p w14:paraId="44FBB0F8" w14:textId="77777777" w:rsidR="00AB582E" w:rsidRPr="004A6B23" w:rsidRDefault="00AB582E" w:rsidP="004A6B23">
      <w:pPr>
        <w:pStyle w:val="BodyText"/>
      </w:pPr>
      <w:r w:rsidRPr="004A6B23">
        <w:t>Let's further explore examples of effective communication for each of these groups:</w:t>
      </w:r>
    </w:p>
    <w:p w14:paraId="44FBB0F9" w14:textId="77777777" w:rsidR="00AB582E" w:rsidRPr="004A6B23" w:rsidRDefault="00AB582E" w:rsidP="00384F30">
      <w:pPr>
        <w:pStyle w:val="ListBullet"/>
        <w:tabs>
          <w:tab w:val="clear" w:pos="1530"/>
          <w:tab w:val="num" w:pos="810"/>
          <w:tab w:val="left" w:pos="1080"/>
        </w:tabs>
        <w:ind w:left="990"/>
      </w:pPr>
      <w:r w:rsidRPr="00AD0B3E">
        <w:rPr>
          <w:b/>
        </w:rPr>
        <w:t>Private entities:</w:t>
      </w:r>
      <w:r w:rsidRPr="004A6B23">
        <w:t xml:space="preserve"> Appropriate aids and services could range from simply offering the use of paper and pen to communicate with a customer who has a speech or hearing disability to having large print handouts available at a conference. However, as a general rule a private entity is not required to alter its inventory to carry accessible or special products that are designed or easier to use by customers with disabilities.</w:t>
      </w:r>
    </w:p>
    <w:p w14:paraId="44FBB0FA" w14:textId="77777777" w:rsidR="00AB582E" w:rsidRPr="004A6B23" w:rsidRDefault="00AB582E" w:rsidP="003F75EE">
      <w:pPr>
        <w:pStyle w:val="BodyText"/>
        <w:shd w:val="clear" w:color="auto" w:fill="D9D9D9" w:themeFill="background1" w:themeFillShade="D9"/>
        <w:spacing w:before="240" w:after="240"/>
        <w:ind w:left="1080"/>
      </w:pPr>
      <w:r w:rsidRPr="00AD0B3E">
        <w:rPr>
          <w:b/>
        </w:rPr>
        <w:t>Example:</w:t>
      </w:r>
      <w:r w:rsidRPr="004A6B23">
        <w:t xml:space="preserve"> A bookstore customarily carries only regular print versions of books. The ADA does not require the bookstore to expand its inventory to include large print books or books on audiotapes. However, the bookstore may be required to special order the large print or audio books if it regularly makes special orders for unstocked goods and the accessible goods can be requested from its regular supplier.</w:t>
      </w:r>
    </w:p>
    <w:p w14:paraId="44FBB0FB" w14:textId="77777777" w:rsidR="00AB582E" w:rsidRPr="004A6B23" w:rsidRDefault="00AB582E" w:rsidP="00384F30">
      <w:pPr>
        <w:pStyle w:val="ListBullet"/>
        <w:tabs>
          <w:tab w:val="left" w:pos="810"/>
        </w:tabs>
        <w:spacing w:after="240"/>
        <w:ind w:left="990" w:right="86" w:hanging="356"/>
      </w:pPr>
      <w:r w:rsidRPr="001427B6">
        <w:rPr>
          <w:b/>
        </w:rPr>
        <w:t>Employers:</w:t>
      </w:r>
      <w:r w:rsidRPr="004A6B23">
        <w:t xml:space="preserve"> Auxiliary aids and services are required as reasonable accommodations to applicants when necessary to afford equal employment opportunity. They are also required for employees as reasonable accommodations to enable them to perform the essential functions of the job and to fully enjoy all the benefits of employment, unless provision of such aids and services would impose an undue hardship on the employers.</w:t>
      </w:r>
    </w:p>
    <w:p w14:paraId="44FBB0FC" w14:textId="77777777" w:rsidR="00AB582E" w:rsidRPr="004A6B23" w:rsidRDefault="00AB582E" w:rsidP="00384F30">
      <w:pPr>
        <w:pStyle w:val="ListBullet"/>
        <w:tabs>
          <w:tab w:val="left" w:pos="810"/>
        </w:tabs>
        <w:spacing w:after="0"/>
        <w:ind w:left="990"/>
      </w:pPr>
      <w:r w:rsidRPr="001427B6">
        <w:rPr>
          <w:b/>
        </w:rPr>
        <w:t>Public entities:</w:t>
      </w:r>
      <w:r w:rsidRPr="004A6B23">
        <w:t xml:space="preserve"> Communications with individuals who have disabilities must be as effective as communications with other persons participating in a public entity's programs, services and activities.</w:t>
      </w:r>
    </w:p>
    <w:p w14:paraId="44FBB0FD" w14:textId="77777777" w:rsidR="00AB582E" w:rsidRPr="00BD5917" w:rsidRDefault="00AB582E" w:rsidP="00BD5917">
      <w:pPr>
        <w:pStyle w:val="BodyText"/>
        <w:ind w:left="1440"/>
        <w:rPr>
          <w:b/>
        </w:rPr>
      </w:pPr>
      <w:r w:rsidRPr="00BD5917">
        <w:rPr>
          <w:b/>
        </w:rPr>
        <w:t>Examples:</w:t>
      </w:r>
    </w:p>
    <w:p w14:paraId="44FBB0FE" w14:textId="77777777" w:rsidR="00AB582E" w:rsidRPr="00AB582E" w:rsidRDefault="00AB582E" w:rsidP="00625384">
      <w:pPr>
        <w:pStyle w:val="ListBullet2"/>
      </w:pPr>
      <w:r w:rsidRPr="00AB582E">
        <w:t>Informational materials published by state and local governments must be made available in a variety of different formats upon request. These include large print versions, electronic formats, audiocassettes and Braille.</w:t>
      </w:r>
    </w:p>
    <w:p w14:paraId="44FBB0FF" w14:textId="77777777" w:rsidR="00AB582E" w:rsidRPr="00AB582E" w:rsidRDefault="00AB582E" w:rsidP="00625384">
      <w:pPr>
        <w:pStyle w:val="ListBullet2"/>
      </w:pPr>
      <w:r w:rsidRPr="00AB582E">
        <w:t>Information published on websites run by public entities should be accessible to users with disabilities (Martin v. Metropolitan Atlanta Rapid Transit Authority, 225 F.Supp.2d 1362 (N.D.Ga. 2002))</w:t>
      </w:r>
    </w:p>
    <w:p w14:paraId="44FBB100" w14:textId="77777777" w:rsidR="00AB582E" w:rsidRPr="004A6B23" w:rsidRDefault="00AB582E" w:rsidP="004A6B23">
      <w:pPr>
        <w:pStyle w:val="ListBullet2"/>
      </w:pPr>
      <w:r w:rsidRPr="004A6B23">
        <w:lastRenderedPageBreak/>
        <w:t>Seasonal guides to town-sponsored recreational activities should be readily available in large print or electronic formats and should be converted to audiocassettes or Braille upon request from a local resident.</w:t>
      </w:r>
    </w:p>
    <w:p w14:paraId="44FBB101" w14:textId="77777777" w:rsidR="00AB582E" w:rsidRPr="004A6B23" w:rsidRDefault="00AB582E" w:rsidP="004A6B23">
      <w:pPr>
        <w:pStyle w:val="ListBullet2"/>
      </w:pPr>
      <w:r w:rsidRPr="004A6B23">
        <w:t>Meetings, forums, and programs sponsored by state and local government entities should be accessible to individuals with a variety of disabilities, including hearing and speech impairments. Assistive listening devices should be provided, and videotapes shown should all be open captioned. In addition, every effort should be made to secure the services of sign language interpreters upon request. Even when interpreter services are requested less than 24 hours before the event, state and local governments should make their best efforts to hire interpreters.</w:t>
      </w:r>
    </w:p>
    <w:p w14:paraId="44FBB102" w14:textId="77777777" w:rsidR="00AB582E" w:rsidRPr="00384F30" w:rsidRDefault="00AB582E" w:rsidP="00384F30">
      <w:pPr>
        <w:shd w:val="clear" w:color="auto" w:fill="D9D9D9" w:themeFill="background1" w:themeFillShade="D9"/>
        <w:ind w:left="270" w:right="450"/>
        <w:rPr>
          <w:sz w:val="24"/>
          <w:szCs w:val="24"/>
        </w:rPr>
      </w:pPr>
      <w:r w:rsidRPr="00384F30">
        <w:rPr>
          <w:b/>
          <w:sz w:val="24"/>
          <w:szCs w:val="24"/>
        </w:rPr>
        <w:t>Note:</w:t>
      </w:r>
      <w:r w:rsidRPr="00384F30">
        <w:rPr>
          <w:sz w:val="24"/>
          <w:szCs w:val="24"/>
        </w:rPr>
        <w:t xml:space="preserve"> Some communication barriers are structural in nature such as signage and alarm systems. Removal of these communications barriers may be dealt with as part of the facility accessibility requirements for governmental entities and for places of public accommodation </w:t>
      </w:r>
    </w:p>
    <w:p w14:paraId="44FBB103" w14:textId="77777777" w:rsidR="006350FD" w:rsidRPr="004A6B23" w:rsidRDefault="006350FD" w:rsidP="00384F30">
      <w:pPr>
        <w:pStyle w:val="BodyText"/>
        <w:spacing w:before="160"/>
      </w:pPr>
      <w:r w:rsidRPr="004A6B23">
        <w:t>People with disabilities are entitled to auxiliary aids and services, unless the result is a fundamental alteration, undue burden, or undue hardship.</w:t>
      </w:r>
    </w:p>
    <w:p w14:paraId="44FBB104" w14:textId="77777777" w:rsidR="006350FD" w:rsidRPr="004A6B23" w:rsidRDefault="006350FD" w:rsidP="00EA4AEE">
      <w:pPr>
        <w:pStyle w:val="ListBullet"/>
        <w:tabs>
          <w:tab w:val="clear" w:pos="1530"/>
        </w:tabs>
        <w:ind w:left="720"/>
      </w:pPr>
      <w:r w:rsidRPr="004A6B23">
        <w:t xml:space="preserve">A </w:t>
      </w:r>
      <w:r w:rsidRPr="00622E34">
        <w:rPr>
          <w:b/>
        </w:rPr>
        <w:t>fundamental alteration</w:t>
      </w:r>
      <w:r w:rsidRPr="004A6B23">
        <w:t xml:space="preserve"> is a modification that is so significant that it alters the essential nature of the good, services, facilities, or programs.</w:t>
      </w:r>
    </w:p>
    <w:p w14:paraId="44FBB105" w14:textId="77777777" w:rsidR="006350FD" w:rsidRPr="004A6B23" w:rsidRDefault="006350FD" w:rsidP="00EA4AEE">
      <w:pPr>
        <w:pStyle w:val="ListBullet"/>
        <w:tabs>
          <w:tab w:val="clear" w:pos="1530"/>
        </w:tabs>
        <w:ind w:left="720"/>
      </w:pPr>
      <w:r w:rsidRPr="00622E34">
        <w:rPr>
          <w:b/>
        </w:rPr>
        <w:t>Undue burden and undue hardship</w:t>
      </w:r>
      <w:r w:rsidRPr="004A6B23">
        <w:t xml:space="preserve"> are defined as “significant difficulty or expense.”</w:t>
      </w:r>
    </w:p>
    <w:p w14:paraId="44FBB106" w14:textId="77777777" w:rsidR="006350FD" w:rsidRPr="004A6B23" w:rsidRDefault="006350FD" w:rsidP="00622E34">
      <w:pPr>
        <w:pStyle w:val="BodyText"/>
        <w:spacing w:after="240"/>
      </w:pPr>
      <w:r w:rsidRPr="004A6B23">
        <w:t xml:space="preserve">However, </w:t>
      </w:r>
      <w:r w:rsidRPr="00622E34">
        <w:rPr>
          <w:b/>
        </w:rPr>
        <w:t>providing a particular auxiliary aid or service that would result in a fundamental alteration or undue burden does not necessarily relieve an entity of its obligation to provide effective communication.</w:t>
      </w:r>
      <w:r w:rsidRPr="004A6B23">
        <w:t xml:space="preserve"> </w:t>
      </w:r>
    </w:p>
    <w:p w14:paraId="44FBB10A" w14:textId="73624A98" w:rsidR="006350FD" w:rsidRPr="00E63DF4" w:rsidRDefault="006350FD" w:rsidP="000B425B">
      <w:pPr>
        <w:pStyle w:val="BodyText"/>
        <w:shd w:val="clear" w:color="auto" w:fill="D9D9D9" w:themeFill="background1" w:themeFillShade="D9"/>
        <w:spacing w:before="240" w:after="960"/>
        <w:ind w:left="187" w:right="446"/>
      </w:pPr>
      <w:r w:rsidRPr="00622E34">
        <w:rPr>
          <w:b/>
        </w:rPr>
        <w:t>Example:</w:t>
      </w:r>
      <w:r w:rsidRPr="004A6B23">
        <w:t xml:space="preserve"> It may be an undue burden for a small private historic house museum on a shoestring budget to provide a sign language interpreter for a person who is deaf wishing to participate in a tour. But, providing a written transcript of the tour as an alternative would unlikely result in an undue burden.</w:t>
      </w:r>
    </w:p>
    <w:p w14:paraId="44FBB10B" w14:textId="1A1FAD22" w:rsidR="0002535F" w:rsidRPr="00FD241A" w:rsidRDefault="00EA4AEE" w:rsidP="00FD241A">
      <w:pPr>
        <w:pStyle w:val="BodyText"/>
        <w:rPr>
          <w:i/>
        </w:rPr>
      </w:pPr>
      <w:r w:rsidRPr="00FD241A">
        <w:rPr>
          <w:i/>
        </w:rPr>
        <w:t>Information courtesy of the Southeast ADA Center, a member of the ADA National Network  and a project of the Burton Blatt Institute (BBI) at Syracuse University.</w:t>
      </w:r>
    </w:p>
    <w:sectPr w:rsidR="0002535F" w:rsidRPr="00FD241A" w:rsidSect="00101B9E">
      <w:footerReference w:type="default" r:id="rId17"/>
      <w:pgSz w:w="12240" w:h="15840"/>
      <w:pgMar w:top="1440" w:right="1530" w:bottom="144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FBB10F" w14:textId="77777777" w:rsidR="00AB582E" w:rsidRDefault="00AB582E" w:rsidP="00AB582E">
      <w:pPr>
        <w:spacing w:after="0" w:line="240" w:lineRule="auto"/>
      </w:pPr>
      <w:r>
        <w:separator/>
      </w:r>
    </w:p>
  </w:endnote>
  <w:endnote w:type="continuationSeparator" w:id="0">
    <w:p w14:paraId="44FBB110" w14:textId="77777777" w:rsidR="00AB582E" w:rsidRDefault="00AB582E" w:rsidP="00AB5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4"/>
        <w:szCs w:val="24"/>
      </w:rPr>
      <w:id w:val="1009412672"/>
      <w:docPartObj>
        <w:docPartGallery w:val="Page Numbers (Bottom of Page)"/>
        <w:docPartUnique/>
      </w:docPartObj>
    </w:sdtPr>
    <w:sdtEndPr/>
    <w:sdtContent>
      <w:sdt>
        <w:sdtPr>
          <w:rPr>
            <w:sz w:val="24"/>
            <w:szCs w:val="24"/>
          </w:rPr>
          <w:id w:val="2104221510"/>
          <w:docPartObj>
            <w:docPartGallery w:val="Page Numbers (Top of Page)"/>
            <w:docPartUnique/>
          </w:docPartObj>
        </w:sdtPr>
        <w:sdtEndPr/>
        <w:sdtContent>
          <w:p w14:paraId="44FBB111" w14:textId="7DFF3276" w:rsidR="00AB582E" w:rsidRPr="00AB582E" w:rsidRDefault="00AB582E">
            <w:pPr>
              <w:pStyle w:val="Footer"/>
              <w:jc w:val="right"/>
              <w:rPr>
                <w:sz w:val="24"/>
                <w:szCs w:val="24"/>
              </w:rPr>
            </w:pPr>
            <w:r w:rsidRPr="00AB582E">
              <w:rPr>
                <w:sz w:val="24"/>
                <w:szCs w:val="24"/>
              </w:rPr>
              <w:t xml:space="preserve">Page </w:t>
            </w:r>
            <w:r w:rsidRPr="00AB582E">
              <w:rPr>
                <w:bCs/>
                <w:sz w:val="24"/>
                <w:szCs w:val="24"/>
              </w:rPr>
              <w:fldChar w:fldCharType="begin"/>
            </w:r>
            <w:r w:rsidRPr="00AB582E">
              <w:rPr>
                <w:bCs/>
                <w:sz w:val="24"/>
                <w:szCs w:val="24"/>
              </w:rPr>
              <w:instrText xml:space="preserve"> PAGE </w:instrText>
            </w:r>
            <w:r w:rsidRPr="00AB582E">
              <w:rPr>
                <w:bCs/>
                <w:sz w:val="24"/>
                <w:szCs w:val="24"/>
              </w:rPr>
              <w:fldChar w:fldCharType="separate"/>
            </w:r>
            <w:r w:rsidR="00384F30">
              <w:rPr>
                <w:bCs/>
                <w:noProof/>
                <w:sz w:val="24"/>
                <w:szCs w:val="24"/>
              </w:rPr>
              <w:t>1</w:t>
            </w:r>
            <w:r w:rsidRPr="00AB582E">
              <w:rPr>
                <w:bCs/>
                <w:sz w:val="24"/>
                <w:szCs w:val="24"/>
              </w:rPr>
              <w:fldChar w:fldCharType="end"/>
            </w:r>
            <w:r w:rsidRPr="00AB582E">
              <w:rPr>
                <w:sz w:val="24"/>
                <w:szCs w:val="24"/>
              </w:rPr>
              <w:t xml:space="preserve"> of </w:t>
            </w:r>
            <w:r w:rsidRPr="00AB582E">
              <w:rPr>
                <w:bCs/>
                <w:sz w:val="24"/>
                <w:szCs w:val="24"/>
              </w:rPr>
              <w:fldChar w:fldCharType="begin"/>
            </w:r>
            <w:r w:rsidRPr="00AB582E">
              <w:rPr>
                <w:bCs/>
                <w:sz w:val="24"/>
                <w:szCs w:val="24"/>
              </w:rPr>
              <w:instrText xml:space="preserve"> NUMPAGES  </w:instrText>
            </w:r>
            <w:r w:rsidRPr="00AB582E">
              <w:rPr>
                <w:bCs/>
                <w:sz w:val="24"/>
                <w:szCs w:val="24"/>
              </w:rPr>
              <w:fldChar w:fldCharType="separate"/>
            </w:r>
            <w:r w:rsidR="00384F30">
              <w:rPr>
                <w:bCs/>
                <w:noProof/>
                <w:sz w:val="24"/>
                <w:szCs w:val="24"/>
              </w:rPr>
              <w:t>3</w:t>
            </w:r>
            <w:r w:rsidRPr="00AB582E">
              <w:rPr>
                <w:bCs/>
                <w:sz w:val="24"/>
                <w:szCs w:val="24"/>
              </w:rPr>
              <w:fldChar w:fldCharType="end"/>
            </w:r>
          </w:p>
        </w:sdtContent>
      </w:sdt>
    </w:sdtContent>
  </w:sdt>
  <w:p w14:paraId="44FBB112" w14:textId="77777777" w:rsidR="00AB582E" w:rsidRDefault="00AB58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FBB10D" w14:textId="77777777" w:rsidR="00AB582E" w:rsidRDefault="00AB582E" w:rsidP="00AB582E">
      <w:pPr>
        <w:spacing w:after="0" w:line="240" w:lineRule="auto"/>
      </w:pPr>
      <w:r>
        <w:separator/>
      </w:r>
    </w:p>
  </w:footnote>
  <w:footnote w:type="continuationSeparator" w:id="0">
    <w:p w14:paraId="44FBB10E" w14:textId="77777777" w:rsidR="00AB582E" w:rsidRDefault="00AB582E" w:rsidP="00AB58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73652EC"/>
    <w:lvl w:ilvl="0">
      <w:start w:val="1"/>
      <w:numFmt w:val="decimal"/>
      <w:lvlText w:val="%1."/>
      <w:lvlJc w:val="left"/>
      <w:pPr>
        <w:tabs>
          <w:tab w:val="num" w:pos="1800"/>
        </w:tabs>
        <w:ind w:left="1800" w:hanging="360"/>
      </w:pPr>
    </w:lvl>
  </w:abstractNum>
  <w:abstractNum w:abstractNumId="1">
    <w:nsid w:val="FFFFFF7D"/>
    <w:multiLevelType w:val="singleLevel"/>
    <w:tmpl w:val="4CCC9522"/>
    <w:lvl w:ilvl="0">
      <w:start w:val="1"/>
      <w:numFmt w:val="decimal"/>
      <w:lvlText w:val="%1."/>
      <w:lvlJc w:val="left"/>
      <w:pPr>
        <w:tabs>
          <w:tab w:val="num" w:pos="1440"/>
        </w:tabs>
        <w:ind w:left="1440" w:hanging="360"/>
      </w:pPr>
    </w:lvl>
  </w:abstractNum>
  <w:abstractNum w:abstractNumId="2">
    <w:nsid w:val="FFFFFF7E"/>
    <w:multiLevelType w:val="singleLevel"/>
    <w:tmpl w:val="920EC086"/>
    <w:lvl w:ilvl="0">
      <w:start w:val="1"/>
      <w:numFmt w:val="decimal"/>
      <w:lvlText w:val="%1."/>
      <w:lvlJc w:val="left"/>
      <w:pPr>
        <w:tabs>
          <w:tab w:val="num" w:pos="1080"/>
        </w:tabs>
        <w:ind w:left="1080" w:hanging="360"/>
      </w:pPr>
    </w:lvl>
  </w:abstractNum>
  <w:abstractNum w:abstractNumId="3">
    <w:nsid w:val="FFFFFF7F"/>
    <w:multiLevelType w:val="singleLevel"/>
    <w:tmpl w:val="4480692E"/>
    <w:lvl w:ilvl="0">
      <w:start w:val="1"/>
      <w:numFmt w:val="decimal"/>
      <w:lvlText w:val="%1."/>
      <w:lvlJc w:val="left"/>
      <w:pPr>
        <w:tabs>
          <w:tab w:val="num" w:pos="720"/>
        </w:tabs>
        <w:ind w:left="720" w:hanging="360"/>
      </w:pPr>
    </w:lvl>
  </w:abstractNum>
  <w:abstractNum w:abstractNumId="4">
    <w:nsid w:val="FFFFFF80"/>
    <w:multiLevelType w:val="singleLevel"/>
    <w:tmpl w:val="8EE6A3A2"/>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D74897C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AE7A24C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09E80E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1A964C3E"/>
    <w:lvl w:ilvl="0">
      <w:start w:val="1"/>
      <w:numFmt w:val="decimal"/>
      <w:lvlText w:val="%1."/>
      <w:lvlJc w:val="left"/>
      <w:pPr>
        <w:tabs>
          <w:tab w:val="num" w:pos="360"/>
        </w:tabs>
        <w:ind w:left="360" w:hanging="360"/>
      </w:pPr>
    </w:lvl>
  </w:abstractNum>
  <w:abstractNum w:abstractNumId="9">
    <w:nsid w:val="FFFFFF89"/>
    <w:multiLevelType w:val="singleLevel"/>
    <w:tmpl w:val="A6BE33A0"/>
    <w:lvl w:ilvl="0">
      <w:start w:val="1"/>
      <w:numFmt w:val="bullet"/>
      <w:lvlText w:val=""/>
      <w:lvlJc w:val="left"/>
      <w:pPr>
        <w:tabs>
          <w:tab w:val="num" w:pos="360"/>
        </w:tabs>
        <w:ind w:left="360" w:hanging="360"/>
      </w:pPr>
      <w:rPr>
        <w:rFonts w:ascii="Symbol" w:hAnsi="Symbol" w:hint="default"/>
      </w:rPr>
    </w:lvl>
  </w:abstractNum>
  <w:abstractNum w:abstractNumId="10">
    <w:nsid w:val="2C557760"/>
    <w:multiLevelType w:val="multilevel"/>
    <w:tmpl w:val="2D243920"/>
    <w:lvl w:ilvl="0">
      <w:start w:val="1"/>
      <w:numFmt w:val="bullet"/>
      <w:lvlText w:val=""/>
      <w:lvlJc w:val="left"/>
      <w:pPr>
        <w:tabs>
          <w:tab w:val="num" w:pos="720"/>
        </w:tabs>
        <w:ind w:left="720" w:hanging="360"/>
      </w:pPr>
      <w:rPr>
        <w:rFonts w:ascii="Symbol" w:hAnsi="Symbol" w:hint="default"/>
        <w:sz w:val="20"/>
      </w:rPr>
    </w:lvl>
    <w:lvl w:ilvl="1">
      <w:start w:val="1"/>
      <w:numFmt w:val="bullet"/>
      <w:pStyle w:val="ListBullet2"/>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1A7F12"/>
    <w:multiLevelType w:val="multilevel"/>
    <w:tmpl w:val="C9F2E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4644EEB"/>
    <w:multiLevelType w:val="multilevel"/>
    <w:tmpl w:val="6D9205F6"/>
    <w:lvl w:ilvl="0">
      <w:start w:val="1"/>
      <w:numFmt w:val="bullet"/>
      <w:pStyle w:val="ListBullet"/>
      <w:lvlText w:val=""/>
      <w:lvlJc w:val="left"/>
      <w:pPr>
        <w:tabs>
          <w:tab w:val="num" w:pos="1530"/>
        </w:tabs>
        <w:ind w:left="153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BEF0B77"/>
    <w:multiLevelType w:val="multilevel"/>
    <w:tmpl w:val="2B6A0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95172EE"/>
    <w:multiLevelType w:val="multilevel"/>
    <w:tmpl w:val="4B383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3"/>
  </w:num>
  <w:num w:numId="3">
    <w:abstractNumId w:val="11"/>
  </w:num>
  <w:num w:numId="4">
    <w:abstractNumId w:val="10"/>
  </w:num>
  <w:num w:numId="5">
    <w:abstractNumId w:val="1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5A8"/>
    <w:rsid w:val="0002535F"/>
    <w:rsid w:val="000B425B"/>
    <w:rsid w:val="00101B9E"/>
    <w:rsid w:val="001427B6"/>
    <w:rsid w:val="001545BA"/>
    <w:rsid w:val="00157D6E"/>
    <w:rsid w:val="00384F30"/>
    <w:rsid w:val="003F75EE"/>
    <w:rsid w:val="004716FB"/>
    <w:rsid w:val="004A6B23"/>
    <w:rsid w:val="00553DA5"/>
    <w:rsid w:val="005D23AA"/>
    <w:rsid w:val="00622E34"/>
    <w:rsid w:val="00625384"/>
    <w:rsid w:val="006350FD"/>
    <w:rsid w:val="006B47DA"/>
    <w:rsid w:val="00712371"/>
    <w:rsid w:val="008E36BE"/>
    <w:rsid w:val="009005A8"/>
    <w:rsid w:val="00921423"/>
    <w:rsid w:val="009F75CD"/>
    <w:rsid w:val="00A0143E"/>
    <w:rsid w:val="00A12034"/>
    <w:rsid w:val="00AB582E"/>
    <w:rsid w:val="00AD0B3E"/>
    <w:rsid w:val="00B72C15"/>
    <w:rsid w:val="00BD5917"/>
    <w:rsid w:val="00C06F14"/>
    <w:rsid w:val="00D508C6"/>
    <w:rsid w:val="00D97088"/>
    <w:rsid w:val="00DB0E9E"/>
    <w:rsid w:val="00E13B39"/>
    <w:rsid w:val="00E63DF4"/>
    <w:rsid w:val="00E73812"/>
    <w:rsid w:val="00EA4AEE"/>
    <w:rsid w:val="00EC45CB"/>
    <w:rsid w:val="00F26343"/>
    <w:rsid w:val="00FD241A"/>
    <w:rsid w:val="00FD6A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4FBB0DF"/>
  <w15:docId w15:val="{9BB16649-873A-4BA6-8984-83C4EAF2B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6B23"/>
  </w:style>
  <w:style w:type="paragraph" w:styleId="Heading1">
    <w:name w:val="heading 1"/>
    <w:basedOn w:val="Normal"/>
    <w:next w:val="Normal"/>
    <w:link w:val="Heading1Char"/>
    <w:uiPriority w:val="9"/>
    <w:qFormat/>
    <w:rsid w:val="004A6B23"/>
    <w:pPr>
      <w:keepNext/>
      <w:keepLines/>
      <w:spacing w:before="480" w:after="0"/>
      <w:outlineLvl w:val="0"/>
    </w:pPr>
    <w:rPr>
      <w:rFonts w:ascii="Calibri" w:eastAsia="Times New Roman" w:hAnsi="Calibri" w:cstheme="majorBidi"/>
      <w:b/>
      <w:bCs/>
      <w:color w:val="365F91" w:themeColor="accent1" w:themeShade="BF"/>
      <w:sz w:val="28"/>
      <w:szCs w:val="28"/>
      <w:lang w:val="en"/>
    </w:rPr>
  </w:style>
  <w:style w:type="paragraph" w:styleId="Heading2">
    <w:name w:val="heading 2"/>
    <w:basedOn w:val="Normal"/>
    <w:next w:val="Normal"/>
    <w:link w:val="Heading2Char"/>
    <w:uiPriority w:val="9"/>
    <w:unhideWhenUsed/>
    <w:qFormat/>
    <w:rsid w:val="004A6B23"/>
    <w:pPr>
      <w:keepNext/>
      <w:keepLines/>
      <w:spacing w:before="200" w:after="0"/>
      <w:outlineLvl w:val="1"/>
    </w:pPr>
    <w:rPr>
      <w:rFonts w:ascii="Calibri" w:eastAsia="Times New Roman" w:hAnsi="Calibri" w:cstheme="majorBidi"/>
      <w:b/>
      <w:bCs/>
      <w:sz w:val="26"/>
      <w:szCs w:val="2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6B23"/>
    <w:rPr>
      <w:rFonts w:ascii="Calibri" w:eastAsia="Times New Roman" w:hAnsi="Calibri" w:cstheme="majorBidi"/>
      <w:b/>
      <w:bCs/>
      <w:color w:val="365F91" w:themeColor="accent1" w:themeShade="BF"/>
      <w:sz w:val="28"/>
      <w:szCs w:val="28"/>
      <w:lang w:val="en"/>
    </w:rPr>
  </w:style>
  <w:style w:type="character" w:customStyle="1" w:styleId="Heading2Char">
    <w:name w:val="Heading 2 Char"/>
    <w:basedOn w:val="DefaultParagraphFont"/>
    <w:link w:val="Heading2"/>
    <w:uiPriority w:val="9"/>
    <w:rsid w:val="004A6B23"/>
    <w:rPr>
      <w:rFonts w:ascii="Calibri" w:eastAsia="Times New Roman" w:hAnsi="Calibri" w:cstheme="majorBidi"/>
      <w:b/>
      <w:bCs/>
      <w:sz w:val="26"/>
      <w:szCs w:val="26"/>
      <w:lang w:val="en"/>
    </w:rPr>
  </w:style>
  <w:style w:type="paragraph" w:styleId="Header">
    <w:name w:val="header"/>
    <w:basedOn w:val="Normal"/>
    <w:link w:val="HeaderChar"/>
    <w:uiPriority w:val="99"/>
    <w:unhideWhenUsed/>
    <w:rsid w:val="00AB58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582E"/>
  </w:style>
  <w:style w:type="paragraph" w:styleId="Footer">
    <w:name w:val="footer"/>
    <w:basedOn w:val="Normal"/>
    <w:link w:val="FooterChar"/>
    <w:uiPriority w:val="99"/>
    <w:unhideWhenUsed/>
    <w:rsid w:val="00AB58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582E"/>
  </w:style>
  <w:style w:type="paragraph" w:styleId="BodyText">
    <w:name w:val="Body Text"/>
    <w:basedOn w:val="Normal"/>
    <w:link w:val="BodyTextChar"/>
    <w:uiPriority w:val="99"/>
    <w:unhideWhenUsed/>
    <w:rsid w:val="004A6B23"/>
    <w:pPr>
      <w:shd w:val="clear" w:color="auto" w:fill="FFFFFF"/>
      <w:spacing w:after="0" w:line="240" w:lineRule="auto"/>
    </w:pPr>
    <w:rPr>
      <w:rFonts w:eastAsia="Times New Roman" w:cs="Times New Roman"/>
      <w:color w:val="000000"/>
      <w:sz w:val="24"/>
      <w:szCs w:val="24"/>
      <w:lang w:val="en"/>
    </w:rPr>
  </w:style>
  <w:style w:type="character" w:customStyle="1" w:styleId="BodyTextChar">
    <w:name w:val="Body Text Char"/>
    <w:basedOn w:val="DefaultParagraphFont"/>
    <w:link w:val="BodyText"/>
    <w:uiPriority w:val="99"/>
    <w:rsid w:val="004A6B23"/>
    <w:rPr>
      <w:rFonts w:eastAsia="Times New Roman" w:cs="Times New Roman"/>
      <w:color w:val="000000"/>
      <w:sz w:val="24"/>
      <w:szCs w:val="24"/>
      <w:shd w:val="clear" w:color="auto" w:fill="FFFFFF"/>
      <w:lang w:val="en"/>
    </w:rPr>
  </w:style>
  <w:style w:type="paragraph" w:styleId="ListBullet">
    <w:name w:val="List Bullet"/>
    <w:basedOn w:val="Normal"/>
    <w:uiPriority w:val="99"/>
    <w:unhideWhenUsed/>
    <w:rsid w:val="004A6B23"/>
    <w:pPr>
      <w:numPr>
        <w:numId w:val="5"/>
      </w:numPr>
      <w:spacing w:before="30" w:after="30" w:line="240" w:lineRule="auto"/>
    </w:pPr>
    <w:rPr>
      <w:rFonts w:eastAsia="Times New Roman" w:cs="Times New Roman"/>
      <w:color w:val="000000"/>
      <w:sz w:val="24"/>
      <w:szCs w:val="24"/>
    </w:rPr>
  </w:style>
  <w:style w:type="paragraph" w:styleId="BlockText">
    <w:name w:val="Block Text"/>
    <w:basedOn w:val="Normal"/>
    <w:uiPriority w:val="99"/>
    <w:unhideWhenUsed/>
    <w:rsid w:val="004A6B23"/>
    <w:pPr>
      <w:shd w:val="clear" w:color="auto" w:fill="FFFFFF"/>
      <w:spacing w:after="0" w:line="240" w:lineRule="auto"/>
    </w:pPr>
    <w:rPr>
      <w:rFonts w:eastAsia="Times New Roman" w:cs="Times New Roman"/>
      <w:b/>
      <w:bCs/>
      <w:sz w:val="24"/>
      <w:szCs w:val="24"/>
      <w:lang w:val="en"/>
    </w:rPr>
  </w:style>
  <w:style w:type="paragraph" w:styleId="ListBullet2">
    <w:name w:val="List Bullet 2"/>
    <w:basedOn w:val="Normal"/>
    <w:uiPriority w:val="99"/>
    <w:unhideWhenUsed/>
    <w:rsid w:val="004A6B23"/>
    <w:pPr>
      <w:numPr>
        <w:ilvl w:val="1"/>
        <w:numId w:val="4"/>
      </w:numPr>
      <w:shd w:val="clear" w:color="auto" w:fill="FFFFFF"/>
      <w:spacing w:before="30" w:after="120" w:line="240" w:lineRule="auto"/>
      <w:ind w:left="1905"/>
    </w:pPr>
    <w:rPr>
      <w:rFonts w:eastAsia="Times New Roman" w:cs="Times New Roman"/>
      <w:color w:val="000000"/>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8752725">
      <w:bodyDiv w:val="1"/>
      <w:marLeft w:val="0"/>
      <w:marRight w:val="0"/>
      <w:marTop w:val="0"/>
      <w:marBottom w:val="0"/>
      <w:divBdr>
        <w:top w:val="none" w:sz="0" w:space="0" w:color="auto"/>
        <w:left w:val="none" w:sz="0" w:space="0" w:color="auto"/>
        <w:bottom w:val="none" w:sz="0" w:space="0" w:color="auto"/>
        <w:right w:val="none" w:sz="0" w:space="0" w:color="auto"/>
      </w:divBdr>
      <w:divsChild>
        <w:div w:id="1280186944">
          <w:marLeft w:val="225"/>
          <w:marRight w:val="225"/>
          <w:marTop w:val="120"/>
          <w:marBottom w:val="120"/>
          <w:divBdr>
            <w:top w:val="none" w:sz="0" w:space="0" w:color="auto"/>
            <w:left w:val="none" w:sz="0" w:space="0" w:color="auto"/>
            <w:bottom w:val="none" w:sz="0" w:space="0" w:color="auto"/>
            <w:right w:val="none" w:sz="0" w:space="0" w:color="auto"/>
          </w:divBdr>
          <w:divsChild>
            <w:div w:id="331420488">
              <w:marLeft w:val="240"/>
              <w:marRight w:val="240"/>
              <w:marTop w:val="120"/>
              <w:marBottom w:val="120"/>
              <w:divBdr>
                <w:top w:val="dashed" w:sz="6" w:space="2" w:color="CCCCCC"/>
                <w:left w:val="dashed" w:sz="6" w:space="2" w:color="CCCCCC"/>
                <w:bottom w:val="dashed" w:sz="6" w:space="2" w:color="CCCCCC"/>
                <w:right w:val="dashed" w:sz="6" w:space="2" w:color="CCCCCC"/>
              </w:divBdr>
            </w:div>
          </w:divsChild>
        </w:div>
      </w:divsChild>
    </w:div>
    <w:div w:id="716049788">
      <w:bodyDiv w:val="1"/>
      <w:marLeft w:val="0"/>
      <w:marRight w:val="0"/>
      <w:marTop w:val="0"/>
      <w:marBottom w:val="0"/>
      <w:divBdr>
        <w:top w:val="none" w:sz="0" w:space="0" w:color="auto"/>
        <w:left w:val="none" w:sz="0" w:space="0" w:color="auto"/>
        <w:bottom w:val="none" w:sz="0" w:space="0" w:color="auto"/>
        <w:right w:val="none" w:sz="0" w:space="0" w:color="auto"/>
      </w:divBdr>
      <w:divsChild>
        <w:div w:id="488643020">
          <w:marLeft w:val="225"/>
          <w:marRight w:val="225"/>
          <w:marTop w:val="120"/>
          <w:marBottom w:val="120"/>
          <w:divBdr>
            <w:top w:val="none" w:sz="0" w:space="0" w:color="auto"/>
            <w:left w:val="none" w:sz="0" w:space="0" w:color="auto"/>
            <w:bottom w:val="none" w:sz="0" w:space="0" w:color="auto"/>
            <w:right w:val="none" w:sz="0" w:space="0" w:color="auto"/>
          </w:divBdr>
          <w:divsChild>
            <w:div w:id="1103653125">
              <w:marLeft w:val="240"/>
              <w:marRight w:val="240"/>
              <w:marTop w:val="120"/>
              <w:marBottom w:val="120"/>
              <w:divBdr>
                <w:top w:val="dashed" w:sz="6" w:space="2" w:color="CCCCCC"/>
                <w:left w:val="dashed" w:sz="6" w:space="2" w:color="CCCCCC"/>
                <w:bottom w:val="dashed" w:sz="6" w:space="2" w:color="CCCCCC"/>
                <w:right w:val="dashed" w:sz="6" w:space="2" w:color="CCCCCC"/>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usdoj.gov/crt/ada/taman2.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dabasics.org/content/resources.php"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adabasics.org/content/resources.php"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daportal.org/Employment/TAM_I_Chapter_III_3_10.html" TargetMode="External"/><Relationship Id="rId5" Type="http://schemas.openxmlformats.org/officeDocument/2006/relationships/numbering" Target="numbering.xml"/><Relationship Id="rId15" Type="http://schemas.openxmlformats.org/officeDocument/2006/relationships/hyperlink" Target="http://www.usdoj.gov/crt/ada/taman3.htm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dabasics.org/content/resource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AFN Compliance</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BA78D6-8286-4717-8FA1-334B22D32C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030898-BE11-44B5-BAB3-ABA3502C839F}">
  <ds:schemaRefs>
    <ds:schemaRef ds:uri="http://schemas.microsoft.com/sharepoint/v3/contenttype/forms"/>
  </ds:schemaRefs>
</ds:datastoreItem>
</file>

<file path=customXml/itemProps3.xml><?xml version="1.0" encoding="utf-8"?>
<ds:datastoreItem xmlns:ds="http://schemas.openxmlformats.org/officeDocument/2006/customXml" ds:itemID="{4FF83B94-F89C-4755-B8F9-F703D8D0BE68}">
  <ds:schemaRefs>
    <ds:schemaRef ds:uri="http://schemas.microsoft.com/office/2006/documentManagement/types"/>
    <ds:schemaRef ds:uri="0a8bad6b-f581-42d1-a937-dbda95349e24"/>
    <ds:schemaRef ds:uri="http://schemas.microsoft.com/office/2006/metadata/properties"/>
    <ds:schemaRef ds:uri="http://purl.org/dc/terms/"/>
    <ds:schemaRef ds:uri="http://purl.org/dc/elements/1.1/"/>
    <ds:schemaRef ds:uri="http://schemas.microsoft.com/office/infopath/2007/PartnerControls"/>
    <ds:schemaRef ds:uri="http://purl.org/dc/dcmitype/"/>
    <ds:schemaRef ds:uri="http://schemas.openxmlformats.org/package/2006/metadata/core-properties"/>
    <ds:schemaRef ds:uri="a98cd5ef-9f44-4870-b5e7-07ba4e9225c4"/>
    <ds:schemaRef ds:uri="http://www.w3.org/XML/1998/namespace"/>
  </ds:schemaRefs>
</ds:datastoreItem>
</file>

<file path=customXml/itemProps4.xml><?xml version="1.0" encoding="utf-8"?>
<ds:datastoreItem xmlns:ds="http://schemas.openxmlformats.org/officeDocument/2006/customXml" ds:itemID="{BA3DC6FE-A3D1-4F87-B55D-A4FA0DD77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1145</Words>
  <Characters>6528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Effective Communication</vt:lpstr>
    </vt:vector>
  </TitlesOfParts>
  <Company>Cal EMA</Company>
  <LinksUpToDate>false</LinksUpToDate>
  <CharactersWithSpaces>7658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Effective Communication</dc:title>
  <dc:creator>mccrayL</dc:creator>
  <cp:lastModifiedBy>Prince Hermie C. Noarin</cp:lastModifiedBy>
  <cp:revision>2</cp:revision>
  <dcterms:created xsi:type="dcterms:W3CDTF">2019-10-11T01:29:00Z</dcterms:created>
  <dcterms:modified xsi:type="dcterms:W3CDTF">2019-10-11T01:29:00Z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0x010100A3C0AE248FC7AE4A8F6A9800E77547E60100348D88E2396C994C85C4296604F64D9B</vt:lpwstr>
  </property>
  <property fmtid="{D5CDD505-2E9C-101B-9397-08002B2CF9AE}" pid="3" name="oesDivision">
    <vt:lpwstr>20;#Access ＆ Functional Needs|07412624-a731-487a-aeed-473134f20637</vt:lpwstr>
  </property>
</Properties>
</file>